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36"/>
          <w:szCs w:val="44"/>
        </w:rPr>
      </w:pPr>
      <w:r>
        <w:rPr>
          <w:rFonts w:hint="eastAsia" w:ascii="宋体" w:hAnsi="宋体" w:eastAsia="宋体" w:cs="宋体"/>
          <w:b/>
          <w:sz w:val="36"/>
          <w:szCs w:val="44"/>
        </w:rPr>
        <w:t>宿州市埇桥区人民法院转移支付资金2024年度绩效自评报告</w:t>
      </w:r>
    </w:p>
    <w:p>
      <w:pPr>
        <w:jc w:val="center"/>
        <w:rPr>
          <w:rFonts w:ascii="宋体" w:hAnsi="宋体" w:eastAsia="宋体" w:cs="宋体"/>
          <w:b/>
          <w:sz w:val="36"/>
          <w:szCs w:val="44"/>
        </w:rPr>
      </w:pPr>
    </w:p>
    <w:p>
      <w:pPr>
        <w:ind w:firstLine="600" w:firstLineChars="200"/>
        <w:rPr>
          <w:rFonts w:ascii="黑体" w:hAnsi="黑体" w:eastAsia="黑体" w:cs="黑体"/>
          <w:bCs/>
          <w:szCs w:val="32"/>
        </w:rPr>
      </w:pPr>
      <w:r>
        <w:rPr>
          <w:rFonts w:hint="eastAsia" w:ascii="黑体" w:hAnsi="黑体" w:eastAsia="黑体" w:cs="黑体"/>
          <w:bCs/>
          <w:szCs w:val="32"/>
        </w:rPr>
        <w:t>一、绩效目标分解下达情况</w:t>
      </w:r>
    </w:p>
    <w:p>
      <w:pPr>
        <w:ind w:firstLine="600" w:firstLineChars="200"/>
        <w:outlineLvl w:val="0"/>
        <w:rPr>
          <w:rFonts w:ascii="仿宋_GB2312"/>
          <w:szCs w:val="32"/>
        </w:rPr>
      </w:pPr>
      <w:r>
        <w:rPr>
          <w:rFonts w:hint="eastAsia" w:ascii="仿宋_GB2312"/>
          <w:szCs w:val="32"/>
        </w:rPr>
        <w:t>1.中央下达政法转移支付预算和绩效目标情况。</w:t>
      </w:r>
    </w:p>
    <w:p>
      <w:pPr>
        <w:tabs>
          <w:tab w:val="left" w:pos="7080"/>
        </w:tabs>
        <w:ind w:firstLine="600" w:firstLineChars="200"/>
        <w:outlineLvl w:val="0"/>
        <w:rPr>
          <w:rFonts w:ascii="仿宋_GB2312"/>
          <w:szCs w:val="32"/>
        </w:rPr>
      </w:pPr>
      <w:r>
        <w:rPr>
          <w:rFonts w:hint="eastAsia" w:ascii="仿宋_GB2312"/>
          <w:szCs w:val="32"/>
        </w:rPr>
        <w:t>我院2024年度中央下达政法纪检监察转移支付资金预算745万元，实际下达745万元，资金到位率100%.中央政法转移支付资金重点保障了我院办案所需的有关费用。</w:t>
      </w:r>
    </w:p>
    <w:p>
      <w:pPr>
        <w:ind w:firstLine="600" w:firstLineChars="200"/>
        <w:rPr>
          <w:rFonts w:ascii="黑体" w:hAnsi="黑体" w:eastAsia="黑体" w:cs="黑体"/>
          <w:bCs/>
          <w:szCs w:val="32"/>
        </w:rPr>
      </w:pPr>
      <w:r>
        <w:rPr>
          <w:rFonts w:hint="eastAsia" w:ascii="黑体" w:hAnsi="黑体" w:eastAsia="黑体" w:cs="黑体"/>
          <w:bCs/>
          <w:szCs w:val="32"/>
        </w:rPr>
        <w:t>二、绩效目标完成情况分析</w:t>
      </w:r>
    </w:p>
    <w:p>
      <w:pPr>
        <w:ind w:firstLine="600" w:firstLineChars="200"/>
        <w:outlineLvl w:val="0"/>
        <w:rPr>
          <w:rFonts w:ascii="楷体_GB2312" w:hAnsi="楷体_GB2312" w:eastAsia="楷体_GB2312" w:cs="楷体_GB2312"/>
          <w:bCs/>
          <w:szCs w:val="32"/>
        </w:rPr>
      </w:pPr>
      <w:r>
        <w:rPr>
          <w:rFonts w:hint="eastAsia" w:ascii="楷体_GB2312" w:hAnsi="楷体_GB2312" w:eastAsia="楷体_GB2312" w:cs="楷体_GB2312"/>
          <w:bCs/>
          <w:szCs w:val="32"/>
        </w:rPr>
        <w:t>（一）资金投入情况分析。</w:t>
      </w:r>
    </w:p>
    <w:p>
      <w:pPr>
        <w:ind w:firstLine="600" w:firstLineChars="200"/>
        <w:rPr>
          <w:rFonts w:ascii="仿宋_GB2312"/>
          <w:szCs w:val="32"/>
        </w:rPr>
      </w:pPr>
      <w:r>
        <w:rPr>
          <w:rFonts w:hint="eastAsia" w:ascii="仿宋_GB2312"/>
          <w:szCs w:val="32"/>
        </w:rPr>
        <w:t>1.项目资金到位情况分析。</w:t>
      </w:r>
    </w:p>
    <w:p>
      <w:pPr>
        <w:ind w:firstLine="600" w:firstLineChars="200"/>
        <w:rPr>
          <w:rFonts w:ascii="仿宋_GB2312"/>
          <w:szCs w:val="32"/>
        </w:rPr>
      </w:pPr>
      <w:r>
        <w:rPr>
          <w:rFonts w:hint="eastAsia" w:ascii="仿宋_GB2312"/>
          <w:szCs w:val="32"/>
        </w:rPr>
        <w:t>2024年政法资金到位745万元,均在文件下达5个工作日内至埇桥区人民法院财政统一支付平台。</w:t>
      </w:r>
    </w:p>
    <w:p>
      <w:pPr>
        <w:ind w:firstLine="600" w:firstLineChars="200"/>
        <w:rPr>
          <w:rFonts w:ascii="仿宋_GB2312"/>
          <w:szCs w:val="32"/>
        </w:rPr>
      </w:pPr>
      <w:r>
        <w:rPr>
          <w:rFonts w:hint="eastAsia" w:ascii="仿宋_GB2312"/>
          <w:szCs w:val="32"/>
        </w:rPr>
        <w:t>2.项目资金执行情况分析。</w:t>
      </w:r>
    </w:p>
    <w:p>
      <w:pPr>
        <w:tabs>
          <w:tab w:val="left" w:pos="7080"/>
        </w:tabs>
        <w:ind w:firstLine="600" w:firstLineChars="200"/>
        <w:outlineLvl w:val="0"/>
        <w:rPr>
          <w:rFonts w:ascii="仿宋_GB2312"/>
          <w:szCs w:val="32"/>
        </w:rPr>
      </w:pPr>
      <w:r>
        <w:rPr>
          <w:rFonts w:hint="eastAsia" w:ascii="仿宋_GB2312"/>
          <w:szCs w:val="32"/>
        </w:rPr>
        <w:t>自政法转移资金下达到位后，全部用于法院日常办公设备购置以及办案业务等开支。745万元具体支出如下：办公设备（固定资产）19.81万元，差旅费150万元，办公费82.19万元，邮电费150万元，委托业务费59万元，维修（护）154万元，被装购置费60万元，劳务费70万元。我院745万元政法转移支付资金其中4万元为扫黑除恶专项资金，用于我院扫黑除恶小组办案过程中的差旅费、办公费以及扫黑除恶宣传费用。</w:t>
      </w:r>
    </w:p>
    <w:p>
      <w:pPr>
        <w:tabs>
          <w:tab w:val="left" w:pos="7080"/>
        </w:tabs>
        <w:ind w:firstLine="600" w:firstLineChars="200"/>
        <w:outlineLvl w:val="0"/>
        <w:rPr>
          <w:rFonts w:ascii="仿宋_GB2312"/>
          <w:szCs w:val="32"/>
        </w:rPr>
      </w:pPr>
      <w:r>
        <w:rPr>
          <w:rFonts w:hint="eastAsia" w:ascii="仿宋_GB2312"/>
          <w:szCs w:val="32"/>
        </w:rPr>
        <w:t>3.项目资金管理情况分析。</w:t>
      </w:r>
    </w:p>
    <w:p>
      <w:pPr>
        <w:ind w:firstLine="600" w:firstLineChars="200"/>
        <w:rPr>
          <w:rFonts w:ascii="仿宋_GB2312"/>
          <w:szCs w:val="32"/>
        </w:rPr>
      </w:pPr>
      <w:r>
        <w:rPr>
          <w:rFonts w:hint="eastAsia" w:ascii="仿宋_GB2312"/>
          <w:szCs w:val="32"/>
        </w:rPr>
        <w:t>严格按照相应的规章制度，规范合理开支各项经费。符合国家财务管理以及有关专项资金管理办法的规定；资金的拨付有完整的审批手续和流程；不存在挪用或虚假列支等情况。保证会计核算准确，财务资料完整。</w:t>
      </w:r>
    </w:p>
    <w:p>
      <w:pPr>
        <w:ind w:firstLine="600" w:firstLineChars="200"/>
        <w:outlineLvl w:val="0"/>
        <w:rPr>
          <w:rFonts w:ascii="仿宋_GB2312"/>
          <w:szCs w:val="32"/>
        </w:rPr>
      </w:pPr>
      <w:r>
        <w:rPr>
          <w:rFonts w:hint="eastAsia" w:ascii="仿宋_GB2312"/>
          <w:szCs w:val="32"/>
        </w:rPr>
        <w:t>（二）总体绩效目标完成情况分析。</w:t>
      </w:r>
    </w:p>
    <w:p>
      <w:pPr>
        <w:ind w:firstLine="600" w:firstLineChars="200"/>
        <w:outlineLvl w:val="0"/>
        <w:rPr>
          <w:rFonts w:ascii="仿宋_GB2312"/>
          <w:szCs w:val="32"/>
        </w:rPr>
      </w:pPr>
      <w:r>
        <w:rPr>
          <w:rFonts w:hint="eastAsia" w:ascii="仿宋_GB2312"/>
          <w:szCs w:val="32"/>
        </w:rPr>
        <w:t>中央下达2024年政法纪检监察转移支付资金745万元，均已下达至埇桥区人民法院财政统一支付平台，全部用于法院日常办公设备购置以及办案业务等开支。745万中用于办案业务725.19万元，装备业务19.81万元。支持法院办案数量35828件，支持法院装备51台。提高了法院的办案和装备经费水平、提高了案件当事人和法院干警满意度。</w:t>
      </w:r>
    </w:p>
    <w:p>
      <w:pPr>
        <w:ind w:firstLine="600" w:firstLineChars="200"/>
        <w:outlineLvl w:val="0"/>
        <w:rPr>
          <w:rFonts w:ascii="仿宋_GB2312"/>
          <w:szCs w:val="32"/>
        </w:rPr>
      </w:pPr>
      <w:r>
        <w:rPr>
          <w:rFonts w:hint="eastAsia" w:ascii="仿宋_GB2312"/>
          <w:szCs w:val="32"/>
        </w:rPr>
        <w:t>（三）绩效目标完成情况分析。</w:t>
      </w:r>
    </w:p>
    <w:p>
      <w:pPr>
        <w:ind w:firstLine="600" w:firstLineChars="200"/>
        <w:rPr>
          <w:rFonts w:ascii="仿宋_GB2312"/>
          <w:szCs w:val="32"/>
        </w:rPr>
      </w:pPr>
      <w:r>
        <w:rPr>
          <w:rFonts w:hint="eastAsia" w:ascii="仿宋_GB2312"/>
          <w:szCs w:val="32"/>
        </w:rPr>
        <w:t>1.产出指标完成情况分析。</w:t>
      </w:r>
    </w:p>
    <w:p>
      <w:pPr>
        <w:ind w:firstLine="450" w:firstLineChars="150"/>
        <w:rPr>
          <w:rFonts w:ascii="仿宋_GB2312"/>
          <w:szCs w:val="32"/>
        </w:rPr>
      </w:pPr>
      <w:r>
        <w:rPr>
          <w:rFonts w:hint="eastAsia" w:ascii="仿宋_GB2312"/>
          <w:szCs w:val="32"/>
        </w:rPr>
        <w:t>（1）数量指标。</w:t>
      </w:r>
    </w:p>
    <w:p>
      <w:pPr>
        <w:ind w:firstLine="600" w:firstLineChars="200"/>
        <w:outlineLvl w:val="0"/>
        <w:rPr>
          <w:rFonts w:ascii="仿宋_GB2312"/>
          <w:szCs w:val="32"/>
        </w:rPr>
      </w:pPr>
      <w:r>
        <w:rPr>
          <w:rFonts w:hint="eastAsia" w:ascii="仿宋_GB2312"/>
          <w:szCs w:val="32"/>
        </w:rPr>
        <w:t>中央下达2024年政法纪检监察转移支付资金745万元，全部用于法院日常办公设备购置以及办案业务等开支。745万用于支持法院办案数量35828件，支持法院装备51台。我院2024年开展司法救助案件数量22件，司法救助费用均用我院财政返还的非税收入资金，未用转移支付资金支付司法救助。</w:t>
      </w:r>
    </w:p>
    <w:p>
      <w:pPr>
        <w:ind w:firstLine="450" w:firstLineChars="150"/>
        <w:rPr>
          <w:rFonts w:ascii="仿宋_GB2312"/>
          <w:szCs w:val="32"/>
        </w:rPr>
      </w:pPr>
      <w:r>
        <w:rPr>
          <w:rFonts w:hint="eastAsia" w:ascii="仿宋_GB2312"/>
          <w:szCs w:val="32"/>
        </w:rPr>
        <w:t>（2）质量指标。</w:t>
      </w:r>
    </w:p>
    <w:p>
      <w:pPr>
        <w:rPr>
          <w:rFonts w:ascii="仿宋_GB2312"/>
          <w:szCs w:val="32"/>
        </w:rPr>
      </w:pPr>
      <w:r>
        <w:rPr>
          <w:rFonts w:hint="eastAsia" w:ascii="宋体" w:hAnsi="宋体" w:eastAsia="宋体" w:cs="宋体"/>
          <w:szCs w:val="30"/>
        </w:rPr>
        <w:t xml:space="preserve">   </w:t>
      </w:r>
      <w:r>
        <w:rPr>
          <w:rFonts w:hint="eastAsia" w:ascii="仿宋_GB2312"/>
          <w:szCs w:val="32"/>
        </w:rPr>
        <w:t>照省高院及相关法律法规关于机关财务使用管理办法合理安排、支出政法转移资金。</w:t>
      </w:r>
    </w:p>
    <w:p>
      <w:pPr>
        <w:rPr>
          <w:rFonts w:ascii="宋体" w:hAnsi="宋体" w:eastAsia="宋体" w:cs="宋体"/>
          <w:szCs w:val="30"/>
        </w:rPr>
      </w:pPr>
    </w:p>
    <w:p>
      <w:pPr>
        <w:ind w:firstLine="450" w:firstLineChars="150"/>
        <w:rPr>
          <w:rFonts w:ascii="仿宋_GB2312"/>
          <w:szCs w:val="32"/>
        </w:rPr>
      </w:pPr>
      <w:r>
        <w:rPr>
          <w:rFonts w:hint="eastAsia" w:ascii="仿宋_GB2312"/>
          <w:szCs w:val="32"/>
        </w:rPr>
        <w:t>（3）时效指标。</w:t>
      </w:r>
    </w:p>
    <w:p>
      <w:pPr>
        <w:ind w:firstLine="600" w:firstLineChars="200"/>
        <w:rPr>
          <w:rFonts w:ascii="仿宋_GB2312"/>
          <w:szCs w:val="32"/>
        </w:rPr>
      </w:pPr>
      <w:r>
        <w:rPr>
          <w:rFonts w:hint="eastAsia" w:ascii="仿宋_GB2312"/>
          <w:szCs w:val="32"/>
        </w:rPr>
        <w:t>地方财政部门在收到转移支付资金后，在5个工作日内下达至埇桥区人民法院，保障了我院审判和执行的顺利进行。</w:t>
      </w:r>
    </w:p>
    <w:p>
      <w:pPr>
        <w:ind w:firstLine="600" w:firstLineChars="200"/>
        <w:rPr>
          <w:rFonts w:ascii="仿宋_GB2312"/>
          <w:szCs w:val="32"/>
        </w:rPr>
      </w:pPr>
      <w:r>
        <w:rPr>
          <w:rFonts w:hint="eastAsia" w:ascii="仿宋_GB2312"/>
          <w:color w:val="000000" w:themeColor="text1"/>
          <w:szCs w:val="32"/>
          <w14:textFill>
            <w14:solidFill>
              <w14:schemeClr w14:val="tx1"/>
            </w14:solidFill>
          </w14:textFill>
        </w:rPr>
        <w:t>2.效益指标完成情况</w:t>
      </w:r>
      <w:r>
        <w:rPr>
          <w:rFonts w:hint="eastAsia" w:ascii="仿宋_GB2312"/>
          <w:szCs w:val="32"/>
        </w:rPr>
        <w:t>分析。</w:t>
      </w:r>
    </w:p>
    <w:p>
      <w:pPr>
        <w:ind w:firstLine="600" w:firstLineChars="200"/>
        <w:rPr>
          <w:rFonts w:ascii="仿宋_GB2312"/>
          <w:szCs w:val="32"/>
        </w:rPr>
      </w:pPr>
      <w:r>
        <w:rPr>
          <w:rFonts w:hint="eastAsia" w:ascii="仿宋_GB2312"/>
          <w:szCs w:val="32"/>
        </w:rPr>
        <w:t>经济效益指标。</w:t>
      </w:r>
    </w:p>
    <w:p>
      <w:pPr>
        <w:ind w:firstLine="600" w:firstLineChars="200"/>
        <w:rPr>
          <w:rFonts w:ascii="仿宋_GB2312"/>
          <w:szCs w:val="32"/>
        </w:rPr>
      </w:pPr>
      <w:r>
        <w:rPr>
          <w:rFonts w:hint="eastAsia" w:ascii="仿宋_GB2312"/>
          <w:szCs w:val="32"/>
        </w:rPr>
        <w:t>中央下达的745法纪检监察转移支付资金,全部用于法院日常办公设备购置以及办案业务等开支,完成预期目标，人民群众在案件中充分感受到了我院工作人员办案的公平公正，取得了良好的社会效果。</w:t>
      </w:r>
    </w:p>
    <w:p>
      <w:pPr>
        <w:ind w:firstLine="600" w:firstLineChars="200"/>
        <w:rPr>
          <w:rFonts w:ascii="仿宋_GB2312"/>
          <w:szCs w:val="32"/>
        </w:rPr>
      </w:pPr>
      <w:r>
        <w:rPr>
          <w:rFonts w:hint="eastAsia" w:ascii="仿宋_GB2312"/>
          <w:szCs w:val="32"/>
        </w:rPr>
        <w:t>3.满意度指标完成情况分析。</w:t>
      </w:r>
    </w:p>
    <w:p>
      <w:pPr>
        <w:ind w:firstLine="600" w:firstLineChars="200"/>
        <w:rPr>
          <w:rFonts w:ascii="仿宋_GB2312"/>
          <w:szCs w:val="32"/>
        </w:rPr>
      </w:pPr>
      <w:r>
        <w:rPr>
          <w:rFonts w:hint="eastAsia" w:ascii="仿宋_GB2312"/>
          <w:szCs w:val="32"/>
        </w:rPr>
        <w:t>服务对象满意度指标。</w:t>
      </w:r>
    </w:p>
    <w:p>
      <w:pPr>
        <w:ind w:firstLine="600" w:firstLineChars="200"/>
        <w:rPr>
          <w:rFonts w:ascii="仿宋_GB2312"/>
          <w:szCs w:val="32"/>
        </w:rPr>
      </w:pPr>
      <w:r>
        <w:rPr>
          <w:rFonts w:hint="eastAsia" w:ascii="仿宋_GB2312"/>
          <w:szCs w:val="32"/>
        </w:rPr>
        <w:t>当事人满意度＞95%，案件当事人对于法官以及法院其他工作人员的工作效率和服务态度等有良好的评价。</w:t>
      </w:r>
    </w:p>
    <w:p>
      <w:pPr>
        <w:ind w:firstLine="600" w:firstLineChars="200"/>
        <w:rPr>
          <w:rFonts w:ascii="仿宋_GB2312"/>
          <w:szCs w:val="32"/>
        </w:rPr>
      </w:pPr>
      <w:r>
        <w:rPr>
          <w:rFonts w:hint="eastAsia" w:ascii="仿宋_GB2312"/>
          <w:szCs w:val="32"/>
        </w:rPr>
        <w:t>三、偏离绩效目标的原因和下一步改进措施</w:t>
      </w:r>
    </w:p>
    <w:p>
      <w:pPr>
        <w:ind w:firstLine="600" w:firstLineChars="200"/>
        <w:rPr>
          <w:rFonts w:ascii="仿宋_GB2312"/>
          <w:szCs w:val="32"/>
        </w:rPr>
      </w:pPr>
      <w:r>
        <w:rPr>
          <w:rFonts w:hint="eastAsia" w:ascii="仿宋_GB2312"/>
          <w:szCs w:val="32"/>
        </w:rPr>
        <w:t>(一)存在的问题</w:t>
      </w:r>
    </w:p>
    <w:p>
      <w:pPr>
        <w:ind w:firstLine="600" w:firstLineChars="200"/>
        <w:rPr>
          <w:rFonts w:ascii="仿宋_GB2312"/>
          <w:szCs w:val="32"/>
        </w:rPr>
      </w:pPr>
      <w:r>
        <w:rPr>
          <w:rFonts w:hint="eastAsia" w:ascii="仿宋_GB2312"/>
          <w:szCs w:val="32"/>
        </w:rPr>
        <w:t>1.由于近年来案件数量逐年增加，政法转移支付资金已不能满足正常办公需求。</w:t>
      </w:r>
    </w:p>
    <w:p>
      <w:pPr>
        <w:ind w:firstLine="600" w:firstLineChars="200"/>
        <w:rPr>
          <w:rFonts w:ascii="仿宋_GB2312"/>
          <w:szCs w:val="32"/>
        </w:rPr>
      </w:pPr>
      <w:r>
        <w:rPr>
          <w:rFonts w:hint="eastAsia" w:ascii="仿宋_GB2312"/>
          <w:szCs w:val="32"/>
        </w:rPr>
        <w:t>2.考核机制不够完善，资金使用的绩效评价工作有待进一步完善。</w:t>
      </w:r>
    </w:p>
    <w:p>
      <w:pPr>
        <w:ind w:firstLine="600" w:firstLineChars="200"/>
        <w:rPr>
          <w:rFonts w:ascii="仿宋_GB2312"/>
          <w:szCs w:val="32"/>
        </w:rPr>
      </w:pPr>
      <w:r>
        <w:rPr>
          <w:rFonts w:hint="eastAsia" w:ascii="仿宋_GB2312"/>
          <w:szCs w:val="32"/>
        </w:rPr>
        <w:t>（二）改进措施</w:t>
      </w:r>
    </w:p>
    <w:p>
      <w:pPr>
        <w:ind w:firstLine="600" w:firstLineChars="200"/>
        <w:rPr>
          <w:rFonts w:ascii="仿宋_GB2312"/>
          <w:szCs w:val="32"/>
        </w:rPr>
      </w:pPr>
      <w:r>
        <w:rPr>
          <w:rFonts w:hint="eastAsia" w:ascii="仿宋_GB2312"/>
          <w:szCs w:val="32"/>
        </w:rPr>
        <w:t>1.适当增加资金，以更好保证办案效率。</w:t>
      </w:r>
    </w:p>
    <w:p>
      <w:pPr>
        <w:ind w:firstLine="600" w:firstLineChars="200"/>
        <w:rPr>
          <w:rFonts w:ascii="仿宋_GB2312"/>
          <w:szCs w:val="32"/>
        </w:rPr>
      </w:pPr>
      <w:r>
        <w:rPr>
          <w:rFonts w:hint="eastAsia" w:ascii="仿宋_GB2312"/>
          <w:szCs w:val="32"/>
        </w:rPr>
        <w:t>2.完善资金使用考核机制。</w:t>
      </w:r>
    </w:p>
    <w:p>
      <w:pPr>
        <w:ind w:firstLine="600" w:firstLineChars="200"/>
        <w:rPr>
          <w:rFonts w:ascii="仿宋_GB2312"/>
          <w:szCs w:val="32"/>
        </w:rPr>
      </w:pPr>
      <w:r>
        <w:rPr>
          <w:rFonts w:hint="eastAsia" w:ascii="仿宋_GB2312"/>
          <w:szCs w:val="32"/>
        </w:rPr>
        <w:t>四．绩效自评结果拟应用和公开情况</w:t>
      </w:r>
    </w:p>
    <w:p>
      <w:pPr>
        <w:ind w:firstLine="600" w:firstLineChars="200"/>
        <w:rPr>
          <w:rFonts w:ascii="仿宋_GB2312"/>
          <w:szCs w:val="32"/>
        </w:rPr>
      </w:pPr>
      <w:r>
        <w:rPr>
          <w:rFonts w:hint="eastAsia" w:ascii="仿宋_GB2312"/>
          <w:szCs w:val="32"/>
        </w:rPr>
        <w:t>根据相关文件要求绩效自评结果已及时、准确公开。</w:t>
      </w:r>
    </w:p>
    <w:p>
      <w:pPr>
        <w:ind w:firstLine="600" w:firstLineChars="200"/>
        <w:rPr>
          <w:rFonts w:ascii="仿宋_GB2312"/>
          <w:szCs w:val="32"/>
        </w:rPr>
      </w:pPr>
      <w:r>
        <w:rPr>
          <w:rFonts w:hint="eastAsia" w:ascii="仿宋_GB2312"/>
          <w:szCs w:val="32"/>
        </w:rPr>
        <w:t>五．他需要说明的问题</w:t>
      </w:r>
    </w:p>
    <w:p>
      <w:pPr>
        <w:numPr>
          <w:ilvl w:val="255"/>
          <w:numId w:val="0"/>
        </w:numPr>
        <w:ind w:firstLine="600" w:firstLineChars="200"/>
        <w:rPr>
          <w:rFonts w:ascii="仿宋_GB2312"/>
          <w:szCs w:val="32"/>
        </w:rPr>
      </w:pPr>
      <w:r>
        <w:rPr>
          <w:rFonts w:hint="eastAsia" w:ascii="仿宋_GB2312"/>
          <w:szCs w:val="32"/>
        </w:rPr>
        <w:t>无</w:t>
      </w:r>
      <w:bookmarkStart w:id="0" w:name="_GoBack"/>
      <w:bookmarkEnd w:id="0"/>
    </w:p>
    <w:p>
      <w:pPr>
        <w:ind w:firstLine="600" w:firstLineChars="200"/>
        <w:rPr>
          <w:rFonts w:ascii="仿宋_GB2312"/>
          <w:szCs w:val="32"/>
        </w:rPr>
      </w:pPr>
    </w:p>
    <w:p>
      <w:pPr>
        <w:rPr>
          <w:rFonts w:ascii="仿宋_GB231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B9"/>
    <w:rsid w:val="00001D1E"/>
    <w:rsid w:val="00013D16"/>
    <w:rsid w:val="000171BA"/>
    <w:rsid w:val="000319A8"/>
    <w:rsid w:val="00032E51"/>
    <w:rsid w:val="00034434"/>
    <w:rsid w:val="00036AFD"/>
    <w:rsid w:val="000736BC"/>
    <w:rsid w:val="00085694"/>
    <w:rsid w:val="00086016"/>
    <w:rsid w:val="000930E2"/>
    <w:rsid w:val="000A1D08"/>
    <w:rsid w:val="00111944"/>
    <w:rsid w:val="00132725"/>
    <w:rsid w:val="00136F99"/>
    <w:rsid w:val="00141463"/>
    <w:rsid w:val="0015321A"/>
    <w:rsid w:val="00164B80"/>
    <w:rsid w:val="00164FB6"/>
    <w:rsid w:val="0017039B"/>
    <w:rsid w:val="00181EE4"/>
    <w:rsid w:val="0018742F"/>
    <w:rsid w:val="001B3F4E"/>
    <w:rsid w:val="001B6324"/>
    <w:rsid w:val="001D167A"/>
    <w:rsid w:val="001D70CF"/>
    <w:rsid w:val="00206422"/>
    <w:rsid w:val="002575AD"/>
    <w:rsid w:val="002958D5"/>
    <w:rsid w:val="002A7305"/>
    <w:rsid w:val="003069D3"/>
    <w:rsid w:val="003227A4"/>
    <w:rsid w:val="003745A3"/>
    <w:rsid w:val="00400140"/>
    <w:rsid w:val="004233C6"/>
    <w:rsid w:val="004272F6"/>
    <w:rsid w:val="00481381"/>
    <w:rsid w:val="004C7EB3"/>
    <w:rsid w:val="004E236D"/>
    <w:rsid w:val="00533733"/>
    <w:rsid w:val="005475D8"/>
    <w:rsid w:val="00585FE2"/>
    <w:rsid w:val="005B6B13"/>
    <w:rsid w:val="005B788D"/>
    <w:rsid w:val="005E66DF"/>
    <w:rsid w:val="00621565"/>
    <w:rsid w:val="00621671"/>
    <w:rsid w:val="00634AA4"/>
    <w:rsid w:val="006745FA"/>
    <w:rsid w:val="006922D8"/>
    <w:rsid w:val="006A5C30"/>
    <w:rsid w:val="007618A0"/>
    <w:rsid w:val="007664FF"/>
    <w:rsid w:val="007822D9"/>
    <w:rsid w:val="00795A5E"/>
    <w:rsid w:val="007C09FC"/>
    <w:rsid w:val="007E7978"/>
    <w:rsid w:val="007F4CB9"/>
    <w:rsid w:val="0082352F"/>
    <w:rsid w:val="008256DA"/>
    <w:rsid w:val="00844438"/>
    <w:rsid w:val="00851B67"/>
    <w:rsid w:val="00880467"/>
    <w:rsid w:val="008862BA"/>
    <w:rsid w:val="00897F9E"/>
    <w:rsid w:val="008B3127"/>
    <w:rsid w:val="008C7121"/>
    <w:rsid w:val="008F0CA4"/>
    <w:rsid w:val="008F6DF8"/>
    <w:rsid w:val="009155A2"/>
    <w:rsid w:val="00923357"/>
    <w:rsid w:val="0094364F"/>
    <w:rsid w:val="00955237"/>
    <w:rsid w:val="00962273"/>
    <w:rsid w:val="00971C33"/>
    <w:rsid w:val="00991E4C"/>
    <w:rsid w:val="00A07E5A"/>
    <w:rsid w:val="00A12FC3"/>
    <w:rsid w:val="00A52CB8"/>
    <w:rsid w:val="00AF34D6"/>
    <w:rsid w:val="00B016D8"/>
    <w:rsid w:val="00B174F3"/>
    <w:rsid w:val="00B202CA"/>
    <w:rsid w:val="00B67418"/>
    <w:rsid w:val="00BB2B39"/>
    <w:rsid w:val="00BB6974"/>
    <w:rsid w:val="00BC3852"/>
    <w:rsid w:val="00BD701A"/>
    <w:rsid w:val="00BE52B9"/>
    <w:rsid w:val="00BF47F7"/>
    <w:rsid w:val="00C30788"/>
    <w:rsid w:val="00C40801"/>
    <w:rsid w:val="00C40EC0"/>
    <w:rsid w:val="00C94604"/>
    <w:rsid w:val="00CB5C3C"/>
    <w:rsid w:val="00CC10A3"/>
    <w:rsid w:val="00CD4960"/>
    <w:rsid w:val="00CE42B8"/>
    <w:rsid w:val="00CE5DFA"/>
    <w:rsid w:val="00CF0B2C"/>
    <w:rsid w:val="00CF3A25"/>
    <w:rsid w:val="00CF7A39"/>
    <w:rsid w:val="00D0101C"/>
    <w:rsid w:val="00D0550B"/>
    <w:rsid w:val="00D12B31"/>
    <w:rsid w:val="00D3006F"/>
    <w:rsid w:val="00D427DC"/>
    <w:rsid w:val="00D9624D"/>
    <w:rsid w:val="00DC17EA"/>
    <w:rsid w:val="00DE0183"/>
    <w:rsid w:val="00E03CB2"/>
    <w:rsid w:val="00E07DB1"/>
    <w:rsid w:val="00E177A0"/>
    <w:rsid w:val="00E21471"/>
    <w:rsid w:val="00E26C0C"/>
    <w:rsid w:val="00E56E67"/>
    <w:rsid w:val="00E57E59"/>
    <w:rsid w:val="00E72695"/>
    <w:rsid w:val="00E92890"/>
    <w:rsid w:val="00E933F7"/>
    <w:rsid w:val="00EA30C6"/>
    <w:rsid w:val="00EA462E"/>
    <w:rsid w:val="00EC37B3"/>
    <w:rsid w:val="00ED6A53"/>
    <w:rsid w:val="00EF468E"/>
    <w:rsid w:val="00F421B4"/>
    <w:rsid w:val="00F919E2"/>
    <w:rsid w:val="00FD2CD6"/>
    <w:rsid w:val="00FE48D8"/>
    <w:rsid w:val="00FE58CC"/>
    <w:rsid w:val="6E395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4</Pages>
  <Words>210</Words>
  <Characters>1200</Characters>
  <Lines>10</Lines>
  <Paragraphs>2</Paragraphs>
  <TotalTime>65</TotalTime>
  <ScaleCrop>false</ScaleCrop>
  <LinksUpToDate>false</LinksUpToDate>
  <CharactersWithSpaces>1408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2025-02-26T01:11:00Z</dcterms:created>
  <dc:creator>China</dc:creator>
  <cp:lastModifiedBy>szq</cp:lastModifiedBy>
  <cp:lastPrinted>2024-03-11T07:16:00Z</cp:lastPrinted>
  <dcterms:modified xsi:type="dcterms:W3CDTF">2025-08-20T07:29:59Z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B43B58DE1B564B9BAF9C2C03CF923743</vt:lpwstr>
  </property>
</Properties>
</file>