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B5CC4">
      <w:pPr>
        <w:ind w:firstLine="640" w:firstLineChars="200"/>
        <w:jc w:val="center"/>
        <w:rPr>
          <w:rFonts w:ascii="黑体" w:hAnsi="黑体" w:eastAsia="黑体"/>
          <w:szCs w:val="32"/>
        </w:rPr>
      </w:pPr>
      <w:r>
        <w:rPr>
          <w:rFonts w:hint="eastAsia" w:ascii="黑体" w:hAnsi="黑体" w:eastAsia="黑体"/>
          <w:szCs w:val="32"/>
        </w:rPr>
        <w:t>宿州市埇桥区东关街道202</w:t>
      </w:r>
      <w:r>
        <w:rPr>
          <w:rFonts w:hint="eastAsia" w:ascii="黑体" w:hAnsi="黑体" w:eastAsia="黑体"/>
          <w:szCs w:val="32"/>
          <w:lang w:val="en-US" w:eastAsia="zh-CN"/>
        </w:rPr>
        <w:t>4</w:t>
      </w:r>
      <w:r>
        <w:rPr>
          <w:rFonts w:ascii="黑体" w:hAnsi="黑体" w:eastAsia="黑体"/>
          <w:szCs w:val="32"/>
        </w:rPr>
        <w:t>年</w:t>
      </w:r>
      <w:r>
        <w:rPr>
          <w:rFonts w:hint="eastAsia" w:ascii="黑体" w:hAnsi="黑体" w:eastAsia="黑体"/>
          <w:szCs w:val="32"/>
        </w:rPr>
        <w:t>度一般公共预算财政拨款</w:t>
      </w:r>
      <w:r>
        <w:rPr>
          <w:rFonts w:ascii="黑体" w:hAnsi="黑体" w:eastAsia="黑体"/>
          <w:szCs w:val="32"/>
        </w:rPr>
        <w:t>“三公</w:t>
      </w:r>
      <w:r>
        <w:rPr>
          <w:rFonts w:hint="eastAsia" w:ascii="黑体" w:hAnsi="黑体" w:eastAsia="黑体"/>
          <w:szCs w:val="32"/>
        </w:rPr>
        <w:t>”</w:t>
      </w:r>
      <w:r>
        <w:rPr>
          <w:rFonts w:ascii="黑体" w:hAnsi="黑体" w:eastAsia="黑体"/>
          <w:szCs w:val="32"/>
        </w:rPr>
        <w:t>经费</w:t>
      </w:r>
      <w:r>
        <w:rPr>
          <w:rFonts w:hint="eastAsia" w:ascii="黑体" w:hAnsi="黑体" w:eastAsia="黑体"/>
          <w:szCs w:val="32"/>
        </w:rPr>
        <w:t>支出决算</w:t>
      </w:r>
    </w:p>
    <w:p w14:paraId="13563D30">
      <w:pPr>
        <w:jc w:val="center"/>
        <w:rPr>
          <w:rFonts w:ascii="楷体_GB2312" w:eastAsia="楷体_GB2312"/>
          <w:szCs w:val="32"/>
        </w:rPr>
      </w:pPr>
    </w:p>
    <w:p w14:paraId="6237BDEF">
      <w:pPr>
        <w:adjustRightInd w:val="0"/>
        <w:snapToGrid w:val="0"/>
        <w:spacing w:line="360" w:lineRule="auto"/>
        <w:jc w:val="center"/>
        <w:rPr>
          <w:rFonts w:ascii="宋体" w:hAnsi="宋体"/>
          <w:sz w:val="6"/>
          <w:szCs w:val="32"/>
        </w:rPr>
      </w:pPr>
    </w:p>
    <w:p w14:paraId="536360CA">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一、202</w:t>
      </w:r>
      <w:r>
        <w:rPr>
          <w:rFonts w:hint="eastAsia" w:ascii="黑体" w:hAnsi="黑体" w:eastAsia="黑体"/>
          <w:szCs w:val="32"/>
          <w:lang w:val="en-US" w:eastAsia="zh-CN"/>
        </w:rPr>
        <w:t>4</w:t>
      </w:r>
      <w:r>
        <w:rPr>
          <w:rFonts w:hint="eastAsia" w:ascii="黑体" w:hAnsi="黑体" w:eastAsia="黑体"/>
          <w:szCs w:val="32"/>
        </w:rPr>
        <w:t>年度一般公共预算财政拨款“三公”经费支出决算表</w:t>
      </w:r>
    </w:p>
    <w:tbl>
      <w:tblPr>
        <w:tblStyle w:val="5"/>
        <w:tblW w:w="8817" w:type="dxa"/>
        <w:tblInd w:w="0" w:type="dxa"/>
        <w:tblLayout w:type="fixed"/>
        <w:tblCellMar>
          <w:top w:w="0" w:type="dxa"/>
          <w:left w:w="0" w:type="dxa"/>
          <w:bottom w:w="0" w:type="dxa"/>
          <w:right w:w="0" w:type="dxa"/>
        </w:tblCellMar>
      </w:tblPr>
      <w:tblGrid>
        <w:gridCol w:w="597"/>
        <w:gridCol w:w="792"/>
        <w:gridCol w:w="588"/>
        <w:gridCol w:w="744"/>
        <w:gridCol w:w="960"/>
        <w:gridCol w:w="636"/>
        <w:gridCol w:w="600"/>
        <w:gridCol w:w="816"/>
        <w:gridCol w:w="696"/>
        <w:gridCol w:w="840"/>
        <w:gridCol w:w="936"/>
        <w:gridCol w:w="612"/>
      </w:tblGrid>
      <w:tr w14:paraId="2A10C0C7">
        <w:tblPrEx>
          <w:tblCellMar>
            <w:top w:w="0" w:type="dxa"/>
            <w:left w:w="0" w:type="dxa"/>
            <w:bottom w:w="0" w:type="dxa"/>
            <w:right w:w="0" w:type="dxa"/>
          </w:tblCellMar>
        </w:tblPrEx>
        <w:trPr>
          <w:trHeight w:val="290" w:hRule="atLeast"/>
        </w:trPr>
        <w:tc>
          <w:tcPr>
            <w:tcW w:w="597" w:type="dxa"/>
            <w:tcBorders>
              <w:top w:val="nil"/>
              <w:left w:val="nil"/>
              <w:bottom w:val="nil"/>
              <w:right w:val="nil"/>
            </w:tcBorders>
            <w:shd w:val="clear" w:color="auto" w:fill="FFFFFF"/>
            <w:noWrap/>
            <w:tcMar>
              <w:top w:w="12" w:type="dxa"/>
              <w:left w:w="12" w:type="dxa"/>
              <w:right w:w="12" w:type="dxa"/>
            </w:tcMar>
            <w:vAlign w:val="center"/>
          </w:tcPr>
          <w:p w14:paraId="51E90499">
            <w:pPr>
              <w:widowControl/>
              <w:jc w:val="left"/>
              <w:textAlignment w:val="center"/>
              <w:rPr>
                <w:rFonts w:hint="eastAsia" w:ascii="宋体" w:hAnsi="宋体" w:cs="宋体"/>
                <w:color w:val="000000"/>
                <w:sz w:val="20"/>
                <w:szCs w:val="20"/>
              </w:rPr>
            </w:pPr>
          </w:p>
        </w:tc>
        <w:tc>
          <w:tcPr>
            <w:tcW w:w="792" w:type="dxa"/>
            <w:tcBorders>
              <w:top w:val="nil"/>
              <w:left w:val="nil"/>
              <w:bottom w:val="nil"/>
              <w:right w:val="nil"/>
            </w:tcBorders>
            <w:shd w:val="clear" w:color="auto" w:fill="FFFFFF"/>
            <w:noWrap w:val="0"/>
            <w:tcMar>
              <w:top w:w="12" w:type="dxa"/>
              <w:left w:w="12" w:type="dxa"/>
              <w:right w:w="12" w:type="dxa"/>
            </w:tcMar>
            <w:vAlign w:val="center"/>
          </w:tcPr>
          <w:p w14:paraId="3889F900">
            <w:pPr>
              <w:rPr>
                <w:rFonts w:hint="eastAsia" w:ascii="宋体" w:hAnsi="宋体" w:cs="宋体"/>
                <w:color w:val="000000"/>
                <w:sz w:val="20"/>
                <w:szCs w:val="20"/>
              </w:rPr>
            </w:pPr>
          </w:p>
        </w:tc>
        <w:tc>
          <w:tcPr>
            <w:tcW w:w="588" w:type="dxa"/>
            <w:tcBorders>
              <w:top w:val="nil"/>
              <w:left w:val="nil"/>
              <w:bottom w:val="nil"/>
              <w:right w:val="nil"/>
            </w:tcBorders>
            <w:shd w:val="clear" w:color="auto" w:fill="FFFFFF"/>
            <w:noWrap w:val="0"/>
            <w:tcMar>
              <w:top w:w="12" w:type="dxa"/>
              <w:left w:w="12" w:type="dxa"/>
              <w:right w:w="12" w:type="dxa"/>
            </w:tcMar>
            <w:vAlign w:val="center"/>
          </w:tcPr>
          <w:p w14:paraId="17C4CDA9">
            <w:pPr>
              <w:rPr>
                <w:rFonts w:hint="eastAsia" w:ascii="宋体" w:hAnsi="宋体" w:cs="宋体"/>
                <w:color w:val="000000"/>
                <w:sz w:val="20"/>
                <w:szCs w:val="20"/>
              </w:rPr>
            </w:pPr>
          </w:p>
        </w:tc>
        <w:tc>
          <w:tcPr>
            <w:tcW w:w="744" w:type="dxa"/>
            <w:tcBorders>
              <w:top w:val="nil"/>
              <w:left w:val="nil"/>
              <w:bottom w:val="nil"/>
              <w:right w:val="nil"/>
            </w:tcBorders>
            <w:shd w:val="clear" w:color="auto" w:fill="FFFFFF"/>
            <w:noWrap w:val="0"/>
            <w:tcMar>
              <w:top w:w="12" w:type="dxa"/>
              <w:left w:w="12" w:type="dxa"/>
              <w:right w:w="12" w:type="dxa"/>
            </w:tcMar>
            <w:vAlign w:val="center"/>
          </w:tcPr>
          <w:p w14:paraId="7BA5C0A5">
            <w:pPr>
              <w:rPr>
                <w:rFonts w:hint="eastAsia" w:ascii="宋体" w:hAnsi="宋体" w:cs="宋体"/>
                <w:color w:val="000000"/>
                <w:sz w:val="20"/>
                <w:szCs w:val="20"/>
              </w:rPr>
            </w:pPr>
          </w:p>
        </w:tc>
        <w:tc>
          <w:tcPr>
            <w:tcW w:w="960" w:type="dxa"/>
            <w:tcBorders>
              <w:top w:val="nil"/>
              <w:left w:val="nil"/>
              <w:bottom w:val="nil"/>
              <w:right w:val="nil"/>
            </w:tcBorders>
            <w:shd w:val="clear" w:color="auto" w:fill="FFFFFF"/>
            <w:noWrap w:val="0"/>
            <w:tcMar>
              <w:top w:w="12" w:type="dxa"/>
              <w:left w:w="12" w:type="dxa"/>
              <w:right w:w="12" w:type="dxa"/>
            </w:tcMar>
            <w:vAlign w:val="center"/>
          </w:tcPr>
          <w:p w14:paraId="4EF93FA0">
            <w:pPr>
              <w:rPr>
                <w:rFonts w:hint="eastAsia" w:ascii="宋体" w:hAnsi="宋体" w:cs="宋体"/>
                <w:color w:val="000000"/>
                <w:sz w:val="20"/>
                <w:szCs w:val="20"/>
              </w:rPr>
            </w:pPr>
          </w:p>
        </w:tc>
        <w:tc>
          <w:tcPr>
            <w:tcW w:w="636" w:type="dxa"/>
            <w:tcBorders>
              <w:top w:val="nil"/>
              <w:left w:val="nil"/>
              <w:bottom w:val="nil"/>
              <w:right w:val="nil"/>
            </w:tcBorders>
            <w:shd w:val="clear" w:color="auto" w:fill="FFFFFF"/>
            <w:noWrap w:val="0"/>
            <w:tcMar>
              <w:top w:w="12" w:type="dxa"/>
              <w:left w:w="12" w:type="dxa"/>
              <w:right w:w="12" w:type="dxa"/>
            </w:tcMar>
            <w:vAlign w:val="center"/>
          </w:tcPr>
          <w:p w14:paraId="1269B817">
            <w:pPr>
              <w:rPr>
                <w:rFonts w:hint="eastAsia" w:ascii="宋体" w:hAnsi="宋体" w:cs="宋体"/>
                <w:color w:val="000000"/>
                <w:sz w:val="20"/>
                <w:szCs w:val="20"/>
              </w:rPr>
            </w:pPr>
          </w:p>
        </w:tc>
        <w:tc>
          <w:tcPr>
            <w:tcW w:w="600" w:type="dxa"/>
            <w:tcBorders>
              <w:top w:val="nil"/>
              <w:left w:val="nil"/>
              <w:bottom w:val="nil"/>
              <w:right w:val="nil"/>
            </w:tcBorders>
            <w:shd w:val="clear" w:color="auto" w:fill="FFFFFF"/>
            <w:noWrap w:val="0"/>
            <w:tcMar>
              <w:top w:w="12" w:type="dxa"/>
              <w:left w:w="12" w:type="dxa"/>
              <w:right w:w="12" w:type="dxa"/>
            </w:tcMar>
            <w:vAlign w:val="center"/>
          </w:tcPr>
          <w:p w14:paraId="2A133085">
            <w:pPr>
              <w:rPr>
                <w:rFonts w:hint="eastAsia" w:ascii="宋体" w:hAnsi="宋体" w:cs="宋体"/>
                <w:color w:val="000000"/>
                <w:sz w:val="20"/>
                <w:szCs w:val="20"/>
              </w:rPr>
            </w:pPr>
          </w:p>
        </w:tc>
        <w:tc>
          <w:tcPr>
            <w:tcW w:w="816" w:type="dxa"/>
            <w:tcBorders>
              <w:top w:val="nil"/>
              <w:left w:val="nil"/>
              <w:bottom w:val="nil"/>
              <w:right w:val="nil"/>
            </w:tcBorders>
            <w:shd w:val="clear" w:color="auto" w:fill="FFFFFF"/>
            <w:noWrap w:val="0"/>
            <w:tcMar>
              <w:top w:w="12" w:type="dxa"/>
              <w:left w:w="12" w:type="dxa"/>
              <w:right w:w="12" w:type="dxa"/>
            </w:tcMar>
            <w:vAlign w:val="center"/>
          </w:tcPr>
          <w:p w14:paraId="0DDC7CBD">
            <w:pPr>
              <w:rPr>
                <w:rFonts w:hint="eastAsia" w:ascii="宋体" w:hAnsi="宋体" w:cs="宋体"/>
                <w:color w:val="000000"/>
                <w:sz w:val="20"/>
                <w:szCs w:val="20"/>
              </w:rPr>
            </w:pPr>
          </w:p>
        </w:tc>
        <w:tc>
          <w:tcPr>
            <w:tcW w:w="696" w:type="dxa"/>
            <w:tcBorders>
              <w:top w:val="nil"/>
              <w:left w:val="nil"/>
              <w:bottom w:val="nil"/>
              <w:right w:val="nil"/>
            </w:tcBorders>
            <w:shd w:val="clear" w:color="auto" w:fill="FFFFFF"/>
            <w:noWrap w:val="0"/>
            <w:tcMar>
              <w:top w:w="12" w:type="dxa"/>
              <w:left w:w="12" w:type="dxa"/>
              <w:right w:w="12" w:type="dxa"/>
            </w:tcMar>
            <w:vAlign w:val="center"/>
          </w:tcPr>
          <w:p w14:paraId="1E4A2C67">
            <w:pPr>
              <w:rPr>
                <w:rFonts w:hint="eastAsia" w:ascii="宋体" w:hAnsi="宋体" w:cs="宋体"/>
                <w:color w:val="000000"/>
                <w:sz w:val="20"/>
                <w:szCs w:val="20"/>
              </w:rPr>
            </w:pPr>
          </w:p>
        </w:tc>
        <w:tc>
          <w:tcPr>
            <w:tcW w:w="840" w:type="dxa"/>
            <w:tcBorders>
              <w:top w:val="nil"/>
              <w:left w:val="nil"/>
              <w:bottom w:val="nil"/>
              <w:right w:val="nil"/>
            </w:tcBorders>
            <w:shd w:val="clear" w:color="auto" w:fill="FFFFFF"/>
            <w:noWrap w:val="0"/>
            <w:tcMar>
              <w:top w:w="12" w:type="dxa"/>
              <w:left w:w="12" w:type="dxa"/>
              <w:right w:w="12" w:type="dxa"/>
            </w:tcMar>
            <w:vAlign w:val="center"/>
          </w:tcPr>
          <w:p w14:paraId="62D595AC">
            <w:pPr>
              <w:rPr>
                <w:rFonts w:hint="eastAsia" w:ascii="宋体" w:hAnsi="宋体" w:cs="宋体"/>
                <w:color w:val="000000"/>
                <w:sz w:val="20"/>
                <w:szCs w:val="20"/>
              </w:rPr>
            </w:pPr>
          </w:p>
        </w:tc>
        <w:tc>
          <w:tcPr>
            <w:tcW w:w="1548" w:type="dxa"/>
            <w:gridSpan w:val="2"/>
            <w:tcBorders>
              <w:top w:val="nil"/>
              <w:left w:val="nil"/>
              <w:bottom w:val="nil"/>
              <w:right w:val="nil"/>
            </w:tcBorders>
            <w:shd w:val="clear" w:color="auto" w:fill="FFFFFF"/>
            <w:noWrap w:val="0"/>
            <w:tcMar>
              <w:top w:w="12" w:type="dxa"/>
              <w:left w:w="12" w:type="dxa"/>
              <w:right w:w="12" w:type="dxa"/>
            </w:tcMar>
            <w:vAlign w:val="center"/>
          </w:tcPr>
          <w:p w14:paraId="73D10F09">
            <w:pPr>
              <w:widowControl/>
              <w:jc w:val="right"/>
              <w:textAlignment w:val="center"/>
              <w:rPr>
                <w:rFonts w:hint="eastAsia" w:ascii="宋体" w:hAnsi="宋体" w:cs="宋体"/>
                <w:color w:val="000000"/>
                <w:sz w:val="20"/>
                <w:szCs w:val="20"/>
              </w:rPr>
            </w:pPr>
            <w:r>
              <w:rPr>
                <w:rFonts w:hint="eastAsia" w:ascii="宋体" w:hAnsi="宋体" w:cs="Arial"/>
                <w:color w:val="000000"/>
                <w:kern w:val="0"/>
                <w:sz w:val="22"/>
                <w:szCs w:val="22"/>
              </w:rPr>
              <w:t>金额单位</w:t>
            </w:r>
            <w:r>
              <w:rPr>
                <w:rFonts w:hint="eastAsia" w:ascii="宋体" w:hAnsi="宋体" w:cs="宋体"/>
                <w:color w:val="000000"/>
                <w:kern w:val="0"/>
                <w:sz w:val="20"/>
                <w:szCs w:val="20"/>
                <w:lang w:bidi="ar"/>
              </w:rPr>
              <w:t>：万元</w:t>
            </w:r>
          </w:p>
        </w:tc>
      </w:tr>
      <w:tr w14:paraId="4ED1DA60">
        <w:tblPrEx>
          <w:tblCellMar>
            <w:top w:w="0" w:type="dxa"/>
            <w:left w:w="0" w:type="dxa"/>
            <w:bottom w:w="0" w:type="dxa"/>
            <w:right w:w="0" w:type="dxa"/>
          </w:tblCellMar>
        </w:tblPrEx>
        <w:trPr>
          <w:trHeight w:val="540" w:hRule="atLeast"/>
        </w:trPr>
        <w:tc>
          <w:tcPr>
            <w:tcW w:w="4317"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4E3A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4500"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D9D2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14:paraId="394C324B">
        <w:tblPrEx>
          <w:tblCellMar>
            <w:top w:w="0" w:type="dxa"/>
            <w:left w:w="0" w:type="dxa"/>
            <w:bottom w:w="0" w:type="dxa"/>
            <w:right w:w="0" w:type="dxa"/>
          </w:tblCellMar>
        </w:tblPrEx>
        <w:trPr>
          <w:trHeight w:val="578"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8072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79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24F43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因公出国（境）费</w:t>
            </w:r>
          </w:p>
        </w:tc>
        <w:tc>
          <w:tcPr>
            <w:tcW w:w="229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E978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公务用车购置及运行维护费</w:t>
            </w:r>
          </w:p>
        </w:tc>
        <w:tc>
          <w:tcPr>
            <w:tcW w:w="63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8DABC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公务接待费</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16746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8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EAF2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因公出国（境）费</w:t>
            </w:r>
          </w:p>
        </w:tc>
        <w:tc>
          <w:tcPr>
            <w:tcW w:w="247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54FEC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lang w:bidi="ar"/>
              </w:rPr>
              <w:t>公务用车购置及运行维护费</w:t>
            </w:r>
          </w:p>
        </w:tc>
        <w:tc>
          <w:tcPr>
            <w:tcW w:w="61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4C1C1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公务接待费</w:t>
            </w:r>
          </w:p>
        </w:tc>
      </w:tr>
      <w:tr w14:paraId="642EA140">
        <w:tblPrEx>
          <w:tblCellMar>
            <w:top w:w="0" w:type="dxa"/>
            <w:left w:w="0" w:type="dxa"/>
            <w:bottom w:w="0" w:type="dxa"/>
            <w:right w:w="0" w:type="dxa"/>
          </w:tblCellMar>
        </w:tblPrEx>
        <w:trPr>
          <w:trHeight w:val="578"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3EF05A">
            <w:pPr>
              <w:jc w:val="center"/>
              <w:rPr>
                <w:rFonts w:hint="eastAsia" w:ascii="宋体" w:hAnsi="宋体" w:cs="宋体"/>
                <w:color w:val="000000"/>
                <w:sz w:val="18"/>
                <w:szCs w:val="18"/>
              </w:rPr>
            </w:pPr>
          </w:p>
        </w:tc>
        <w:tc>
          <w:tcPr>
            <w:tcW w:w="79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F8DB1D">
            <w:pPr>
              <w:jc w:val="center"/>
              <w:rPr>
                <w:rFonts w:hint="eastAsia" w:ascii="宋体" w:hAnsi="宋体"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BB777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小计</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85593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公务用车购置费</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7F06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公务用车运行维护费</w:t>
            </w:r>
          </w:p>
        </w:tc>
        <w:tc>
          <w:tcPr>
            <w:tcW w:w="6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514964">
            <w:pPr>
              <w:jc w:val="center"/>
              <w:rPr>
                <w:rFonts w:hint="eastAsia" w:ascii="宋体" w:hAnsi="宋体" w:cs="宋体"/>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43F2AB">
            <w:pPr>
              <w:jc w:val="center"/>
              <w:rPr>
                <w:rFonts w:hint="eastAsia" w:ascii="宋体" w:hAnsi="宋体" w:cs="宋体"/>
                <w:color w:val="000000"/>
                <w:sz w:val="18"/>
                <w:szCs w:val="18"/>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6D8971">
            <w:pPr>
              <w:jc w:val="center"/>
              <w:rPr>
                <w:rFonts w:hint="eastAsia" w:ascii="宋体" w:hAnsi="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C76E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小计</w:t>
            </w:r>
          </w:p>
        </w:tc>
        <w:tc>
          <w:tcPr>
            <w:tcW w:w="8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C847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公务用车购置费</w:t>
            </w:r>
          </w:p>
        </w:tc>
        <w:tc>
          <w:tcPr>
            <w:tcW w:w="9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A2FE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公务用车运行维护费</w:t>
            </w:r>
          </w:p>
        </w:tc>
        <w:tc>
          <w:tcPr>
            <w:tcW w:w="61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99FE46">
            <w:pPr>
              <w:jc w:val="center"/>
              <w:rPr>
                <w:rFonts w:hint="eastAsia" w:ascii="宋体" w:hAnsi="宋体" w:cs="宋体"/>
                <w:color w:val="000000"/>
                <w:sz w:val="18"/>
                <w:szCs w:val="18"/>
              </w:rPr>
            </w:pPr>
          </w:p>
        </w:tc>
      </w:tr>
      <w:tr w14:paraId="01931DA1">
        <w:tblPrEx>
          <w:tblCellMar>
            <w:top w:w="0" w:type="dxa"/>
            <w:left w:w="0" w:type="dxa"/>
            <w:bottom w:w="0" w:type="dxa"/>
            <w:right w:w="0" w:type="dxa"/>
          </w:tblCellMar>
        </w:tblPrEx>
        <w:trPr>
          <w:trHeight w:val="540" w:hRule="atLeast"/>
        </w:trPr>
        <w:tc>
          <w:tcPr>
            <w:tcW w:w="5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08A9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F059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C85B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7F70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0535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8303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41FF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39D6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6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DA24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8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463E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B878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6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8DAC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5146E37B">
        <w:tblPrEx>
          <w:tblCellMar>
            <w:top w:w="0" w:type="dxa"/>
            <w:left w:w="0" w:type="dxa"/>
            <w:bottom w:w="0" w:type="dxa"/>
            <w:right w:w="0" w:type="dxa"/>
          </w:tblCellMar>
        </w:tblPrEx>
        <w:trPr>
          <w:trHeight w:val="414" w:hRule="atLeast"/>
        </w:trPr>
        <w:tc>
          <w:tcPr>
            <w:tcW w:w="5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4BAB18">
            <w:pPr>
              <w:jc w:val="center"/>
              <w:rPr>
                <w:rFonts w:hint="eastAsia" w:ascii="宋体" w:hAnsi="宋体" w:eastAsia="仿宋_GB2312" w:cs="宋体"/>
                <w:color w:val="000000"/>
                <w:sz w:val="20"/>
                <w:szCs w:val="20"/>
                <w:lang w:val="en-US" w:eastAsia="zh-CN"/>
              </w:rPr>
            </w:pPr>
            <w:r>
              <w:rPr>
                <w:rFonts w:hint="eastAsia" w:ascii="宋体" w:hAnsi="宋体" w:cs="宋体"/>
                <w:color w:val="000000"/>
                <w:sz w:val="20"/>
                <w:szCs w:val="20"/>
                <w:lang w:val="en-US" w:eastAsia="zh-CN"/>
              </w:rPr>
              <w:t>0</w:t>
            </w: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4C7C5F">
            <w:pPr>
              <w:jc w:val="center"/>
              <w:rPr>
                <w:rFonts w:hint="eastAsia" w:ascii="宋体" w:hAnsi="宋体" w:eastAsia="仿宋_GB2312" w:cs="宋体"/>
                <w:color w:val="000000"/>
                <w:sz w:val="20"/>
                <w:szCs w:val="20"/>
                <w:lang w:val="en-US" w:eastAsia="zh-CN"/>
              </w:rPr>
            </w:pPr>
            <w:r>
              <w:rPr>
                <w:rFonts w:hint="eastAsia" w:ascii="宋体" w:hAnsi="宋体" w:cs="宋体"/>
                <w:color w:val="000000"/>
                <w:sz w:val="20"/>
                <w:szCs w:val="20"/>
                <w:lang w:val="en-US" w:eastAsia="zh-CN"/>
              </w:rPr>
              <w:t>0</w:t>
            </w: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018269">
            <w:pPr>
              <w:jc w:val="center"/>
              <w:rPr>
                <w:rFonts w:hint="eastAsia" w:ascii="宋体" w:hAnsi="宋体" w:eastAsia="仿宋_GB2312" w:cs="宋体"/>
                <w:color w:val="000000"/>
                <w:sz w:val="20"/>
                <w:szCs w:val="20"/>
                <w:lang w:val="en-US" w:eastAsia="zh-CN"/>
              </w:rPr>
            </w:pPr>
            <w:r>
              <w:rPr>
                <w:rFonts w:hint="eastAsia" w:ascii="宋体" w:hAnsi="宋体" w:cs="宋体"/>
                <w:color w:val="000000"/>
                <w:sz w:val="20"/>
                <w:szCs w:val="20"/>
                <w:lang w:val="en-US" w:eastAsia="zh-CN"/>
              </w:rPr>
              <w:t>0</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7E5FE7">
            <w:pPr>
              <w:jc w:val="center"/>
              <w:rPr>
                <w:rFonts w:hint="eastAsia" w:ascii="宋体" w:hAnsi="宋体" w:eastAsia="仿宋_GB2312" w:cs="宋体"/>
                <w:color w:val="000000"/>
                <w:sz w:val="20"/>
                <w:szCs w:val="20"/>
                <w:lang w:val="en-US" w:eastAsia="zh-CN"/>
              </w:rPr>
            </w:pPr>
            <w:r>
              <w:rPr>
                <w:rFonts w:hint="eastAsia" w:ascii="宋体" w:hAnsi="宋体" w:cs="宋体"/>
                <w:color w:val="000000"/>
                <w:sz w:val="20"/>
                <w:szCs w:val="20"/>
                <w:lang w:val="en-US" w:eastAsia="zh-CN"/>
              </w:rPr>
              <w:t>0</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7C9B4B">
            <w:pPr>
              <w:jc w:val="center"/>
              <w:rPr>
                <w:rFonts w:hint="eastAsia" w:ascii="宋体" w:hAnsi="宋体" w:eastAsia="仿宋_GB2312" w:cs="宋体"/>
                <w:color w:val="000000"/>
                <w:sz w:val="20"/>
                <w:szCs w:val="20"/>
                <w:lang w:val="en-US" w:eastAsia="zh-CN"/>
              </w:rPr>
            </w:pPr>
            <w:r>
              <w:rPr>
                <w:rFonts w:hint="eastAsia" w:ascii="宋体" w:hAnsi="宋体" w:cs="宋体"/>
                <w:color w:val="000000"/>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BD60FE">
            <w:pPr>
              <w:jc w:val="center"/>
              <w:rPr>
                <w:rFonts w:hint="eastAsia" w:ascii="宋体" w:hAnsi="宋体" w:eastAsia="仿宋_GB2312" w:cs="宋体"/>
                <w:color w:val="000000"/>
                <w:sz w:val="20"/>
                <w:szCs w:val="20"/>
                <w:lang w:val="en-US" w:eastAsia="zh-CN"/>
              </w:rPr>
            </w:pPr>
            <w:r>
              <w:rPr>
                <w:rFonts w:hint="eastAsia" w:ascii="宋体" w:hAnsi="宋体" w:cs="宋体"/>
                <w:color w:val="000000"/>
                <w:sz w:val="20"/>
                <w:szCs w:val="20"/>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464407">
            <w:pPr>
              <w:jc w:val="center"/>
              <w:rPr>
                <w:rFonts w:hint="eastAsia" w:ascii="宋体" w:hAnsi="宋体" w:eastAsia="仿宋_GB2312" w:cs="宋体"/>
                <w:color w:val="000000"/>
                <w:sz w:val="20"/>
                <w:szCs w:val="20"/>
                <w:lang w:val="en-US" w:eastAsia="zh-CN"/>
              </w:rPr>
            </w:pPr>
            <w:r>
              <w:rPr>
                <w:rFonts w:hint="eastAsia" w:ascii="宋体" w:hAnsi="宋体" w:cs="宋体"/>
                <w:color w:val="000000"/>
                <w:sz w:val="20"/>
                <w:szCs w:val="20"/>
                <w:lang w:val="en-US" w:eastAsia="zh-CN"/>
              </w:rPr>
              <w:t>0</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C6C0D4">
            <w:pPr>
              <w:jc w:val="center"/>
              <w:rPr>
                <w:rFonts w:hint="eastAsia" w:ascii="宋体" w:hAnsi="宋体" w:eastAsia="仿宋_GB2312" w:cs="宋体"/>
                <w:color w:val="000000"/>
                <w:sz w:val="20"/>
                <w:szCs w:val="20"/>
                <w:lang w:val="en-US" w:eastAsia="zh-CN"/>
              </w:rPr>
            </w:pPr>
            <w:r>
              <w:rPr>
                <w:rFonts w:hint="eastAsia" w:ascii="宋体" w:hAnsi="宋体" w:cs="宋体"/>
                <w:color w:val="000000"/>
                <w:sz w:val="20"/>
                <w:szCs w:val="20"/>
                <w:lang w:val="en-US" w:eastAsia="zh-CN"/>
              </w:rPr>
              <w:t>0</w:t>
            </w:r>
          </w:p>
        </w:tc>
        <w:tc>
          <w:tcPr>
            <w:tcW w:w="6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541EF9">
            <w:pPr>
              <w:jc w:val="center"/>
              <w:rPr>
                <w:rFonts w:hint="eastAsia" w:ascii="宋体" w:hAnsi="宋体" w:eastAsia="仿宋_GB2312" w:cs="宋体"/>
                <w:color w:val="000000"/>
                <w:sz w:val="20"/>
                <w:szCs w:val="20"/>
                <w:lang w:val="en-US" w:eastAsia="zh-CN"/>
              </w:rPr>
            </w:pPr>
            <w:r>
              <w:rPr>
                <w:rFonts w:hint="eastAsia" w:ascii="宋体" w:hAnsi="宋体" w:cs="宋体"/>
                <w:color w:val="000000"/>
                <w:sz w:val="20"/>
                <w:szCs w:val="20"/>
                <w:lang w:val="en-US" w:eastAsia="zh-CN"/>
              </w:rPr>
              <w:t>0</w:t>
            </w:r>
          </w:p>
        </w:tc>
        <w:tc>
          <w:tcPr>
            <w:tcW w:w="8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9308F5">
            <w:pPr>
              <w:jc w:val="center"/>
              <w:rPr>
                <w:rFonts w:hint="eastAsia" w:ascii="宋体" w:hAnsi="宋体" w:eastAsia="仿宋_GB2312" w:cs="宋体"/>
                <w:color w:val="000000"/>
                <w:sz w:val="20"/>
                <w:szCs w:val="20"/>
                <w:lang w:val="en-US" w:eastAsia="zh-CN"/>
              </w:rPr>
            </w:pPr>
            <w:r>
              <w:rPr>
                <w:rFonts w:hint="eastAsia" w:ascii="宋体" w:hAnsi="宋体" w:cs="宋体"/>
                <w:color w:val="000000"/>
                <w:sz w:val="20"/>
                <w:szCs w:val="20"/>
                <w:lang w:val="en-US" w:eastAsia="zh-CN"/>
              </w:rPr>
              <w:t>0</w:t>
            </w:r>
          </w:p>
        </w:tc>
        <w:tc>
          <w:tcPr>
            <w:tcW w:w="9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F44E3B">
            <w:pPr>
              <w:jc w:val="center"/>
              <w:rPr>
                <w:rFonts w:hint="eastAsia" w:ascii="宋体" w:hAnsi="宋体" w:eastAsia="仿宋_GB2312" w:cs="宋体"/>
                <w:color w:val="000000"/>
                <w:sz w:val="20"/>
                <w:szCs w:val="20"/>
                <w:lang w:val="en-US" w:eastAsia="zh-CN"/>
              </w:rPr>
            </w:pPr>
            <w:r>
              <w:rPr>
                <w:rFonts w:hint="eastAsia" w:ascii="宋体" w:hAnsi="宋体" w:cs="宋体"/>
                <w:color w:val="000000"/>
                <w:sz w:val="20"/>
                <w:szCs w:val="20"/>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607CAA">
            <w:pPr>
              <w:jc w:val="center"/>
              <w:rPr>
                <w:rFonts w:hint="eastAsia" w:ascii="宋体" w:hAnsi="宋体" w:eastAsia="仿宋_GB2312" w:cs="宋体"/>
                <w:color w:val="000000"/>
                <w:sz w:val="20"/>
                <w:szCs w:val="20"/>
                <w:lang w:val="en-US" w:eastAsia="zh-CN"/>
              </w:rPr>
            </w:pPr>
            <w:r>
              <w:rPr>
                <w:rFonts w:hint="eastAsia" w:ascii="宋体" w:hAnsi="宋体" w:cs="宋体"/>
                <w:color w:val="000000"/>
                <w:sz w:val="20"/>
                <w:szCs w:val="20"/>
                <w:lang w:val="en-US" w:eastAsia="zh-CN"/>
              </w:rPr>
              <w:t>0</w:t>
            </w:r>
          </w:p>
        </w:tc>
      </w:tr>
    </w:tbl>
    <w:p w14:paraId="78871F56">
      <w:pPr>
        <w:spacing w:line="300" w:lineRule="exact"/>
        <w:rPr>
          <w:rFonts w:hint="eastAsia" w:ascii="仿宋_GB2312" w:hAnsi="仿宋" w:eastAsia="仿宋_GB2312"/>
          <w:sz w:val="21"/>
          <w:szCs w:val="21"/>
          <w:lang w:eastAsia="zh-CN"/>
        </w:rPr>
      </w:pPr>
      <w:r>
        <w:rPr>
          <w:rFonts w:hint="eastAsia" w:ascii="仿宋_GB2312" w:hAnsi="仿宋"/>
          <w:sz w:val="21"/>
          <w:szCs w:val="21"/>
          <w:lang w:eastAsia="zh-CN"/>
        </w:rPr>
        <w:t>0</w:t>
      </w:r>
    </w:p>
    <w:p w14:paraId="725CF8F8">
      <w:pPr>
        <w:spacing w:line="300" w:lineRule="exact"/>
        <w:rPr>
          <w:rFonts w:ascii="黑体" w:hAnsi="黑体" w:eastAsia="黑体"/>
          <w:szCs w:val="32"/>
        </w:rPr>
      </w:pPr>
      <w:r>
        <w:rPr>
          <w:rFonts w:hint="eastAsia" w:ascii="仿宋_GB2312" w:hAnsi="仿宋" w:eastAsia="仿宋_GB2312"/>
          <w:sz w:val="21"/>
          <w:szCs w:val="21"/>
        </w:rPr>
        <w:t xml:space="preserve">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黑体" w:hAnsi="黑体" w:eastAsia="黑体"/>
          <w:szCs w:val="32"/>
        </w:rPr>
        <w:t xml:space="preserve">                                   </w:t>
      </w:r>
    </w:p>
    <w:p w14:paraId="20EE882D">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4</w:t>
      </w:r>
      <w:r>
        <w:rPr>
          <w:rFonts w:hint="eastAsia" w:ascii="黑体" w:hAnsi="黑体" w:eastAsia="黑体"/>
          <w:szCs w:val="32"/>
          <w:lang w:eastAsia="zh-CN"/>
        </w:rPr>
        <w:t>年</w:t>
      </w:r>
      <w:r>
        <w:rPr>
          <w:rFonts w:hint="eastAsia" w:ascii="黑体" w:hAnsi="黑体" w:eastAsia="黑体"/>
          <w:szCs w:val="32"/>
        </w:rPr>
        <w:t>度一般公共预算财政拨款“三公”经费支出</w:t>
      </w:r>
      <w:r>
        <w:rPr>
          <w:rFonts w:ascii="黑体" w:hAnsi="黑体" w:eastAsia="黑体"/>
          <w:szCs w:val="32"/>
        </w:rPr>
        <w:t>情况说明</w:t>
      </w:r>
    </w:p>
    <w:p w14:paraId="7FB8F98C">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14:paraId="5F160A76">
      <w:pPr>
        <w:ind w:firstLine="640" w:firstLineChars="200"/>
        <w:rPr>
          <w:rFonts w:ascii="楷体_GB2312" w:hAnsi="仿宋"/>
          <w:szCs w:val="32"/>
        </w:rPr>
      </w:pPr>
      <w:r>
        <w:rPr>
          <w:rFonts w:hint="eastAsia" w:ascii="仿宋_GB2312" w:hAnsi="仿宋"/>
          <w:szCs w:val="32"/>
        </w:rPr>
        <w:t>宿州市埇桥区</w:t>
      </w:r>
      <w:r>
        <w:rPr>
          <w:rFonts w:hint="eastAsia" w:ascii="仿宋_GB2312" w:hAnsi="仿宋"/>
          <w:szCs w:val="32"/>
          <w:lang w:eastAsia="zh-CN"/>
        </w:rPr>
        <w:t>东关街道202</w:t>
      </w:r>
      <w:r>
        <w:rPr>
          <w:rFonts w:hint="eastAsia" w:ascii="仿宋_GB2312" w:hAnsi="仿宋"/>
          <w:szCs w:val="32"/>
          <w:lang w:val="en-US" w:eastAsia="zh-CN"/>
        </w:rPr>
        <w:t>4</w:t>
      </w:r>
      <w:r>
        <w:rPr>
          <w:rFonts w:hint="eastAsia" w:ascii="仿宋_GB2312" w:hAnsi="仿宋"/>
          <w:szCs w:val="32"/>
          <w:lang w:eastAsia="zh-CN"/>
        </w:rPr>
        <w:t>年</w:t>
      </w:r>
      <w:r>
        <w:rPr>
          <w:rFonts w:hint="eastAsia" w:ascii="仿宋_GB2312" w:hAnsi="仿宋"/>
          <w:szCs w:val="32"/>
        </w:rPr>
        <w:t>度一般公共预算财政拨款“三公”经费支出预算为0万元，支出决算为0万元。</w:t>
      </w:r>
    </w:p>
    <w:p w14:paraId="6B699ABF">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7CDF3EF2">
      <w:pPr>
        <w:ind w:firstLine="640" w:firstLineChars="200"/>
        <w:rPr>
          <w:rFonts w:ascii="仿宋_GB2312" w:hAnsi="仿宋"/>
          <w:szCs w:val="32"/>
        </w:rPr>
      </w:pPr>
      <w:r>
        <w:rPr>
          <w:rFonts w:hint="eastAsia" w:ascii="仿宋_GB2312" w:hAnsi="仿宋"/>
          <w:szCs w:val="32"/>
        </w:rPr>
        <w:t>宿州市埇桥区</w:t>
      </w:r>
      <w:r>
        <w:rPr>
          <w:rFonts w:hint="eastAsia" w:ascii="仿宋_GB2312" w:hAnsi="仿宋"/>
          <w:szCs w:val="32"/>
          <w:lang w:eastAsia="zh-CN"/>
        </w:rPr>
        <w:t>东关街道202</w:t>
      </w:r>
      <w:r>
        <w:rPr>
          <w:rFonts w:hint="eastAsia" w:ascii="仿宋_GB2312" w:hAnsi="仿宋"/>
          <w:szCs w:val="32"/>
          <w:lang w:val="en-US" w:eastAsia="zh-CN"/>
        </w:rPr>
        <w:t>4</w:t>
      </w:r>
      <w:r>
        <w:rPr>
          <w:rFonts w:hint="eastAsia" w:ascii="仿宋_GB2312" w:hAnsi="仿宋"/>
          <w:szCs w:val="32"/>
          <w:lang w:eastAsia="zh-CN"/>
        </w:rPr>
        <w:t>年</w:t>
      </w:r>
      <w:r>
        <w:rPr>
          <w:rFonts w:hint="eastAsia" w:ascii="仿宋_GB2312" w:hAnsi="仿宋"/>
          <w:szCs w:val="32"/>
        </w:rPr>
        <w:t>度一般公共预算财政拨款“三公”经费支出决算中，因公出国（境）费支出决算0万元，占0%;公务接待费支出决算0万元，占0%；公务用车购置及运行维护费支出决算0万元，占0%。具体情况如下：</w:t>
      </w:r>
    </w:p>
    <w:p w14:paraId="12AC055B">
      <w:pPr>
        <w:ind w:firstLine="628"/>
        <w:rPr>
          <w:rFonts w:ascii="仿宋_GB2312" w:hAnsi="仿宋"/>
          <w:szCs w:val="32"/>
        </w:rPr>
      </w:pPr>
      <w:r>
        <w:rPr>
          <w:rFonts w:hint="eastAsia" w:ascii="仿宋_GB2312" w:hAnsi="仿宋"/>
          <w:b/>
          <w:bCs/>
          <w:szCs w:val="32"/>
        </w:rPr>
        <w:t>1.因公出国（境）费</w:t>
      </w:r>
      <w:r>
        <w:rPr>
          <w:rFonts w:hint="eastAsia" w:ascii="仿宋_GB2312" w:hAnsi="仿宋"/>
          <w:szCs w:val="32"/>
        </w:rPr>
        <w:t>预算为0万元，支出决算为0万元，完成预算的0%；较上年</w:t>
      </w:r>
      <w:r>
        <w:rPr>
          <w:rFonts w:hint="eastAsia" w:ascii="仿宋_GB2312" w:hAnsi="仿宋"/>
          <w:szCs w:val="32"/>
          <w:lang w:eastAsia="zh-CN"/>
        </w:rPr>
        <w:t>减少</w:t>
      </w:r>
      <w:r>
        <w:rPr>
          <w:rFonts w:hint="eastAsia" w:ascii="仿宋_GB2312" w:hAnsi="仿宋"/>
          <w:szCs w:val="32"/>
        </w:rPr>
        <w:t>0万元，</w:t>
      </w:r>
      <w:r>
        <w:rPr>
          <w:rFonts w:hint="eastAsia" w:ascii="仿宋_GB2312" w:hAnsi="仿宋"/>
          <w:szCs w:val="32"/>
          <w:lang w:eastAsia="zh-CN"/>
        </w:rPr>
        <w:t>减少</w:t>
      </w:r>
      <w:r>
        <w:rPr>
          <w:rFonts w:hint="eastAsia" w:ascii="仿宋_GB2312" w:hAnsi="仿宋"/>
          <w:szCs w:val="32"/>
        </w:rPr>
        <w:t>0%。原因是202</w:t>
      </w:r>
      <w:r>
        <w:rPr>
          <w:rFonts w:hint="eastAsia" w:ascii="仿宋_GB2312" w:hAnsi="仿宋"/>
          <w:szCs w:val="32"/>
          <w:lang w:val="en-US" w:eastAsia="zh-CN"/>
        </w:rPr>
        <w:t>3</w:t>
      </w:r>
      <w:r>
        <w:rPr>
          <w:rFonts w:hint="eastAsia" w:ascii="仿宋_GB2312" w:hAnsi="仿宋"/>
          <w:szCs w:val="32"/>
        </w:rPr>
        <w:t>年度、</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lang w:eastAsia="zh-CN"/>
        </w:rPr>
        <w:t>年</w:t>
      </w:r>
      <w:r>
        <w:rPr>
          <w:rFonts w:hint="eastAsia" w:ascii="仿宋_GB2312" w:hAnsi="仿宋"/>
          <w:szCs w:val="32"/>
        </w:rPr>
        <w:t>度均未安排因公出国（境）计划。</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lang w:eastAsia="zh-CN"/>
        </w:rPr>
        <w:t>年</w:t>
      </w:r>
      <w:r>
        <w:rPr>
          <w:rFonts w:hint="eastAsia" w:ascii="仿宋_GB2312" w:hAnsi="仿宋"/>
          <w:szCs w:val="32"/>
        </w:rPr>
        <w:t>宿州市埇桥区</w:t>
      </w:r>
      <w:r>
        <w:rPr>
          <w:rFonts w:hint="eastAsia" w:ascii="仿宋_GB2312" w:hAnsi="仿宋"/>
          <w:szCs w:val="32"/>
          <w:lang w:eastAsia="zh-CN"/>
        </w:rPr>
        <w:t>东关街道</w:t>
      </w:r>
      <w:r>
        <w:rPr>
          <w:rFonts w:hint="eastAsia" w:ascii="仿宋_GB2312" w:hAnsi="仿宋"/>
          <w:szCs w:val="32"/>
        </w:rPr>
        <w:t>因公出国（境）团组0次，累计出国（境）0人次。</w:t>
      </w:r>
    </w:p>
    <w:p w14:paraId="352655FA">
      <w:pPr>
        <w:ind w:firstLine="643" w:firstLineChars="200"/>
        <w:rPr>
          <w:rFonts w:ascii="仿宋_GB2312" w:hAnsi="仿宋"/>
          <w:szCs w:val="32"/>
        </w:rPr>
      </w:pPr>
      <w:r>
        <w:rPr>
          <w:rFonts w:hint="eastAsia" w:ascii="仿宋_GB2312" w:hAnsi="仿宋"/>
          <w:b/>
          <w:bCs/>
          <w:szCs w:val="32"/>
        </w:rPr>
        <w:t>2.公务接待费</w:t>
      </w:r>
      <w:r>
        <w:rPr>
          <w:rFonts w:hint="eastAsia" w:ascii="仿宋_GB2312" w:hAnsi="仿宋"/>
          <w:szCs w:val="32"/>
        </w:rPr>
        <w:t>预算为0万元，支出决算为0万元，完成预算的0%；较上年</w:t>
      </w:r>
      <w:r>
        <w:rPr>
          <w:rFonts w:hint="eastAsia" w:ascii="仿宋_GB2312" w:hAnsi="仿宋"/>
          <w:szCs w:val="32"/>
          <w:lang w:eastAsia="zh-CN"/>
        </w:rPr>
        <w:t>减少</w:t>
      </w:r>
      <w:r>
        <w:rPr>
          <w:rFonts w:hint="eastAsia" w:ascii="仿宋_GB2312" w:hAnsi="仿宋"/>
          <w:szCs w:val="32"/>
        </w:rPr>
        <w:t>0万元，</w:t>
      </w:r>
      <w:r>
        <w:rPr>
          <w:rFonts w:hint="eastAsia" w:ascii="仿宋_GB2312" w:hAnsi="仿宋"/>
          <w:szCs w:val="32"/>
          <w:lang w:eastAsia="zh-CN"/>
        </w:rPr>
        <w:t>减少</w:t>
      </w:r>
      <w:r>
        <w:rPr>
          <w:rFonts w:hint="eastAsia" w:ascii="仿宋_GB2312" w:hAnsi="仿宋"/>
          <w:szCs w:val="32"/>
        </w:rPr>
        <w:t>0%。</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lang w:eastAsia="zh-CN"/>
        </w:rPr>
        <w:t>年</w:t>
      </w:r>
      <w:r>
        <w:rPr>
          <w:rFonts w:hint="eastAsia" w:ascii="仿宋_GB2312" w:hAnsi="仿宋"/>
          <w:szCs w:val="32"/>
        </w:rPr>
        <w:t>宿州市埇</w:t>
      </w:r>
      <w:r>
        <w:rPr>
          <w:rFonts w:hint="eastAsia" w:ascii="仿宋_GB2312" w:hAnsi="仿宋_GB2312" w:cs="仿宋_GB2312"/>
          <w:szCs w:val="32"/>
        </w:rPr>
        <w:t>桥区</w:t>
      </w:r>
      <w:r>
        <w:rPr>
          <w:rFonts w:hint="eastAsia" w:ascii="仿宋_GB2312" w:hAnsi="仿宋"/>
          <w:szCs w:val="32"/>
          <w:lang w:eastAsia="zh-CN"/>
        </w:rPr>
        <w:t>东关街道</w:t>
      </w:r>
      <w:r>
        <w:rPr>
          <w:rFonts w:hint="eastAsia" w:ascii="仿宋_GB2312" w:hAnsi="仿宋"/>
          <w:szCs w:val="32"/>
        </w:rPr>
        <w:t>国内公务接待共0批次（其中外事接待0批次），0人次（其中外事接待0人次）。经费使用贯彻中央八项规定和省委实施细则，严格执行《党政机关厉行节约反对浪费条例》、《埇桥区机关单位公务接待费管理暂行办法》（区财行〔</w:t>
      </w:r>
      <w:r>
        <w:rPr>
          <w:rFonts w:ascii="仿宋_GB2312" w:hAnsi="仿宋"/>
          <w:szCs w:val="32"/>
        </w:rPr>
        <w:t>201</w:t>
      </w:r>
      <w:r>
        <w:rPr>
          <w:rFonts w:hint="eastAsia" w:ascii="仿宋_GB2312" w:hAnsi="仿宋"/>
          <w:szCs w:val="32"/>
        </w:rPr>
        <w:t>6〕106号）、《埇桥区关于进一步规范“公务接待”管理办法》（区财行〔2018〕185号）、《埇桥区区直机关外宾接待费管理办法》（区财行〔</w:t>
      </w:r>
      <w:r>
        <w:rPr>
          <w:rFonts w:ascii="仿宋_GB2312" w:hAnsi="仿宋"/>
          <w:szCs w:val="32"/>
        </w:rPr>
        <w:t>201</w:t>
      </w:r>
      <w:r>
        <w:rPr>
          <w:rFonts w:hint="eastAsia" w:ascii="仿宋_GB2312" w:hAnsi="仿宋"/>
          <w:szCs w:val="32"/>
        </w:rPr>
        <w:t>5〕</w:t>
      </w:r>
      <w:r>
        <w:rPr>
          <w:rFonts w:ascii="仿宋_GB2312" w:hAnsi="仿宋"/>
          <w:szCs w:val="32"/>
        </w:rPr>
        <w:t>90</w:t>
      </w:r>
      <w:r>
        <w:rPr>
          <w:rFonts w:hint="eastAsia" w:ascii="仿宋_GB2312" w:hAnsi="仿宋"/>
          <w:szCs w:val="32"/>
        </w:rPr>
        <w:t>号）相关规定。</w:t>
      </w:r>
    </w:p>
    <w:p w14:paraId="30185DF1">
      <w:pPr>
        <w:ind w:firstLine="643" w:firstLineChars="200"/>
      </w:pPr>
      <w:r>
        <w:rPr>
          <w:rFonts w:hint="eastAsia" w:ascii="仿宋_GB2312" w:hAnsi="仿宋"/>
          <w:b/>
          <w:bCs/>
          <w:szCs w:val="32"/>
        </w:rPr>
        <w:t>3.公务用车购置及运行维护费</w:t>
      </w:r>
      <w:r>
        <w:rPr>
          <w:rFonts w:hint="eastAsia" w:ascii="仿宋_GB2312" w:hAnsi="仿宋"/>
          <w:szCs w:val="32"/>
        </w:rPr>
        <w:t>预算为0万元，支出决算为0万元，完成预算的0%；较上年</w:t>
      </w:r>
      <w:r>
        <w:rPr>
          <w:rFonts w:hint="eastAsia" w:ascii="仿宋_GB2312" w:hAnsi="仿宋"/>
          <w:szCs w:val="32"/>
          <w:lang w:eastAsia="zh-CN"/>
        </w:rPr>
        <w:t>减少</w:t>
      </w:r>
      <w:r>
        <w:rPr>
          <w:rFonts w:hint="eastAsia" w:ascii="仿宋_GB2312" w:hAnsi="仿宋"/>
          <w:szCs w:val="32"/>
        </w:rPr>
        <w:t>0万元，</w:t>
      </w:r>
      <w:r>
        <w:rPr>
          <w:rFonts w:hint="eastAsia" w:ascii="仿宋_GB2312" w:hAnsi="仿宋"/>
          <w:szCs w:val="32"/>
          <w:lang w:eastAsia="zh-CN"/>
        </w:rPr>
        <w:t>减少</w:t>
      </w:r>
      <w:r>
        <w:rPr>
          <w:rFonts w:hint="eastAsia" w:ascii="仿宋_GB2312" w:hAnsi="仿宋"/>
          <w:szCs w:val="32"/>
        </w:rPr>
        <w:t>0%。其中，公务用车购置费预算为0万元，支出决算为0万元，完成预算的0%；较上年</w:t>
      </w:r>
      <w:r>
        <w:rPr>
          <w:rFonts w:hint="eastAsia" w:ascii="仿宋_GB2312" w:hAnsi="仿宋"/>
          <w:szCs w:val="32"/>
          <w:lang w:eastAsia="zh-CN"/>
        </w:rPr>
        <w:t>减少</w:t>
      </w:r>
      <w:r>
        <w:rPr>
          <w:rFonts w:hint="eastAsia" w:ascii="仿宋_GB2312" w:hAnsi="仿宋"/>
          <w:szCs w:val="32"/>
        </w:rPr>
        <w:t>0万元，</w:t>
      </w:r>
      <w:r>
        <w:rPr>
          <w:rFonts w:hint="eastAsia" w:ascii="仿宋_GB2312" w:hAnsi="仿宋"/>
          <w:szCs w:val="32"/>
          <w:lang w:eastAsia="zh-CN"/>
        </w:rPr>
        <w:t>减少</w:t>
      </w:r>
      <w:r>
        <w:rPr>
          <w:rFonts w:hint="eastAsia" w:ascii="仿宋_GB2312" w:hAnsi="仿宋"/>
          <w:szCs w:val="32"/>
        </w:rPr>
        <w:t>0%。</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lang w:eastAsia="zh-CN"/>
        </w:rPr>
        <w:t>年</w:t>
      </w:r>
      <w:r>
        <w:rPr>
          <w:rFonts w:hint="eastAsia" w:ascii="仿宋_GB2312" w:hAnsi="仿宋"/>
          <w:szCs w:val="32"/>
        </w:rPr>
        <w:t>没</w:t>
      </w:r>
      <w:r>
        <w:rPr>
          <w:rFonts w:hint="eastAsia" w:ascii="楷体_GB2312" w:hAnsi="楷体_GB2312" w:eastAsia="楷体_GB2312" w:cs="楷体_GB2312"/>
          <w:szCs w:val="32"/>
        </w:rPr>
        <w:t>有安排公务用车购置费</w:t>
      </w:r>
      <w:r>
        <w:rPr>
          <w:rFonts w:hint="eastAsia" w:ascii="楷体_GB2312" w:hAnsi="仿宋" w:eastAsia="楷体_GB2312"/>
          <w:szCs w:val="32"/>
        </w:rPr>
        <w:t>。</w:t>
      </w:r>
      <w:r>
        <w:rPr>
          <w:rFonts w:hint="eastAsia" w:ascii="仿宋_GB2312" w:hAnsi="仿宋"/>
          <w:szCs w:val="32"/>
        </w:rPr>
        <w:t>公务用车运行维护费预算为0万元，支出决算为0万元，完成预算的0%；较上年</w:t>
      </w:r>
      <w:r>
        <w:rPr>
          <w:rFonts w:hint="eastAsia" w:ascii="仿宋_GB2312" w:hAnsi="仿宋"/>
          <w:szCs w:val="32"/>
          <w:lang w:eastAsia="zh-CN"/>
        </w:rPr>
        <w:t>减少</w:t>
      </w:r>
      <w:r>
        <w:rPr>
          <w:rFonts w:hint="eastAsia" w:ascii="仿宋_GB2312" w:hAnsi="仿宋"/>
          <w:szCs w:val="32"/>
        </w:rPr>
        <w:t>0万元，</w:t>
      </w:r>
      <w:r>
        <w:rPr>
          <w:rFonts w:hint="eastAsia" w:ascii="仿宋_GB2312" w:hAnsi="仿宋"/>
          <w:szCs w:val="32"/>
          <w:lang w:eastAsia="zh-CN"/>
        </w:rPr>
        <w:t>减少</w:t>
      </w:r>
      <w:r>
        <w:rPr>
          <w:rFonts w:hint="eastAsia" w:ascii="仿宋_GB2312" w:hAnsi="仿宋"/>
          <w:szCs w:val="32"/>
        </w:rPr>
        <w:t>0%。公务用车运行维护费，包括车辆燃料费、维修费、过路过桥费、保险费等支出。截至</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lang w:eastAsia="zh-CN"/>
        </w:rPr>
        <w:t>年</w:t>
      </w:r>
      <w:r>
        <w:rPr>
          <w:rFonts w:hint="eastAsia" w:ascii="仿宋_GB2312" w:hAnsi="仿宋"/>
          <w:szCs w:val="32"/>
        </w:rPr>
        <w:t>12月31日，宿州市埇桥区</w:t>
      </w:r>
      <w:r>
        <w:rPr>
          <w:rFonts w:hint="eastAsia" w:ascii="仿宋_GB2312" w:hAnsi="仿宋"/>
          <w:szCs w:val="32"/>
          <w:lang w:eastAsia="zh-CN"/>
        </w:rPr>
        <w:t>东关街道</w:t>
      </w:r>
      <w:r>
        <w:rPr>
          <w:rFonts w:hint="eastAsia" w:ascii="仿宋_GB2312" w:hAnsi="仿宋"/>
          <w:szCs w:val="32"/>
        </w:rPr>
        <w:t>机关开支财政拨款的公务用车保有量为0辆。</w:t>
      </w:r>
    </w:p>
    <w:p w14:paraId="0884935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mZlN2I0NzQ5M2Q5N2IxNDQ4MDk2OTRjOGNjNmEifQ=="/>
  </w:docVars>
  <w:rsids>
    <w:rsidRoot w:val="00907296"/>
    <w:rsid w:val="000B3DF4"/>
    <w:rsid w:val="000D2711"/>
    <w:rsid w:val="000D6D9A"/>
    <w:rsid w:val="000F19AD"/>
    <w:rsid w:val="0010238F"/>
    <w:rsid w:val="00141BE7"/>
    <w:rsid w:val="0038253C"/>
    <w:rsid w:val="00530D36"/>
    <w:rsid w:val="00541B09"/>
    <w:rsid w:val="005C7BCB"/>
    <w:rsid w:val="006F50DA"/>
    <w:rsid w:val="007E4797"/>
    <w:rsid w:val="007F2A77"/>
    <w:rsid w:val="007F6316"/>
    <w:rsid w:val="00843419"/>
    <w:rsid w:val="00907296"/>
    <w:rsid w:val="00920BB1"/>
    <w:rsid w:val="00982EF3"/>
    <w:rsid w:val="009A28B8"/>
    <w:rsid w:val="00A01A28"/>
    <w:rsid w:val="00AD3E25"/>
    <w:rsid w:val="00C815B9"/>
    <w:rsid w:val="00D37526"/>
    <w:rsid w:val="00DA625C"/>
    <w:rsid w:val="00E37395"/>
    <w:rsid w:val="00EF46FB"/>
    <w:rsid w:val="00FC5446"/>
    <w:rsid w:val="12DD4C4E"/>
    <w:rsid w:val="13A86175"/>
    <w:rsid w:val="16E16BE2"/>
    <w:rsid w:val="1E445E34"/>
    <w:rsid w:val="29CB06AB"/>
    <w:rsid w:val="2A186CFC"/>
    <w:rsid w:val="3C4F64BE"/>
    <w:rsid w:val="3EAE2692"/>
    <w:rsid w:val="40E74815"/>
    <w:rsid w:val="465515D1"/>
    <w:rsid w:val="47223D88"/>
    <w:rsid w:val="4A185260"/>
    <w:rsid w:val="4A697D40"/>
    <w:rsid w:val="4DB85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qFormat/>
    <w:uiPriority w:val="99"/>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明显参考1"/>
    <w:basedOn w:val="6"/>
    <w:qFormat/>
    <w:uiPriority w:val="32"/>
    <w:rPr>
      <w:b/>
      <w:bCs/>
      <w:smallCaps/>
      <w:color w:val="C0504D" w:themeColor="accent2"/>
      <w:spacing w:val="5"/>
      <w:u w:val="single"/>
      <w14:textFill>
        <w14:solidFill>
          <w14:schemeClr w14:val="accent2"/>
        </w14:solidFill>
      </w14:textFill>
    </w:rPr>
  </w:style>
  <w:style w:type="character" w:customStyle="1" w:styleId="8">
    <w:name w:val="正文文本 Char"/>
    <w:basedOn w:val="6"/>
    <w:link w:val="2"/>
    <w:semiHidden/>
    <w:qFormat/>
    <w:uiPriority w:val="99"/>
    <w:rPr>
      <w:rFonts w:ascii="Times New Roman" w:hAnsi="Times New Roman" w:eastAsia="仿宋_GB2312" w:cs="Times New Roman"/>
      <w:sz w:val="32"/>
      <w:szCs w:val="20"/>
    </w:rPr>
  </w:style>
  <w:style w:type="character" w:customStyle="1" w:styleId="9">
    <w:name w:val="页眉 Char"/>
    <w:basedOn w:val="6"/>
    <w:link w:val="4"/>
    <w:semiHidden/>
    <w:qFormat/>
    <w:uiPriority w:val="99"/>
    <w:rPr>
      <w:rFonts w:ascii="Times New Roman" w:hAnsi="Times New Roman" w:eastAsia="仿宋_GB2312" w:cs="Times New Roman"/>
      <w:sz w:val="18"/>
      <w:szCs w:val="18"/>
    </w:rPr>
  </w:style>
  <w:style w:type="character" w:customStyle="1" w:styleId="10">
    <w:name w:val="页脚 Char"/>
    <w:basedOn w:val="6"/>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1028</Words>
  <Characters>1130</Characters>
  <Lines>9</Lines>
  <Paragraphs>2</Paragraphs>
  <TotalTime>0</TotalTime>
  <ScaleCrop>false</ScaleCrop>
  <LinksUpToDate>false</LinksUpToDate>
  <CharactersWithSpaces>1209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2023-08-09T00:01:00Z</dcterms:created>
  <dc:creator>Administrator</dc:creator>
  <cp:lastModifiedBy>WPS_1751272890</cp:lastModifiedBy>
  <dcterms:modified xsi:type="dcterms:W3CDTF">2025-08-26T02:05:55Z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AA7493BF9D484EFA8A33B4648062F3B8_13</vt:lpwstr>
  </property>
  <property fmtid="{D5CDD505-2E9C-101B-9397-08002B2CF9AE}" pid="4" name="KSOTemplateDocerSaveRecord">
    <vt:lpwstr>eyJoZGlkIjoiOTdlZjRkNGVmMGE3ZTQyYTExODk4ZWNhMWVkOTA2NzIiLCJ1c2VySWQiOiIxNzE1NzA3NjYzIn0=</vt:lpwstr>
  </property>
</Properties>
</file>