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2930E">
      <w:pPr>
        <w:rPr>
          <w:rFonts w:ascii="仿宋_GB2312" w:hAnsi="仿宋_GB2312" w:eastAsia="仿宋_GB2312" w:cs="仿宋_GB2312"/>
          <w:sz w:val="36"/>
          <w:szCs w:val="36"/>
        </w:rPr>
      </w:pPr>
    </w:p>
    <w:p w14:paraId="15048C64">
      <w:pPr>
        <w:rPr>
          <w:rFonts w:ascii="仿宋_GB2312" w:hAnsi="仿宋_GB2312" w:eastAsia="仿宋_GB2312" w:cs="仿宋_GB2312"/>
          <w:sz w:val="36"/>
          <w:szCs w:val="36"/>
        </w:rPr>
      </w:pPr>
    </w:p>
    <w:p w14:paraId="36ABEDD8">
      <w:pPr>
        <w:pStyle w:val="54"/>
        <w:rPr>
          <w:rFonts w:hint="eastAsia"/>
          <w:color w:val="auto"/>
        </w:rPr>
      </w:pPr>
    </w:p>
    <w:p w14:paraId="3489296D">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0F8BFB9E">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5DBA6A18">
      <w:pPr>
        <w:adjustRightInd w:val="0"/>
        <w:snapToGrid w:val="0"/>
        <w:spacing w:line="288" w:lineRule="auto"/>
        <w:jc w:val="center"/>
        <w:rPr>
          <w:rFonts w:ascii="华文仿宋" w:hAnsi="华文仿宋" w:eastAsia="华文仿宋" w:cs="华文仿宋"/>
          <w:kern w:val="44"/>
          <w:sz w:val="44"/>
          <w:szCs w:val="44"/>
        </w:rPr>
      </w:pPr>
    </w:p>
    <w:p w14:paraId="239DB2ED">
      <w:pPr>
        <w:jc w:val="center"/>
        <w:rPr>
          <w:rFonts w:eastAsia="仿宋"/>
          <w:sz w:val="52"/>
          <w:szCs w:val="52"/>
        </w:rPr>
      </w:pPr>
    </w:p>
    <w:p w14:paraId="48A8EB07">
      <w:pPr>
        <w:ind w:firstLine="1040"/>
        <w:rPr>
          <w:rFonts w:eastAsia="仿宋"/>
          <w:sz w:val="44"/>
          <w:szCs w:val="44"/>
        </w:rPr>
      </w:pPr>
    </w:p>
    <w:p w14:paraId="02199F8B">
      <w:pPr>
        <w:ind w:firstLine="1040"/>
        <w:rPr>
          <w:rFonts w:eastAsia="仿宋"/>
          <w:sz w:val="44"/>
          <w:szCs w:val="44"/>
        </w:rPr>
      </w:pPr>
    </w:p>
    <w:p w14:paraId="09AE6EBA">
      <w:pPr>
        <w:ind w:firstLine="1040"/>
        <w:rPr>
          <w:rFonts w:eastAsia="仿宋"/>
          <w:sz w:val="44"/>
          <w:szCs w:val="44"/>
        </w:rPr>
      </w:pPr>
    </w:p>
    <w:p w14:paraId="1BB79749">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仿宋_GB2312" w:cs="Times New Roman"/>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lang w:val="en-US" w:eastAsia="zh-CN"/>
        </w:rPr>
        <w:t xml:space="preserve"> </w:t>
      </w:r>
      <w:r>
        <w:rPr>
          <w:rFonts w:hint="eastAsia" w:ascii="仿宋_GB2312" w:eastAsia="仿宋_GB2312"/>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安徽柯翔网绳有限公司</w:t>
      </w:r>
      <w:r>
        <w:rPr>
          <w:rFonts w:hint="eastAsia" w:ascii="Times New Roman" w:hAnsi="Times New Roman" w:eastAsia="仿宋_GB2312" w:cs="Times New Roman"/>
          <w:sz w:val="36"/>
          <w:szCs w:val="36"/>
          <w:u w:val="single"/>
          <w:lang w:val="en-US" w:eastAsia="zh-CN"/>
        </w:rPr>
        <w:t xml:space="preserve">        </w:t>
      </w:r>
    </w:p>
    <w:p w14:paraId="0901F6E5">
      <w:pPr>
        <w:keepNext w:val="0"/>
        <w:keepLines w:val="0"/>
        <w:pageBreakBefore w:val="0"/>
        <w:widowControl w:val="0"/>
        <w:kinsoku/>
        <w:wordWrap/>
        <w:overflowPunct/>
        <w:topLinePunct w:val="0"/>
        <w:autoSpaceDE/>
        <w:autoSpaceDN/>
        <w:bidi w:val="0"/>
        <w:adjustRightInd w:val="0"/>
        <w:snapToGrid w:val="0"/>
        <w:spacing w:line="288" w:lineRule="auto"/>
        <w:ind w:firstLine="1080" w:firstLineChars="300"/>
        <w:jc w:val="left"/>
        <w:textAlignment w:val="auto"/>
        <w:rPr>
          <w:rFonts w:hint="default" w:ascii="Times New Roman" w:hAnsi="Times New Roman" w:eastAsia="仿宋_GB2312" w:cs="Times New Roman"/>
          <w:sz w:val="36"/>
          <w:szCs w:val="36"/>
          <w:u w:val="single"/>
          <w:lang w:val="en-US" w:eastAsia="zh-CN"/>
        </w:rPr>
      </w:pPr>
      <w:r>
        <w:rPr>
          <w:rFonts w:hint="eastAsia" w:ascii="Times New Roman" w:hAnsi="Times New Roman" w:eastAsia="仿宋_GB2312" w:cs="Times New Roman"/>
          <w:sz w:val="36"/>
          <w:szCs w:val="36"/>
          <w:u w:val="none"/>
          <w:lang w:val="en-US" w:eastAsia="zh-CN"/>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年产1000吨秸秆捆草网项目</w:t>
      </w:r>
      <w:r>
        <w:rPr>
          <w:rFonts w:hint="eastAsia" w:ascii="Times New Roman" w:hAnsi="Times New Roman" w:eastAsia="仿宋_GB2312" w:cs="Times New Roman"/>
          <w:sz w:val="36"/>
          <w:szCs w:val="36"/>
          <w:u w:val="single"/>
          <w:lang w:val="en-US" w:eastAsia="zh-CN"/>
        </w:rPr>
        <w:t xml:space="preserve">    </w:t>
      </w:r>
    </w:p>
    <w:p w14:paraId="245050AB">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 xml:space="preserve"> </w:t>
      </w:r>
      <w:r>
        <w:rPr>
          <w:rFonts w:hint="eastAsia"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val="en-US" w:eastAsia="zh-CN"/>
        </w:rPr>
        <w:t>安徽柯翔网绳有限公司</w:t>
      </w:r>
      <w:r>
        <w:rPr>
          <w:rFonts w:hint="eastAsia" w:ascii="Times New Roman" w:hAnsi="Times New Roman" w:eastAsia="仿宋_GB2312" w:cs="Times New Roman"/>
          <w:sz w:val="36"/>
          <w:szCs w:val="36"/>
          <w:u w:val="single"/>
          <w:lang w:val="en-US" w:eastAsia="zh-CN"/>
        </w:rPr>
        <w:t xml:space="preserve">  </w:t>
      </w:r>
    </w:p>
    <w:p w14:paraId="516CD2DB">
      <w:pPr>
        <w:keepNext w:val="0"/>
        <w:keepLines w:val="0"/>
        <w:pageBreakBefore w:val="0"/>
        <w:widowControl w:val="0"/>
        <w:kinsoku/>
        <w:wordWrap/>
        <w:overflowPunct/>
        <w:topLinePunct w:val="0"/>
        <w:autoSpaceDE/>
        <w:autoSpaceDN/>
        <w:bidi w:val="0"/>
        <w:adjustRightInd w:val="0"/>
        <w:snapToGrid w:val="0"/>
        <w:spacing w:line="288" w:lineRule="auto"/>
        <w:ind w:left="1439" w:leftChars="171" w:hanging="1080" w:hangingChars="300"/>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202</w:t>
      </w:r>
      <w:r>
        <w:rPr>
          <w:rFonts w:hint="eastAsia" w:ascii="Times New Roman" w:hAnsi="Times New Roman" w:eastAsia="仿宋_GB2312" w:cs="Times New Roman"/>
          <w:sz w:val="36"/>
          <w:szCs w:val="36"/>
          <w:u w:val="single"/>
          <w:lang w:val="en-US" w:eastAsia="zh-CN"/>
        </w:rPr>
        <w:t>5</w:t>
      </w:r>
      <w:r>
        <w:rPr>
          <w:rFonts w:hint="default" w:ascii="Times New Roman" w:hAnsi="Times New Roman" w:eastAsia="仿宋_GB2312" w:cs="Times New Roman"/>
          <w:sz w:val="36"/>
          <w:szCs w:val="36"/>
          <w:u w:val="single"/>
        </w:rPr>
        <w:t>年</w:t>
      </w:r>
      <w:r>
        <w:rPr>
          <w:rFonts w:hint="eastAsia" w:eastAsia="仿宋_GB2312" w:cs="Times New Roman"/>
          <w:sz w:val="36"/>
          <w:szCs w:val="36"/>
          <w:u w:val="single"/>
          <w:lang w:val="en-US" w:eastAsia="zh-CN"/>
        </w:rPr>
        <w:t>8</w:t>
      </w:r>
      <w:r>
        <w:rPr>
          <w:rFonts w:hint="default" w:ascii="Times New Roman" w:hAnsi="Times New Roman" w:eastAsia="仿宋_GB2312" w:cs="Times New Roman"/>
          <w:sz w:val="36"/>
          <w:szCs w:val="36"/>
          <w:u w:val="single"/>
        </w:rPr>
        <w:t xml:space="preserve">月         </w:t>
      </w:r>
    </w:p>
    <w:p w14:paraId="72DE525C">
      <w:pPr>
        <w:adjustRightInd w:val="0"/>
        <w:snapToGrid w:val="0"/>
        <w:spacing w:line="288" w:lineRule="auto"/>
        <w:ind w:firstLine="1040"/>
        <w:rPr>
          <w:rFonts w:hint="default" w:ascii="Times New Roman" w:hAnsi="Times New Roman" w:eastAsia="仿宋_GB2312" w:cs="Times New Roman"/>
          <w:sz w:val="36"/>
          <w:szCs w:val="36"/>
          <w:u w:val="single"/>
        </w:rPr>
      </w:pPr>
    </w:p>
    <w:p w14:paraId="6D57DABF">
      <w:pPr>
        <w:adjustRightInd w:val="0"/>
        <w:snapToGrid w:val="0"/>
        <w:spacing w:line="288" w:lineRule="auto"/>
        <w:ind w:firstLine="1040"/>
        <w:rPr>
          <w:rFonts w:ascii="仿宋_GB2312" w:eastAsia="仿宋_GB2312"/>
          <w:sz w:val="36"/>
          <w:szCs w:val="36"/>
        </w:rPr>
      </w:pPr>
    </w:p>
    <w:p w14:paraId="6AEE7E47">
      <w:pPr>
        <w:adjustRightInd w:val="0"/>
        <w:snapToGrid w:val="0"/>
        <w:spacing w:line="288" w:lineRule="auto"/>
        <w:ind w:firstLine="1040"/>
        <w:rPr>
          <w:rFonts w:ascii="仿宋_GB2312" w:eastAsia="仿宋_GB2312"/>
          <w:sz w:val="36"/>
          <w:szCs w:val="36"/>
        </w:rPr>
      </w:pPr>
    </w:p>
    <w:p w14:paraId="3504FF6A">
      <w:pPr>
        <w:adjustRightInd w:val="0"/>
        <w:snapToGrid w:val="0"/>
        <w:spacing w:line="288" w:lineRule="auto"/>
        <w:ind w:firstLine="1040"/>
        <w:rPr>
          <w:rFonts w:hint="eastAsia" w:ascii="仿宋_GB2312" w:eastAsia="仿宋_GB2312"/>
          <w:sz w:val="36"/>
          <w:szCs w:val="36"/>
        </w:rPr>
      </w:pPr>
    </w:p>
    <w:p w14:paraId="70D7E5BC">
      <w:pPr>
        <w:adjustRightInd w:val="0"/>
        <w:snapToGrid w:val="0"/>
        <w:spacing w:line="288" w:lineRule="auto"/>
        <w:ind w:firstLine="1040"/>
        <w:rPr>
          <w:rFonts w:hint="eastAsia" w:ascii="仿宋_GB2312" w:eastAsia="仿宋_GB2312"/>
          <w:sz w:val="36"/>
          <w:szCs w:val="36"/>
        </w:rPr>
      </w:pPr>
    </w:p>
    <w:p w14:paraId="79D74019">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695C1BEA">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13599251">
      <w:pPr>
        <w:pStyle w:val="31"/>
        <w:adjustRightInd w:val="0"/>
        <w:snapToGrid w:val="0"/>
        <w:spacing w:before="0" w:beforeAutospacing="0" w:after="0" w:afterAutospacing="0" w:line="360" w:lineRule="auto"/>
        <w:jc w:val="center"/>
        <w:outlineLvl w:val="0"/>
        <w:rPr>
          <w:rFonts w:ascii="Times New Roman" w:hAnsi="Times New Roman"/>
          <w:b/>
          <w:snapToGrid w:val="0"/>
          <w:sz w:val="30"/>
          <w:szCs w:val="30"/>
        </w:rPr>
      </w:pPr>
      <w:r>
        <w:rPr>
          <w:rFonts w:ascii="Times New Roman" w:hAnsi="Times New Roman"/>
          <w:b/>
          <w:snapToGrid w:val="0"/>
          <w:sz w:val="30"/>
          <w:szCs w:val="30"/>
        </w:rPr>
        <w:t>一、建设项目基本情况</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86"/>
        <w:gridCol w:w="2350"/>
        <w:gridCol w:w="2116"/>
        <w:gridCol w:w="2904"/>
      </w:tblGrid>
      <w:tr w14:paraId="4CF8C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6" w:type="dxa"/>
            <w:noWrap w:val="0"/>
            <w:tcMar>
              <w:top w:w="16" w:type="dxa"/>
              <w:left w:w="16" w:type="dxa"/>
              <w:right w:w="16" w:type="dxa"/>
            </w:tcMar>
            <w:vAlign w:val="center"/>
          </w:tcPr>
          <w:p w14:paraId="3EA889B8">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建设项目名称</w:t>
            </w:r>
          </w:p>
        </w:tc>
        <w:tc>
          <w:tcPr>
            <w:tcW w:w="7370" w:type="dxa"/>
            <w:gridSpan w:val="3"/>
            <w:noWrap w:val="0"/>
            <w:vAlign w:val="center"/>
          </w:tcPr>
          <w:p w14:paraId="5EC94602">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eastAsia="宋体" w:cs="Times New Roman"/>
                <w:kern w:val="0"/>
                <w:sz w:val="24"/>
                <w:lang w:val="en-US" w:eastAsia="zh-CN"/>
              </w:rPr>
              <w:t>安徽柯翔网绳有限公司年产1000吨秸秆捆草网项目</w:t>
            </w:r>
          </w:p>
        </w:tc>
      </w:tr>
      <w:tr w14:paraId="34106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6" w:type="dxa"/>
            <w:noWrap w:val="0"/>
            <w:tcMar>
              <w:top w:w="16" w:type="dxa"/>
              <w:left w:w="16" w:type="dxa"/>
              <w:right w:w="16" w:type="dxa"/>
            </w:tcMar>
            <w:vAlign w:val="center"/>
          </w:tcPr>
          <w:p w14:paraId="13B11380">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项目代码</w:t>
            </w:r>
          </w:p>
        </w:tc>
        <w:tc>
          <w:tcPr>
            <w:tcW w:w="7370" w:type="dxa"/>
            <w:gridSpan w:val="3"/>
            <w:noWrap w:val="0"/>
            <w:vAlign w:val="center"/>
          </w:tcPr>
          <w:p w14:paraId="3DBE06D0">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2507-341302-04-01-987264</w:t>
            </w:r>
          </w:p>
        </w:tc>
      </w:tr>
      <w:tr w14:paraId="58474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6" w:type="dxa"/>
            <w:noWrap w:val="0"/>
            <w:tcMar>
              <w:top w:w="16" w:type="dxa"/>
              <w:left w:w="16" w:type="dxa"/>
              <w:right w:w="16" w:type="dxa"/>
            </w:tcMar>
            <w:vAlign w:val="center"/>
          </w:tcPr>
          <w:p w14:paraId="44DDA6F5">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建设单位联系人</w:t>
            </w:r>
          </w:p>
        </w:tc>
        <w:tc>
          <w:tcPr>
            <w:tcW w:w="2350" w:type="dxa"/>
            <w:noWrap w:val="0"/>
            <w:vAlign w:val="center"/>
          </w:tcPr>
          <w:p w14:paraId="02144638">
            <w:pPr>
              <w:adjustRightInd w:val="0"/>
              <w:snapToGrid w:val="0"/>
              <w:jc w:val="center"/>
              <w:rPr>
                <w:rFonts w:hint="default" w:ascii="Times New Roman" w:hAnsi="Times New Roman" w:eastAsia="宋体" w:cs="Times New Roman"/>
                <w:sz w:val="24"/>
                <w:lang w:val="en-US" w:eastAsia="zh-CN"/>
              </w:rPr>
            </w:pPr>
          </w:p>
        </w:tc>
        <w:tc>
          <w:tcPr>
            <w:tcW w:w="2116" w:type="dxa"/>
            <w:noWrap w:val="0"/>
            <w:vAlign w:val="center"/>
          </w:tcPr>
          <w:p w14:paraId="66F89647">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联系方式</w:t>
            </w:r>
          </w:p>
        </w:tc>
        <w:tc>
          <w:tcPr>
            <w:tcW w:w="2904" w:type="dxa"/>
            <w:noWrap w:val="0"/>
            <w:vAlign w:val="center"/>
          </w:tcPr>
          <w:p w14:paraId="0215C670">
            <w:pPr>
              <w:adjustRightInd w:val="0"/>
              <w:snapToGrid w:val="0"/>
              <w:jc w:val="center"/>
              <w:rPr>
                <w:rFonts w:hint="default" w:ascii="Times New Roman" w:hAnsi="Times New Roman" w:cs="Times New Roman"/>
                <w:sz w:val="24"/>
              </w:rPr>
            </w:pPr>
            <w:bookmarkStart w:id="15" w:name="_GoBack"/>
            <w:bookmarkEnd w:id="15"/>
          </w:p>
        </w:tc>
      </w:tr>
      <w:tr w14:paraId="55F00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6" w:type="dxa"/>
            <w:noWrap w:val="0"/>
            <w:tcMar>
              <w:top w:w="16" w:type="dxa"/>
              <w:left w:w="16" w:type="dxa"/>
              <w:right w:w="16" w:type="dxa"/>
            </w:tcMar>
            <w:vAlign w:val="center"/>
          </w:tcPr>
          <w:p w14:paraId="5D799DB2">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建设地点</w:t>
            </w:r>
          </w:p>
        </w:tc>
        <w:tc>
          <w:tcPr>
            <w:tcW w:w="7370" w:type="dxa"/>
            <w:gridSpan w:val="3"/>
            <w:noWrap w:val="0"/>
            <w:vAlign w:val="center"/>
          </w:tcPr>
          <w:p w14:paraId="15354016">
            <w:pPr>
              <w:keepNext w:val="0"/>
              <w:keepLines w:val="0"/>
              <w:widowControl/>
              <w:suppressLineNumbers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安徽省宿州市桃园镇桃园村寨东组进矿路北侧</w:t>
            </w:r>
          </w:p>
        </w:tc>
      </w:tr>
      <w:tr w14:paraId="5A757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6" w:type="dxa"/>
            <w:noWrap w:val="0"/>
            <w:tcMar>
              <w:top w:w="16" w:type="dxa"/>
              <w:left w:w="16" w:type="dxa"/>
              <w:right w:w="16" w:type="dxa"/>
            </w:tcMar>
            <w:vAlign w:val="center"/>
          </w:tcPr>
          <w:p w14:paraId="1B7131BA">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地理坐标</w:t>
            </w:r>
          </w:p>
        </w:tc>
        <w:tc>
          <w:tcPr>
            <w:tcW w:w="7370" w:type="dxa"/>
            <w:gridSpan w:val="3"/>
            <w:noWrap w:val="0"/>
            <w:vAlign w:val="center"/>
          </w:tcPr>
          <w:p w14:paraId="3E79E0D0">
            <w:pPr>
              <w:jc w:val="center"/>
              <w:rPr>
                <w:rFonts w:hint="default" w:ascii="Times New Roman" w:hAnsi="Times New Roman" w:cs="Times New Roman"/>
                <w:color w:val="auto"/>
                <w:sz w:val="24"/>
              </w:rPr>
            </w:pPr>
            <w:r>
              <w:rPr>
                <w:rFonts w:hint="default" w:ascii="Times New Roman" w:hAnsi="Times New Roman" w:cs="Times New Roman"/>
                <w:color w:val="auto"/>
                <w:sz w:val="24"/>
              </w:rPr>
              <w:t>经度：</w:t>
            </w:r>
            <w:r>
              <w:rPr>
                <w:rFonts w:hint="default" w:ascii="Times New Roman" w:hAnsi="Times New Roman" w:cs="Times New Roman"/>
                <w:color w:val="auto"/>
                <w:sz w:val="24"/>
                <w:u w:val="single"/>
              </w:rPr>
              <w:t xml:space="preserve"> 11</w:t>
            </w:r>
            <w:r>
              <w:rPr>
                <w:rFonts w:hint="default" w:ascii="Times New Roman" w:hAnsi="Times New Roman" w:cs="Times New Roman"/>
                <w:color w:val="auto"/>
                <w:sz w:val="24"/>
                <w:u w:val="single"/>
                <w:lang w:val="en-US" w:eastAsia="zh-CN"/>
              </w:rPr>
              <w:t>7</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0</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48.690</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秒，纬度：</w:t>
            </w:r>
            <w:r>
              <w:rPr>
                <w:rFonts w:hint="default" w:ascii="Times New Roman" w:hAnsi="Times New Roman" w:cs="Times New Roman"/>
                <w:color w:val="auto"/>
                <w:sz w:val="24"/>
                <w:u w:val="single"/>
              </w:rPr>
              <w:t xml:space="preserve"> 3</w:t>
            </w:r>
            <w:r>
              <w:rPr>
                <w:rFonts w:hint="default" w:ascii="Times New Roman" w:hAnsi="Times New Roman" w:cs="Times New Roman"/>
                <w:color w:val="auto"/>
                <w:sz w:val="24"/>
                <w:u w:val="single"/>
                <w:lang w:val="en-US" w:eastAsia="zh-CN"/>
              </w:rPr>
              <w:t>3</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31</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59.106</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秒</w:t>
            </w:r>
          </w:p>
        </w:tc>
      </w:tr>
      <w:tr w14:paraId="0CE5A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31" w:hRule="atLeast"/>
          <w:jc w:val="center"/>
        </w:trPr>
        <w:tc>
          <w:tcPr>
            <w:tcW w:w="2186" w:type="dxa"/>
            <w:noWrap w:val="0"/>
            <w:tcMar>
              <w:top w:w="16" w:type="dxa"/>
              <w:left w:w="16" w:type="dxa"/>
              <w:right w:w="16" w:type="dxa"/>
            </w:tcMar>
            <w:vAlign w:val="center"/>
          </w:tcPr>
          <w:p w14:paraId="6D298874">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国民经济</w:t>
            </w:r>
          </w:p>
          <w:p w14:paraId="24DDEA92">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行业类别</w:t>
            </w:r>
          </w:p>
        </w:tc>
        <w:tc>
          <w:tcPr>
            <w:tcW w:w="2350" w:type="dxa"/>
            <w:noWrap w:val="0"/>
            <w:vAlign w:val="center"/>
          </w:tcPr>
          <w:p w14:paraId="77C4E277">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C</w:t>
            </w:r>
            <w:r>
              <w:rPr>
                <w:rFonts w:hint="default" w:ascii="Times New Roman" w:hAnsi="Times New Roman" w:cs="Times New Roman"/>
                <w:sz w:val="24"/>
                <w:lang w:val="en-US" w:eastAsia="zh-CN"/>
              </w:rPr>
              <w:t>2923</w:t>
            </w:r>
            <w:r>
              <w:rPr>
                <w:rFonts w:hint="default" w:ascii="Times New Roman" w:hAnsi="Times New Roman" w:cs="Times New Roman"/>
                <w:sz w:val="24"/>
              </w:rPr>
              <w:t>塑料丝、绳及编织品制造</w:t>
            </w:r>
          </w:p>
        </w:tc>
        <w:tc>
          <w:tcPr>
            <w:tcW w:w="2116" w:type="dxa"/>
            <w:noWrap w:val="0"/>
            <w:vAlign w:val="center"/>
          </w:tcPr>
          <w:p w14:paraId="7C925DAA">
            <w:pPr>
              <w:adjustRightInd w:val="0"/>
              <w:snapToGrid w:val="0"/>
              <w:jc w:val="center"/>
              <w:rPr>
                <w:rFonts w:hint="default" w:ascii="Times New Roman" w:hAnsi="Times New Roman" w:cs="Times New Roman"/>
                <w:b/>
                <w:sz w:val="24"/>
              </w:rPr>
            </w:pPr>
            <w:bookmarkStart w:id="0" w:name="_Hlk49843745"/>
            <w:r>
              <w:rPr>
                <w:rFonts w:hint="default" w:ascii="Times New Roman" w:hAnsi="Times New Roman" w:cs="Times New Roman"/>
                <w:b/>
                <w:sz w:val="24"/>
              </w:rPr>
              <w:t>建设项目</w:t>
            </w:r>
          </w:p>
          <w:p w14:paraId="332ADE5A">
            <w:pPr>
              <w:adjustRightInd w:val="0"/>
              <w:snapToGrid w:val="0"/>
              <w:jc w:val="center"/>
              <w:rPr>
                <w:rFonts w:hint="default" w:ascii="Times New Roman" w:hAnsi="Times New Roman" w:cs="Times New Roman"/>
                <w:sz w:val="24"/>
              </w:rPr>
            </w:pPr>
            <w:r>
              <w:rPr>
                <w:rFonts w:hint="default" w:ascii="Times New Roman" w:hAnsi="Times New Roman" w:cs="Times New Roman"/>
                <w:b/>
                <w:sz w:val="24"/>
              </w:rPr>
              <w:t>行业类别</w:t>
            </w:r>
            <w:bookmarkEnd w:id="0"/>
          </w:p>
        </w:tc>
        <w:tc>
          <w:tcPr>
            <w:tcW w:w="2904" w:type="dxa"/>
            <w:noWrap w:val="0"/>
            <w:vAlign w:val="center"/>
          </w:tcPr>
          <w:p w14:paraId="06545DC4">
            <w:pPr>
              <w:adjustRightInd w:val="0"/>
              <w:snapToGrid w:val="0"/>
              <w:jc w:val="both"/>
              <w:rPr>
                <w:rFonts w:hint="default" w:ascii="Times New Roman" w:hAnsi="Times New Roman" w:eastAsia="宋体" w:cs="Times New Roman"/>
                <w:sz w:val="24"/>
                <w:lang w:val="en-US" w:eastAsia="zh-CN"/>
              </w:rPr>
            </w:pPr>
            <w:r>
              <w:rPr>
                <w:rFonts w:hint="default" w:ascii="Times New Roman" w:hAnsi="Times New Roman" w:cs="Times New Roman"/>
                <w:sz w:val="24"/>
                <w:szCs w:val="28"/>
                <w:lang w:val="en-US" w:eastAsia="zh-CN"/>
              </w:rPr>
              <w:t>二十六、橡胶和塑料制品业 29——53塑料制品业292——其他（年用非溶剂型低VOCs含量涂料10吨以下的除外）</w:t>
            </w:r>
          </w:p>
        </w:tc>
      </w:tr>
      <w:tr w14:paraId="2A4C4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53" w:hRule="atLeast"/>
          <w:jc w:val="center"/>
        </w:trPr>
        <w:tc>
          <w:tcPr>
            <w:tcW w:w="2186" w:type="dxa"/>
            <w:noWrap w:val="0"/>
            <w:tcMar>
              <w:top w:w="16" w:type="dxa"/>
              <w:left w:w="16" w:type="dxa"/>
              <w:right w:w="16" w:type="dxa"/>
            </w:tcMar>
            <w:vAlign w:val="center"/>
          </w:tcPr>
          <w:p w14:paraId="68535426">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建设性质</w:t>
            </w:r>
          </w:p>
        </w:tc>
        <w:tc>
          <w:tcPr>
            <w:tcW w:w="2350" w:type="dxa"/>
            <w:noWrap w:val="0"/>
            <w:vAlign w:val="center"/>
          </w:tcPr>
          <w:p w14:paraId="342304EF">
            <w:pPr>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新建（迁建）</w:t>
            </w:r>
          </w:p>
          <w:p w14:paraId="3CF99A09">
            <w:pPr>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改建</w:t>
            </w:r>
          </w:p>
          <w:p w14:paraId="49531560">
            <w:pPr>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扩建</w:t>
            </w:r>
          </w:p>
          <w:p w14:paraId="0C4521A2">
            <w:pPr>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技术改造</w:t>
            </w:r>
          </w:p>
        </w:tc>
        <w:tc>
          <w:tcPr>
            <w:tcW w:w="2116" w:type="dxa"/>
            <w:noWrap w:val="0"/>
            <w:vAlign w:val="center"/>
          </w:tcPr>
          <w:p w14:paraId="0FECBDBF">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建设项目</w:t>
            </w:r>
          </w:p>
          <w:p w14:paraId="7369410A">
            <w:pPr>
              <w:adjustRightInd w:val="0"/>
              <w:snapToGrid w:val="0"/>
              <w:jc w:val="center"/>
              <w:rPr>
                <w:rFonts w:hint="default" w:ascii="Times New Roman" w:hAnsi="Times New Roman" w:cs="Times New Roman"/>
                <w:sz w:val="24"/>
              </w:rPr>
            </w:pPr>
            <w:r>
              <w:rPr>
                <w:rFonts w:hint="default" w:ascii="Times New Roman" w:hAnsi="Times New Roman" w:cs="Times New Roman"/>
                <w:b/>
                <w:sz w:val="24"/>
              </w:rPr>
              <w:t>申报情形</w:t>
            </w:r>
          </w:p>
        </w:tc>
        <w:tc>
          <w:tcPr>
            <w:tcW w:w="2904" w:type="dxa"/>
            <w:noWrap w:val="0"/>
            <w:vAlign w:val="center"/>
          </w:tcPr>
          <w:p w14:paraId="38EF535D">
            <w:pPr>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首次申报项目</w:t>
            </w:r>
          </w:p>
          <w:p w14:paraId="1341D821">
            <w:pPr>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不予批准后再次申报项目</w:t>
            </w:r>
          </w:p>
          <w:p w14:paraId="51B428D5">
            <w:pPr>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超五年重新审核项目</w:t>
            </w:r>
          </w:p>
          <w:p w14:paraId="3A77D07B">
            <w:pPr>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重大变动重新报批项目</w:t>
            </w:r>
          </w:p>
        </w:tc>
      </w:tr>
      <w:tr w14:paraId="7FB8B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86" w:type="dxa"/>
            <w:noWrap w:val="0"/>
            <w:tcMar>
              <w:top w:w="16" w:type="dxa"/>
              <w:left w:w="16" w:type="dxa"/>
              <w:right w:w="16" w:type="dxa"/>
            </w:tcMar>
            <w:vAlign w:val="center"/>
          </w:tcPr>
          <w:p w14:paraId="0CD8DE6C">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项目审批（核准/备案）部门（选填）</w:t>
            </w:r>
          </w:p>
        </w:tc>
        <w:tc>
          <w:tcPr>
            <w:tcW w:w="2350" w:type="dxa"/>
            <w:noWrap w:val="0"/>
            <w:vAlign w:val="center"/>
          </w:tcPr>
          <w:p w14:paraId="3501AA9D">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宿州市埇桥区发展改革委</w:t>
            </w:r>
          </w:p>
        </w:tc>
        <w:tc>
          <w:tcPr>
            <w:tcW w:w="2116" w:type="dxa"/>
            <w:noWrap w:val="0"/>
            <w:vAlign w:val="center"/>
          </w:tcPr>
          <w:p w14:paraId="53B9B226">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项目审批（核准/</w:t>
            </w:r>
          </w:p>
          <w:p w14:paraId="277B678D">
            <w:pPr>
              <w:adjustRightInd w:val="0"/>
              <w:snapToGrid w:val="0"/>
              <w:jc w:val="center"/>
              <w:rPr>
                <w:rFonts w:hint="default" w:ascii="Times New Roman" w:hAnsi="Times New Roman" w:cs="Times New Roman"/>
                <w:sz w:val="24"/>
              </w:rPr>
            </w:pPr>
            <w:r>
              <w:rPr>
                <w:rFonts w:hint="default" w:ascii="Times New Roman" w:hAnsi="Times New Roman" w:cs="Times New Roman"/>
                <w:b/>
                <w:sz w:val="24"/>
              </w:rPr>
              <w:t>备案）文号（选填）</w:t>
            </w:r>
          </w:p>
        </w:tc>
        <w:tc>
          <w:tcPr>
            <w:tcW w:w="2904" w:type="dxa"/>
            <w:noWrap w:val="0"/>
            <w:vAlign w:val="center"/>
          </w:tcPr>
          <w:p w14:paraId="301572AD">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val="en-US" w:eastAsia="zh-CN"/>
              </w:rPr>
              <w:t>/</w:t>
            </w:r>
          </w:p>
        </w:tc>
      </w:tr>
      <w:tr w14:paraId="2F3CC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2186" w:type="dxa"/>
            <w:noWrap w:val="0"/>
            <w:tcMar>
              <w:top w:w="16" w:type="dxa"/>
              <w:left w:w="16" w:type="dxa"/>
              <w:right w:w="16" w:type="dxa"/>
            </w:tcMar>
            <w:vAlign w:val="center"/>
          </w:tcPr>
          <w:p w14:paraId="64F7519D">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总投资（万元）</w:t>
            </w:r>
          </w:p>
        </w:tc>
        <w:tc>
          <w:tcPr>
            <w:tcW w:w="2350" w:type="dxa"/>
            <w:noWrap w:val="0"/>
            <w:vAlign w:val="center"/>
          </w:tcPr>
          <w:p w14:paraId="6B2D8BBE">
            <w:pPr>
              <w:adjustRightInd w:val="0"/>
              <w:snapToGrid w:val="0"/>
              <w:jc w:val="center"/>
              <w:rPr>
                <w:rFonts w:hint="default" w:ascii="Times New Roman" w:hAnsi="Times New Roman" w:cs="Times New Roman"/>
                <w:sz w:val="24"/>
                <w:highlight w:val="none"/>
                <w:lang w:val="en-US"/>
              </w:rPr>
            </w:pPr>
            <w:r>
              <w:rPr>
                <w:rFonts w:hint="default" w:ascii="Times New Roman" w:hAnsi="Times New Roman" w:cs="Times New Roman"/>
                <w:sz w:val="24"/>
                <w:highlight w:val="none"/>
                <w:lang w:val="en-US" w:eastAsia="zh-CN"/>
              </w:rPr>
              <w:t>1600</w:t>
            </w:r>
          </w:p>
        </w:tc>
        <w:tc>
          <w:tcPr>
            <w:tcW w:w="2116" w:type="dxa"/>
            <w:noWrap w:val="0"/>
            <w:tcMar>
              <w:top w:w="16" w:type="dxa"/>
              <w:left w:w="16" w:type="dxa"/>
              <w:right w:w="16" w:type="dxa"/>
            </w:tcMar>
            <w:vAlign w:val="center"/>
          </w:tcPr>
          <w:p w14:paraId="7E1BFCAA">
            <w:pPr>
              <w:adjustRightInd w:val="0"/>
              <w:snapToGrid w:val="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环保投资（万元）</w:t>
            </w:r>
          </w:p>
        </w:tc>
        <w:tc>
          <w:tcPr>
            <w:tcW w:w="2904" w:type="dxa"/>
            <w:noWrap w:val="0"/>
            <w:vAlign w:val="center"/>
          </w:tcPr>
          <w:p w14:paraId="4EEED7E1">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4</w:t>
            </w:r>
          </w:p>
        </w:tc>
      </w:tr>
      <w:tr w14:paraId="00973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2186" w:type="dxa"/>
            <w:noWrap w:val="0"/>
            <w:tcMar>
              <w:top w:w="16" w:type="dxa"/>
              <w:left w:w="16" w:type="dxa"/>
              <w:right w:w="16" w:type="dxa"/>
            </w:tcMar>
            <w:vAlign w:val="center"/>
          </w:tcPr>
          <w:p w14:paraId="263DC5DC">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环保投资占比（%）</w:t>
            </w:r>
          </w:p>
        </w:tc>
        <w:tc>
          <w:tcPr>
            <w:tcW w:w="2350" w:type="dxa"/>
            <w:noWrap w:val="0"/>
            <w:vAlign w:val="center"/>
          </w:tcPr>
          <w:p w14:paraId="5B3C92F0">
            <w:pPr>
              <w:adjustRightInd w:val="0"/>
              <w:snapToGrid w:val="0"/>
              <w:jc w:val="center"/>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2.</w:t>
            </w:r>
            <w:r>
              <w:rPr>
                <w:rFonts w:hint="default" w:ascii="Times New Roman" w:hAnsi="Times New Roman" w:cs="Times New Roman"/>
                <w:sz w:val="24"/>
                <w:highlight w:val="none"/>
                <w:lang w:val="en-US" w:eastAsia="zh-CN"/>
              </w:rPr>
              <w:t>75</w:t>
            </w:r>
            <w:r>
              <w:rPr>
                <w:rFonts w:hint="default" w:ascii="Times New Roman" w:hAnsi="Times New Roman" w:eastAsia="宋体" w:cs="Times New Roman"/>
                <w:sz w:val="24"/>
                <w:highlight w:val="none"/>
                <w:lang w:val="en-US" w:eastAsia="zh-CN"/>
              </w:rPr>
              <w:t>%</w:t>
            </w:r>
          </w:p>
        </w:tc>
        <w:tc>
          <w:tcPr>
            <w:tcW w:w="2116" w:type="dxa"/>
            <w:noWrap w:val="0"/>
            <w:tcMar>
              <w:top w:w="16" w:type="dxa"/>
              <w:left w:w="16" w:type="dxa"/>
              <w:right w:w="16" w:type="dxa"/>
            </w:tcMar>
            <w:vAlign w:val="center"/>
          </w:tcPr>
          <w:p w14:paraId="3B9A2D02">
            <w:pPr>
              <w:adjustRightInd w:val="0"/>
              <w:snapToGrid w:val="0"/>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施工工期</w:t>
            </w:r>
          </w:p>
        </w:tc>
        <w:tc>
          <w:tcPr>
            <w:tcW w:w="2904" w:type="dxa"/>
            <w:noWrap w:val="0"/>
            <w:vAlign w:val="center"/>
          </w:tcPr>
          <w:p w14:paraId="6D6BF87B">
            <w:pPr>
              <w:adjustRightInd w:val="0"/>
              <w:snapToGrid w:val="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个月</w:t>
            </w:r>
          </w:p>
        </w:tc>
      </w:tr>
      <w:tr w14:paraId="4E56C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2186" w:type="dxa"/>
            <w:noWrap w:val="0"/>
            <w:tcMar>
              <w:top w:w="16" w:type="dxa"/>
              <w:left w:w="16" w:type="dxa"/>
              <w:right w:w="16" w:type="dxa"/>
            </w:tcMar>
            <w:vAlign w:val="center"/>
          </w:tcPr>
          <w:p w14:paraId="47794D7E">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是否开工建设</w:t>
            </w:r>
          </w:p>
        </w:tc>
        <w:tc>
          <w:tcPr>
            <w:tcW w:w="2350" w:type="dxa"/>
            <w:noWrap w:val="0"/>
            <w:vAlign w:val="center"/>
          </w:tcPr>
          <w:p w14:paraId="7AA0E4FC">
            <w:pPr>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否</w:t>
            </w:r>
          </w:p>
          <w:p w14:paraId="54C9A489">
            <w:pPr>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c>
          <w:tcPr>
            <w:tcW w:w="2116" w:type="dxa"/>
            <w:noWrap w:val="0"/>
            <w:tcMar>
              <w:top w:w="16" w:type="dxa"/>
              <w:left w:w="16" w:type="dxa"/>
              <w:right w:w="16" w:type="dxa"/>
            </w:tcMar>
            <w:vAlign w:val="center"/>
          </w:tcPr>
          <w:p w14:paraId="592D8614">
            <w:pPr>
              <w:adjustRightInd w:val="0"/>
              <w:snapToGrid w:val="0"/>
              <w:jc w:val="center"/>
              <w:rPr>
                <w:rFonts w:hint="default" w:ascii="Times New Roman" w:hAnsi="Times New Roman" w:cs="Times New Roman"/>
                <w:b/>
                <w:sz w:val="24"/>
              </w:rPr>
            </w:pPr>
            <w:r>
              <w:rPr>
                <w:rFonts w:hint="default" w:ascii="Times New Roman" w:hAnsi="Times New Roman" w:cs="Times New Roman"/>
                <w:b/>
                <w:sz w:val="24"/>
              </w:rPr>
              <w:t>用地面积</w:t>
            </w:r>
          </w:p>
          <w:p w14:paraId="195FBC51">
            <w:pPr>
              <w:adjustRightInd w:val="0"/>
              <w:snapToGrid w:val="0"/>
              <w:jc w:val="center"/>
              <w:rPr>
                <w:rFonts w:hint="default" w:ascii="Times New Roman" w:hAnsi="Times New Roman" w:cs="Times New Roman"/>
                <w:sz w:val="24"/>
              </w:rPr>
            </w:pPr>
            <w:r>
              <w:rPr>
                <w:rFonts w:hint="default" w:ascii="Times New Roman" w:hAnsi="Times New Roman" w:cs="Times New Roman"/>
                <w:b/>
                <w:sz w:val="24"/>
              </w:rPr>
              <w:t>（m</w:t>
            </w:r>
            <w:r>
              <w:rPr>
                <w:rFonts w:hint="default" w:ascii="Times New Roman" w:hAnsi="Times New Roman" w:cs="Times New Roman"/>
                <w:b/>
                <w:sz w:val="24"/>
                <w:vertAlign w:val="superscript"/>
              </w:rPr>
              <w:t>2</w:t>
            </w:r>
            <w:r>
              <w:rPr>
                <w:rFonts w:hint="default" w:ascii="Times New Roman" w:hAnsi="Times New Roman" w:cs="Times New Roman"/>
                <w:b/>
                <w:sz w:val="24"/>
              </w:rPr>
              <w:t>）</w:t>
            </w:r>
          </w:p>
        </w:tc>
        <w:tc>
          <w:tcPr>
            <w:tcW w:w="2904" w:type="dxa"/>
            <w:noWrap w:val="0"/>
            <w:vAlign w:val="center"/>
          </w:tcPr>
          <w:p w14:paraId="372EC39F">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color w:val="auto"/>
                <w:sz w:val="24"/>
                <w:lang w:val="en-US" w:eastAsia="zh-CN"/>
              </w:rPr>
              <w:t>6050</w:t>
            </w:r>
          </w:p>
        </w:tc>
      </w:tr>
      <w:tr w14:paraId="7FF9C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186" w:type="dxa"/>
            <w:noWrap w:val="0"/>
            <w:vAlign w:val="center"/>
          </w:tcPr>
          <w:p w14:paraId="205AB402">
            <w:pPr>
              <w:autoSpaceDE w:val="0"/>
              <w:autoSpaceDN w:val="0"/>
              <w:adjustRightInd w:val="0"/>
              <w:snapToGrid w:val="0"/>
              <w:jc w:val="center"/>
              <w:rPr>
                <w:rFonts w:hint="default" w:ascii="Times New Roman" w:hAnsi="Times New Roman" w:cs="Times New Roman"/>
                <w:b/>
                <w:kern w:val="0"/>
                <w:sz w:val="24"/>
              </w:rPr>
            </w:pPr>
            <w:r>
              <w:rPr>
                <w:rFonts w:hint="default" w:ascii="Times New Roman" w:hAnsi="Times New Roman" w:cs="Times New Roman"/>
                <w:b/>
                <w:kern w:val="0"/>
                <w:sz w:val="24"/>
              </w:rPr>
              <w:t>专项评价设置情况</w:t>
            </w:r>
          </w:p>
        </w:tc>
        <w:tc>
          <w:tcPr>
            <w:tcW w:w="7370" w:type="dxa"/>
            <w:gridSpan w:val="3"/>
            <w:noWrap w:val="0"/>
            <w:vAlign w:val="center"/>
          </w:tcPr>
          <w:p w14:paraId="160049C8">
            <w:pPr>
              <w:autoSpaceDE w:val="0"/>
              <w:autoSpaceDN w:val="0"/>
              <w:adjustRightInd w:val="0"/>
              <w:snapToGrid w:val="0"/>
              <w:jc w:val="center"/>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无</w:t>
            </w:r>
          </w:p>
        </w:tc>
      </w:tr>
      <w:tr w14:paraId="3626A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2186" w:type="dxa"/>
            <w:noWrap w:val="0"/>
            <w:vAlign w:val="center"/>
          </w:tcPr>
          <w:p w14:paraId="173D7210">
            <w:pPr>
              <w:autoSpaceDE w:val="0"/>
              <w:autoSpaceDN w:val="0"/>
              <w:adjustRightInd w:val="0"/>
              <w:snapToGrid w:val="0"/>
              <w:spacing w:line="360" w:lineRule="auto"/>
              <w:jc w:val="center"/>
              <w:rPr>
                <w:rFonts w:hint="default" w:ascii="Times New Roman" w:hAnsi="Times New Roman" w:cs="Times New Roman"/>
                <w:b/>
                <w:kern w:val="0"/>
                <w:sz w:val="24"/>
              </w:rPr>
            </w:pPr>
            <w:r>
              <w:rPr>
                <w:rFonts w:hint="default" w:ascii="Times New Roman" w:hAnsi="Times New Roman" w:cs="Times New Roman"/>
                <w:b/>
                <w:sz w:val="24"/>
              </w:rPr>
              <w:t>规划情况</w:t>
            </w:r>
          </w:p>
        </w:tc>
        <w:tc>
          <w:tcPr>
            <w:tcW w:w="7370" w:type="dxa"/>
            <w:gridSpan w:val="3"/>
            <w:noWrap w:val="0"/>
            <w:vAlign w:val="center"/>
          </w:tcPr>
          <w:p w14:paraId="7A1C077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宿州市埇桥区桃园镇(北杨寨)总体规划（2016-2030）</w:t>
            </w:r>
            <w:r>
              <w:rPr>
                <w:rFonts w:hint="default" w:ascii="Times New Roman" w:hAnsi="Times New Roman" w:eastAsia="宋体" w:cs="Times New Roman"/>
                <w:sz w:val="24"/>
                <w:szCs w:val="24"/>
                <w:lang w:eastAsia="zh-CN"/>
              </w:rPr>
              <w:t>》</w:t>
            </w:r>
          </w:p>
        </w:tc>
      </w:tr>
      <w:tr w14:paraId="14DC4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186" w:type="dxa"/>
            <w:noWrap w:val="0"/>
            <w:vAlign w:val="center"/>
          </w:tcPr>
          <w:p w14:paraId="399B9572">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sz w:val="24"/>
              </w:rPr>
            </w:pPr>
            <w:r>
              <w:rPr>
                <w:rFonts w:hint="default" w:ascii="Times New Roman" w:hAnsi="Times New Roman" w:cs="Times New Roman"/>
                <w:b/>
                <w:sz w:val="24"/>
              </w:rPr>
              <w:t>规划环境影响</w:t>
            </w:r>
          </w:p>
          <w:p w14:paraId="40DE2756">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kern w:val="0"/>
                <w:sz w:val="24"/>
              </w:rPr>
            </w:pPr>
            <w:r>
              <w:rPr>
                <w:rFonts w:hint="default" w:ascii="Times New Roman" w:hAnsi="Times New Roman" w:cs="Times New Roman"/>
                <w:b/>
                <w:sz w:val="24"/>
              </w:rPr>
              <w:t>评价情况</w:t>
            </w:r>
          </w:p>
        </w:tc>
        <w:tc>
          <w:tcPr>
            <w:tcW w:w="7370" w:type="dxa"/>
            <w:gridSpan w:val="3"/>
            <w:noWrap w:val="0"/>
            <w:vAlign w:val="center"/>
          </w:tcPr>
          <w:p w14:paraId="0A0360E5">
            <w:pPr>
              <w:autoSpaceDE w:val="0"/>
              <w:autoSpaceDN w:val="0"/>
              <w:adjustRightInd w:val="0"/>
              <w:snapToGrid w:val="0"/>
              <w:spacing w:line="360" w:lineRule="auto"/>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无</w:t>
            </w:r>
          </w:p>
        </w:tc>
      </w:tr>
      <w:tr w14:paraId="6C0B6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2186" w:type="dxa"/>
            <w:noWrap w:val="0"/>
            <w:vAlign w:val="center"/>
          </w:tcPr>
          <w:p w14:paraId="4C8244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kern w:val="0"/>
                <w:sz w:val="24"/>
              </w:rPr>
            </w:pPr>
            <w:r>
              <w:rPr>
                <w:rFonts w:hint="default" w:ascii="Times New Roman" w:hAnsi="Times New Roman" w:cs="Times New Roman"/>
                <w:b/>
                <w:kern w:val="0"/>
                <w:sz w:val="24"/>
              </w:rPr>
              <w:t>规划及规划环境影响评价符合性分析</w:t>
            </w:r>
          </w:p>
        </w:tc>
        <w:tc>
          <w:tcPr>
            <w:tcW w:w="7370" w:type="dxa"/>
            <w:gridSpan w:val="3"/>
            <w:noWrap w:val="0"/>
            <w:vAlign w:val="center"/>
          </w:tcPr>
          <w:p w14:paraId="630CE57E">
            <w:pPr>
              <w:numPr>
                <w:ilvl w:val="-1"/>
                <w:numId w:val="0"/>
              </w:numPr>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b w:val="0"/>
                <w:bCs w:val="0"/>
                <w:sz w:val="24"/>
                <w:szCs w:val="24"/>
                <w:lang w:val="en-US" w:eastAsia="zh-CN"/>
              </w:rPr>
              <w:t>根据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宿州市埇桥区桃园镇(北杨寨)总体规划（2016-2030）</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对于桃园产业总体发展定位为如下：</w:t>
            </w:r>
          </w:p>
          <w:p w14:paraId="598419EC">
            <w:pPr>
              <w:numPr>
                <w:ilvl w:val="-1"/>
                <w:numId w:val="0"/>
              </w:numPr>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一产业为农、林业。坚持“依托城市，发展农村，服务城市，富裕农民”的发展方针，按照“攻优、调粮、重养殖、重林业”的思路，进一步加强农业的基础地位，稳定发展特色种植业和养殖业，向精准化、高效化、规模化、生态化转变；形成种植业、养殖业、加工业、销售业为一体的农业产业链。</w:t>
            </w:r>
          </w:p>
          <w:p w14:paraId="798C6321">
            <w:pPr>
              <w:numPr>
                <w:ilvl w:val="-1"/>
                <w:numId w:val="0"/>
              </w:numPr>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二产业为现代制鞋业。利用宿州市交通便利、信息丰富等承接产业转移的平台，以优惠政策和良好环境吸引外部资金、技术和人才，立足桃园镇自身优势和产业基础，形成以鞋服产业为主，农副产品加工和建材业为辅的产业格局。</w:t>
            </w:r>
          </w:p>
          <w:p w14:paraId="311E592B">
            <w:pPr>
              <w:numPr>
                <w:ilvl w:val="-1"/>
                <w:numId w:val="0"/>
              </w:numPr>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第三产业为现代服务业、商贸物流业等。积极引进、培育大型商贸企业入驻，着力提升商业业态，不断扩大城镇与农村消费规模， 形成以综合服务组团为服务中心，吕寺组团为服务副中心，一般村及社区商业网点的三级商业节点体系。</w:t>
            </w:r>
          </w:p>
          <w:p w14:paraId="57FB1294">
            <w:pPr>
              <w:numPr>
                <w:ilvl w:val="-1"/>
                <w:numId w:val="0"/>
              </w:numPr>
              <w:spacing w:line="36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生产的秸秆捆草网用于农业秸秆处理，直接关联第一产业中的秸秆收集、运输及资源化利用环节，是农业产业链的配套产品，符合产业发展定位。因此，该项目建设符合桃园镇规划要求，相关规划符合性证明文件详见附件2。</w:t>
            </w:r>
          </w:p>
        </w:tc>
      </w:tr>
      <w:tr w14:paraId="2717A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3" w:hRule="atLeast"/>
          <w:jc w:val="center"/>
        </w:trPr>
        <w:tc>
          <w:tcPr>
            <w:tcW w:w="2186" w:type="dxa"/>
            <w:noWrap w:val="0"/>
            <w:vAlign w:val="center"/>
          </w:tcPr>
          <w:p w14:paraId="7B5DA5A4">
            <w:pPr>
              <w:autoSpaceDE w:val="0"/>
              <w:autoSpaceDN w:val="0"/>
              <w:adjustRightInd w:val="0"/>
              <w:snapToGrid w:val="0"/>
              <w:spacing w:line="360" w:lineRule="auto"/>
              <w:jc w:val="center"/>
              <w:rPr>
                <w:rFonts w:hint="default" w:ascii="Times New Roman" w:hAnsi="Times New Roman" w:cs="Times New Roman"/>
                <w:b/>
                <w:kern w:val="0"/>
                <w:sz w:val="24"/>
              </w:rPr>
            </w:pPr>
            <w:r>
              <w:rPr>
                <w:rFonts w:hint="default" w:ascii="Times New Roman" w:hAnsi="Times New Roman" w:cs="Times New Roman"/>
                <w:b/>
                <w:kern w:val="0"/>
                <w:sz w:val="24"/>
              </w:rPr>
              <w:t>其他符合性分析</w:t>
            </w:r>
          </w:p>
        </w:tc>
        <w:tc>
          <w:tcPr>
            <w:tcW w:w="7370" w:type="dxa"/>
            <w:gridSpan w:val="3"/>
            <w:noWrap w:val="0"/>
            <w:vAlign w:val="center"/>
          </w:tcPr>
          <w:p w14:paraId="5D70D852">
            <w:pPr>
              <w:spacing w:line="360" w:lineRule="auto"/>
              <w:rPr>
                <w:rFonts w:hint="default" w:ascii="Times New Roman" w:hAnsi="Times New Roman" w:cs="Times New Roman"/>
                <w:b/>
                <w:sz w:val="24"/>
              </w:rPr>
            </w:pPr>
            <w:r>
              <w:rPr>
                <w:rFonts w:hint="default" w:ascii="Times New Roman" w:hAnsi="Times New Roman" w:cs="Times New Roman"/>
                <w:b/>
                <w:sz w:val="24"/>
              </w:rPr>
              <w:t>1、产业政策符合性分析</w:t>
            </w:r>
          </w:p>
          <w:p w14:paraId="50BE7145">
            <w:pPr>
              <w:pStyle w:val="31"/>
              <w:autoSpaceDE w:val="0"/>
              <w:autoSpaceDN w:val="0"/>
              <w:snapToGrid w:val="0"/>
              <w:spacing w:before="0" w:beforeAutospacing="0" w:after="0" w:afterAutospacing="0" w:line="360" w:lineRule="auto"/>
              <w:ind w:firstLine="480" w:firstLineChars="200"/>
              <w:jc w:val="both"/>
              <w:rPr>
                <w:rFonts w:hint="default" w:ascii="Times New Roman" w:hAnsi="Times New Roman" w:cs="Times New Roman"/>
                <w:color w:val="000000"/>
                <w:sz w:val="24"/>
              </w:rPr>
            </w:pPr>
            <w:r>
              <w:rPr>
                <w:rFonts w:hint="default" w:ascii="Times New Roman" w:hAnsi="Times New Roman" w:cs="Times New Roman"/>
                <w:color w:val="000000"/>
                <w:sz w:val="24"/>
              </w:rPr>
              <w:t>根据《国民经济行业分类》（201</w:t>
            </w:r>
            <w:r>
              <w:rPr>
                <w:rFonts w:hint="default" w:ascii="Times New Roman" w:hAnsi="Times New Roman" w:cs="Times New Roman"/>
                <w:color w:val="000000"/>
                <w:sz w:val="24"/>
                <w:lang w:val="en-US" w:eastAsia="zh-CN"/>
              </w:rPr>
              <w:t>9修改版</w:t>
            </w:r>
            <w:r>
              <w:rPr>
                <w:rFonts w:hint="default" w:ascii="Times New Roman" w:hAnsi="Times New Roman" w:cs="Times New Roman"/>
                <w:color w:val="000000"/>
                <w:sz w:val="24"/>
              </w:rPr>
              <w:t>），本项目属于</w:t>
            </w:r>
            <w:r>
              <w:rPr>
                <w:rFonts w:hint="default" w:ascii="Times New Roman" w:hAnsi="Times New Roman" w:cs="Times New Roman"/>
                <w:sz w:val="24"/>
              </w:rPr>
              <w:t>C</w:t>
            </w:r>
            <w:r>
              <w:rPr>
                <w:rFonts w:hint="default" w:ascii="Times New Roman" w:hAnsi="Times New Roman" w:eastAsia="宋体" w:cs="Times New Roman"/>
                <w:sz w:val="24"/>
                <w:lang w:val="en-US" w:eastAsia="zh-CN"/>
              </w:rPr>
              <w:t>2923</w:t>
            </w:r>
            <w:r>
              <w:rPr>
                <w:rFonts w:hint="default" w:ascii="Times New Roman" w:hAnsi="Times New Roman" w:cs="Times New Roman"/>
                <w:sz w:val="24"/>
              </w:rPr>
              <w:t>塑料丝、绳及编织品制造</w:t>
            </w:r>
            <w:r>
              <w:rPr>
                <w:rFonts w:hint="default" w:ascii="Times New Roman" w:hAnsi="Times New Roman" w:cs="Times New Roman"/>
                <w:sz w:val="24"/>
                <w:lang w:eastAsia="zh-CN"/>
              </w:rPr>
              <w:t>。</w:t>
            </w:r>
            <w:r>
              <w:rPr>
                <w:rFonts w:hint="default" w:ascii="Times New Roman" w:hAnsi="Times New Roman" w:cs="Times New Roman"/>
                <w:color w:val="000000"/>
                <w:sz w:val="24"/>
              </w:rPr>
              <w:t>经查询：本项目不属于《产业结构调整指导目录（20</w:t>
            </w:r>
            <w:r>
              <w:rPr>
                <w:rFonts w:hint="default" w:ascii="Times New Roman" w:hAnsi="Times New Roman" w:cs="Times New Roman"/>
                <w:color w:val="000000"/>
                <w:sz w:val="24"/>
                <w:lang w:val="en-US" w:eastAsia="zh-CN"/>
              </w:rPr>
              <w:t>24</w:t>
            </w:r>
            <w:r>
              <w:rPr>
                <w:rFonts w:hint="default" w:ascii="Times New Roman" w:hAnsi="Times New Roman" w:cs="Times New Roman"/>
                <w:color w:val="000000"/>
                <w:sz w:val="24"/>
              </w:rPr>
              <w:t>年本）》（中华人民共和国国家发展和改革委员会令第7号）中限制类和淘汰类项目，也不属于《安徽省工业产业结构调整指导目录》（2007年本）中限制类和淘汰类项目。因此，可视为允许类。</w:t>
            </w:r>
          </w:p>
          <w:p w14:paraId="681296A0">
            <w:pPr>
              <w:pStyle w:val="31"/>
              <w:autoSpaceDE w:val="0"/>
              <w:autoSpaceDN w:val="0"/>
              <w:snapToGrid w:val="0"/>
              <w:spacing w:before="0" w:beforeAutospacing="0" w:after="0" w:afterAutospacing="0" w:line="360" w:lineRule="auto"/>
              <w:ind w:firstLine="480" w:firstLineChars="200"/>
              <w:jc w:val="both"/>
              <w:rPr>
                <w:rFonts w:hint="default" w:ascii="Times New Roman" w:hAnsi="Times New Roman" w:cs="Times New Roman"/>
                <w:sz w:val="24"/>
              </w:rPr>
            </w:pPr>
            <w:r>
              <w:rPr>
                <w:rFonts w:hint="default" w:ascii="Times New Roman" w:hAnsi="Times New Roman" w:cs="Times New Roman"/>
                <w:color w:val="000000"/>
                <w:sz w:val="24"/>
                <w:lang w:val="en-US" w:eastAsia="zh-CN"/>
              </w:rPr>
              <w:t>此外，</w:t>
            </w:r>
            <w:r>
              <w:rPr>
                <w:rFonts w:hint="default" w:ascii="Times New Roman" w:hAnsi="Times New Roman" w:cs="Times New Roman"/>
                <w:color w:val="auto"/>
                <w:sz w:val="24"/>
              </w:rPr>
              <w:t>该项目已于202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日经</w:t>
            </w:r>
            <w:r>
              <w:rPr>
                <w:rFonts w:hint="default" w:ascii="Times New Roman" w:hAnsi="Times New Roman" w:cs="Times New Roman"/>
                <w:color w:val="auto"/>
                <w:sz w:val="24"/>
                <w:lang w:val="en-US" w:eastAsia="zh-CN"/>
              </w:rPr>
              <w:t>埇桥区发展改革委</w:t>
            </w:r>
            <w:r>
              <w:rPr>
                <w:rFonts w:hint="default" w:ascii="Times New Roman" w:hAnsi="Times New Roman" w:cs="Times New Roman"/>
                <w:color w:val="auto"/>
                <w:sz w:val="24"/>
              </w:rPr>
              <w:t>备案</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项目代码为</w:t>
            </w:r>
            <w:r>
              <w:rPr>
                <w:rFonts w:hint="default" w:ascii="Times New Roman" w:hAnsi="Times New Roman" w:cs="Times New Roman"/>
                <w:sz w:val="24"/>
                <w:lang w:val="en-US" w:eastAsia="zh-CN"/>
              </w:rPr>
              <w:t>2507-341302-04-01-987264</w:t>
            </w:r>
            <w:r>
              <w:rPr>
                <w:rFonts w:hint="default" w:ascii="Times New Roman" w:hAnsi="Times New Roman" w:cs="Times New Roman"/>
                <w:color w:val="000000"/>
                <w:spacing w:val="4"/>
                <w:sz w:val="24"/>
              </w:rPr>
              <w:t>。</w:t>
            </w:r>
            <w:r>
              <w:rPr>
                <w:rFonts w:hint="default" w:ascii="Times New Roman" w:hAnsi="Times New Roman" w:cs="Times New Roman"/>
                <w:sz w:val="24"/>
              </w:rPr>
              <w:t>因此，本项目的建设符合国家和安徽省的相关产业政策要求。</w:t>
            </w:r>
          </w:p>
          <w:p w14:paraId="6A76D870">
            <w:pPr>
              <w:spacing w:line="360" w:lineRule="auto"/>
              <w:rPr>
                <w:rFonts w:hint="default" w:ascii="Times New Roman" w:hAnsi="Times New Roman" w:cs="Times New Roman"/>
                <w:b/>
                <w:sz w:val="24"/>
              </w:rPr>
            </w:pPr>
            <w:r>
              <w:rPr>
                <w:rFonts w:hint="default" w:ascii="Times New Roman" w:hAnsi="Times New Roman" w:cs="Times New Roman"/>
                <w:b/>
                <w:sz w:val="24"/>
              </w:rPr>
              <w:t>2、选址环境相容性分析</w:t>
            </w:r>
          </w:p>
          <w:p w14:paraId="34F2C7A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bCs/>
                <w:color w:val="auto"/>
                <w:sz w:val="24"/>
                <w:szCs w:val="24"/>
              </w:rPr>
              <w:t>本项目位于</w:t>
            </w:r>
            <w:r>
              <w:rPr>
                <w:rFonts w:hint="default" w:ascii="Times New Roman" w:hAnsi="Times New Roman" w:cs="Times New Roman"/>
                <w:sz w:val="24"/>
                <w:lang w:val="en-US" w:eastAsia="zh-CN"/>
              </w:rPr>
              <w:t>宿州市桃园镇桃园村寨东组进矿路北侧</w:t>
            </w:r>
            <w:r>
              <w:rPr>
                <w:rFonts w:hint="default" w:ascii="Times New Roman" w:hAnsi="Times New Roman" w:eastAsia="新宋体" w:cs="Times New Roman"/>
                <w:color w:val="000000"/>
                <w:kern w:val="0"/>
                <w:sz w:val="24"/>
                <w:szCs w:val="24"/>
                <w:lang w:val="en-US" w:eastAsia="zh-CN" w:bidi="ar"/>
              </w:rPr>
              <w:t>，</w:t>
            </w:r>
            <w:r>
              <w:rPr>
                <w:rFonts w:hint="default" w:ascii="Times New Roman" w:hAnsi="Times New Roman" w:cs="Times New Roman"/>
                <w:bCs/>
                <w:color w:val="auto"/>
                <w:sz w:val="24"/>
                <w:szCs w:val="24"/>
              </w:rPr>
              <w:t>项目运营消耗资源主要为电、水，</w:t>
            </w:r>
            <w:r>
              <w:rPr>
                <w:rFonts w:hint="default" w:ascii="Times New Roman" w:hAnsi="Times New Roman" w:cs="Times New Roman"/>
                <w:bCs/>
                <w:color w:val="auto"/>
                <w:sz w:val="24"/>
                <w:szCs w:val="24"/>
                <w:lang w:val="en-US" w:eastAsia="zh-CN"/>
              </w:rPr>
              <w:t>均依托</w:t>
            </w:r>
            <w:r>
              <w:rPr>
                <w:rFonts w:hint="default" w:ascii="Times New Roman" w:hAnsi="Times New Roman" w:eastAsia="新宋体" w:cs="Times New Roman"/>
                <w:color w:val="000000"/>
                <w:kern w:val="0"/>
                <w:sz w:val="24"/>
                <w:szCs w:val="24"/>
                <w:lang w:val="en-US" w:eastAsia="zh-CN" w:bidi="ar"/>
              </w:rPr>
              <w:t>供电管网、供水管网</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项目耗电量和消耗水量相对区域资源利用总量较少，满足项目建设外部条件要求</w:t>
            </w:r>
            <w:r>
              <w:rPr>
                <w:rFonts w:hint="default" w:ascii="Times New Roman" w:hAnsi="Times New Roman" w:cs="Times New Roman"/>
                <w:sz w:val="24"/>
              </w:rPr>
              <w:t>。项目所在厂区</w:t>
            </w:r>
            <w:r>
              <w:rPr>
                <w:rFonts w:hint="default" w:ascii="Times New Roman" w:hAnsi="Times New Roman" w:cs="Times New Roman"/>
                <w:sz w:val="24"/>
                <w:lang w:val="en-US" w:eastAsia="zh-CN"/>
              </w:rPr>
              <w:t>北侧及南侧均</w:t>
            </w:r>
            <w:r>
              <w:rPr>
                <w:rFonts w:hint="default" w:ascii="Times New Roman" w:hAnsi="Times New Roman" w:cs="Times New Roman"/>
                <w:sz w:val="24"/>
                <w:lang w:eastAsia="zh-CN"/>
              </w:rPr>
              <w:t>为空地</w:t>
            </w:r>
            <w:r>
              <w:rPr>
                <w:rFonts w:hint="default" w:ascii="Times New Roman" w:hAnsi="Times New Roman" w:cs="Times New Roman"/>
                <w:sz w:val="24"/>
                <w:lang w:val="en-US" w:eastAsia="zh-CN"/>
              </w:rPr>
              <w:t>，东</w:t>
            </w:r>
            <w:r>
              <w:rPr>
                <w:rFonts w:hint="default" w:ascii="Times New Roman" w:hAnsi="Times New Roman" w:cs="Times New Roman"/>
                <w:sz w:val="24"/>
                <w:lang w:eastAsia="zh-CN"/>
              </w:rPr>
              <w:t>侧</w:t>
            </w:r>
            <w:r>
              <w:rPr>
                <w:rFonts w:hint="default" w:ascii="Times New Roman" w:hAnsi="Times New Roman" w:cs="Times New Roman"/>
                <w:sz w:val="24"/>
                <w:lang w:val="en-US" w:eastAsia="zh-CN"/>
              </w:rPr>
              <w:t>为其他厂房，</w:t>
            </w:r>
            <w:r>
              <w:rPr>
                <w:rFonts w:hint="default" w:ascii="Times New Roman" w:hAnsi="Times New Roman" w:cs="Times New Roman"/>
                <w:sz w:val="24"/>
              </w:rPr>
              <w:t>距离项目最近的环境敏感点为</w:t>
            </w:r>
            <w:r>
              <w:rPr>
                <w:rFonts w:hint="default" w:ascii="Times New Roman" w:hAnsi="Times New Roman" w:cs="Times New Roman"/>
                <w:sz w:val="24"/>
                <w:lang w:val="en-US" w:eastAsia="zh-CN"/>
              </w:rPr>
              <w:t>项目所在厂区西</w:t>
            </w:r>
            <w:r>
              <w:rPr>
                <w:rFonts w:hint="default" w:ascii="Times New Roman" w:hAnsi="Times New Roman" w:cs="Times New Roman"/>
                <w:sz w:val="24"/>
              </w:rPr>
              <w:t>侧</w:t>
            </w:r>
            <w:r>
              <w:rPr>
                <w:rFonts w:hint="default" w:ascii="Times New Roman" w:hAnsi="Times New Roman" w:cs="Times New Roman"/>
                <w:sz w:val="24"/>
                <w:lang w:val="en-US" w:eastAsia="zh-CN"/>
              </w:rPr>
              <w:t>5m处</w:t>
            </w:r>
            <w:r>
              <w:rPr>
                <w:rFonts w:hint="default" w:ascii="Times New Roman" w:hAnsi="Times New Roman" w:cs="Times New Roman"/>
                <w:sz w:val="24"/>
              </w:rPr>
              <w:t>的</w:t>
            </w:r>
            <w:r>
              <w:rPr>
                <w:rFonts w:hint="default" w:ascii="Times New Roman" w:hAnsi="Times New Roman" w:cs="Times New Roman"/>
                <w:sz w:val="24"/>
                <w:lang w:val="en-US" w:eastAsia="zh-CN"/>
              </w:rPr>
              <w:t>汪寨村和西北侧20m处的桃园矿工人村</w:t>
            </w:r>
            <w:r>
              <w:rPr>
                <w:rFonts w:hint="default" w:ascii="Times New Roman" w:hAnsi="Times New Roman" w:cs="Times New Roman"/>
                <w:sz w:val="24"/>
              </w:rPr>
              <w:t>。</w:t>
            </w:r>
          </w:p>
          <w:p w14:paraId="7ECF77B2">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bCs/>
                <w:color w:val="auto"/>
                <w:sz w:val="24"/>
                <w:szCs w:val="24"/>
              </w:rPr>
              <w:t>项目周边无饮用水源保护区、自然保护区、风景名胜区、生态环境敏感区等环境保护目标，与环境兼容</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总体来说，建设项目厂址交通便利，通过对厂区合理布局，并落实各项污染防治措施后，污染物均可达标排放，不会对项目区域环境造成较大影响</w:t>
            </w:r>
            <w:r>
              <w:rPr>
                <w:rFonts w:hint="default" w:ascii="Times New Roman" w:hAnsi="Times New Roman" w:cs="Times New Roman"/>
                <w:bCs/>
                <w:color w:val="auto"/>
                <w:sz w:val="24"/>
                <w:szCs w:val="24"/>
                <w:lang w:eastAsia="zh-CN"/>
              </w:rPr>
              <w:t>。</w:t>
            </w:r>
          </w:p>
          <w:p w14:paraId="3620B6AD">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color w:val="auto"/>
                <w:sz w:val="24"/>
                <w:szCs w:val="24"/>
              </w:rPr>
              <w:t>因此，本项目选址合理，与周边环境相容</w:t>
            </w:r>
            <w:r>
              <w:rPr>
                <w:rFonts w:hint="default" w:ascii="Times New Roman" w:hAnsi="Times New Roman" w:cs="Times New Roman"/>
                <w:sz w:val="24"/>
                <w:szCs w:val="24"/>
              </w:rPr>
              <w:t>。</w:t>
            </w:r>
          </w:p>
          <w:p w14:paraId="65A94AC5">
            <w:pPr>
              <w:spacing w:line="360" w:lineRule="auto"/>
              <w:rPr>
                <w:rFonts w:hint="default" w:ascii="Times New Roman" w:hAnsi="Times New Roman" w:cs="Times New Roman"/>
                <w:b/>
                <w:sz w:val="24"/>
                <w:highlight w:val="none"/>
              </w:rPr>
            </w:pPr>
            <w:r>
              <w:rPr>
                <w:rFonts w:hint="default" w:ascii="Times New Roman" w:hAnsi="Times New Roman" w:cs="Times New Roman"/>
                <w:b/>
                <w:sz w:val="24"/>
                <w:highlight w:val="none"/>
              </w:rPr>
              <w:t>3、项目“三线一单”符合性分析</w:t>
            </w:r>
          </w:p>
          <w:p w14:paraId="6886201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“三线一单”是指生态保护红线、环境质量底线、资源利用上线和生态环境准入清单。</w:t>
            </w:r>
          </w:p>
          <w:p w14:paraId="034B98A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1、生态保护红线</w:t>
            </w:r>
            <w:r>
              <w:rPr>
                <w:rFonts w:hint="default" w:ascii="Times New Roman" w:hAnsi="Times New Roman" w:cs="Times New Roman"/>
                <w:color w:val="auto"/>
                <w:sz w:val="24"/>
              </w:rPr>
              <w:t>及分区管控</w:t>
            </w:r>
          </w:p>
          <w:p w14:paraId="465B3D6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根据《宿州市</w:t>
            </w:r>
            <w:r>
              <w:rPr>
                <w:rFonts w:hint="default" w:ascii="Times New Roman" w:hAnsi="Times New Roman" w:cs="Times New Roman"/>
                <w:color w:val="auto"/>
                <w:sz w:val="24"/>
                <w:lang w:val="en-US" w:eastAsia="zh-CN"/>
              </w:rPr>
              <w:t>生态环境分区管控</w:t>
            </w:r>
            <w:r>
              <w:rPr>
                <w:rFonts w:hint="default" w:ascii="Times New Roman" w:hAnsi="Times New Roman" w:eastAsia="宋体" w:cs="Times New Roman"/>
                <w:color w:val="auto"/>
                <w:sz w:val="24"/>
              </w:rPr>
              <w:t>编制文本》，宿州市的生态保护红线主要分布在以下片区，具体见下表。</w:t>
            </w:r>
          </w:p>
          <w:p w14:paraId="42CFD51F">
            <w:pPr>
              <w:numPr>
                <w:ilvl w:val="0"/>
                <w:numId w:val="3"/>
              </w:numPr>
              <w:ind w:left="0" w:leftChars="0" w:firstLine="0" w:firstLineChars="0"/>
              <w:jc w:val="center"/>
              <w:rPr>
                <w:rFonts w:hint="default" w:ascii="Times New Roman" w:hAnsi="Times New Roman" w:eastAsia="宋体" w:cs="Times New Roman"/>
                <w:color w:val="auto"/>
                <w:szCs w:val="22"/>
              </w:rPr>
            </w:pPr>
            <w:r>
              <w:rPr>
                <w:rFonts w:hint="default" w:ascii="Times New Roman" w:hAnsi="Times New Roman" w:eastAsia="宋体" w:cs="Times New Roman"/>
                <w:b/>
                <w:color w:val="auto"/>
                <w:sz w:val="24"/>
              </w:rPr>
              <w:t>宿州市生态保护红线登记表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086"/>
              <w:gridCol w:w="1073"/>
              <w:gridCol w:w="2826"/>
              <w:gridCol w:w="720"/>
              <w:gridCol w:w="668"/>
            </w:tblGrid>
            <w:tr w14:paraId="6F8F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pct"/>
                  <w:noWrap w:val="0"/>
                  <w:vAlign w:val="center"/>
                </w:tcPr>
                <w:p w14:paraId="164BAEB2">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类型</w:t>
                  </w:r>
                </w:p>
              </w:tc>
              <w:tc>
                <w:tcPr>
                  <w:tcW w:w="760" w:type="pct"/>
                  <w:noWrap w:val="0"/>
                  <w:vAlign w:val="center"/>
                </w:tcPr>
                <w:p w14:paraId="56380DB9">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名称</w:t>
                  </w:r>
                </w:p>
              </w:tc>
              <w:tc>
                <w:tcPr>
                  <w:tcW w:w="751" w:type="pct"/>
                  <w:noWrap w:val="0"/>
                  <w:vAlign w:val="center"/>
                </w:tcPr>
                <w:p w14:paraId="435BA79E">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生态系统</w:t>
                  </w:r>
                </w:p>
                <w:p w14:paraId="6E0DDF8A">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特征</w:t>
                  </w:r>
                </w:p>
              </w:tc>
              <w:tc>
                <w:tcPr>
                  <w:tcW w:w="1978" w:type="pct"/>
                  <w:noWrap w:val="0"/>
                  <w:vAlign w:val="center"/>
                </w:tcPr>
                <w:p w14:paraId="612743D4">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保护地名录</w:t>
                  </w:r>
                </w:p>
              </w:tc>
              <w:tc>
                <w:tcPr>
                  <w:tcW w:w="504" w:type="pct"/>
                  <w:noWrap w:val="0"/>
                  <w:vAlign w:val="center"/>
                </w:tcPr>
                <w:p w14:paraId="26035561">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所属</w:t>
                  </w:r>
                </w:p>
                <w:p w14:paraId="7A750DFD">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行政区</w:t>
                  </w:r>
                </w:p>
              </w:tc>
              <w:tc>
                <w:tcPr>
                  <w:tcW w:w="467" w:type="pct"/>
                  <w:noWrap w:val="0"/>
                  <w:vAlign w:val="center"/>
                </w:tcPr>
                <w:p w14:paraId="6369D842">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面积</w:t>
                  </w:r>
                </w:p>
                <w:p w14:paraId="7253E479">
                  <w:pPr>
                    <w:ind w:left="-63" w:leftChars="-30" w:right="-63" w:rightChars="-3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/km</w:t>
                  </w:r>
                  <w:r>
                    <w:rPr>
                      <w:rFonts w:hint="default" w:ascii="Times New Roman" w:hAnsi="Times New Roman" w:eastAsia="宋体" w:cs="Times New Roman"/>
                      <w:bCs/>
                      <w:color w:val="auto"/>
                      <w:szCs w:val="21"/>
                      <w:vertAlign w:val="superscript"/>
                    </w:rPr>
                    <w:t>2</w:t>
                  </w:r>
                </w:p>
              </w:tc>
            </w:tr>
            <w:tr w14:paraId="4DB4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noWrap w:val="0"/>
                  <w:vAlign w:val="center"/>
                </w:tcPr>
                <w:p w14:paraId="4A1018EF">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Ⅱ水土保持生态保护红线</w:t>
                  </w:r>
                </w:p>
              </w:tc>
              <w:tc>
                <w:tcPr>
                  <w:tcW w:w="760" w:type="pct"/>
                  <w:vMerge w:val="restart"/>
                  <w:noWrap w:val="0"/>
                  <w:vAlign w:val="center"/>
                </w:tcPr>
                <w:p w14:paraId="20F6C7A8">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Ⅱ-1淮北河间平原农产品提供及水土保持生态保护红线</w:t>
                  </w:r>
                </w:p>
              </w:tc>
              <w:tc>
                <w:tcPr>
                  <w:tcW w:w="751" w:type="pct"/>
                  <w:vMerge w:val="restart"/>
                  <w:noWrap w:val="0"/>
                  <w:vAlign w:val="center"/>
                </w:tcPr>
                <w:p w14:paraId="7EE97F54">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暖温带落叶阔叶林带</w:t>
                  </w:r>
                </w:p>
              </w:tc>
              <w:tc>
                <w:tcPr>
                  <w:tcW w:w="1978" w:type="pct"/>
                  <w:vMerge w:val="restart"/>
                  <w:noWrap w:val="0"/>
                  <w:vAlign w:val="center"/>
                </w:tcPr>
                <w:p w14:paraId="4F0719AF">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宿州大方寺省级自然保护区、泗县沱河省级自然保护区、泗县新汴河省级湿地自然公园、安徽灵璧磬云山国家地质自然公园、泗县沱河省级自然保护区、安徽泗县石龙湖国家湿地公园</w:t>
                  </w:r>
                </w:p>
              </w:tc>
              <w:tc>
                <w:tcPr>
                  <w:tcW w:w="504" w:type="pct"/>
                  <w:noWrap w:val="0"/>
                  <w:vAlign w:val="center"/>
                </w:tcPr>
                <w:p w14:paraId="71C4465B">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灵璧县</w:t>
                  </w:r>
                </w:p>
              </w:tc>
              <w:tc>
                <w:tcPr>
                  <w:tcW w:w="467" w:type="pct"/>
                  <w:noWrap w:val="0"/>
                  <w:vAlign w:val="center"/>
                </w:tcPr>
                <w:p w14:paraId="1C1C9576">
                  <w:pPr>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8.2</w:t>
                  </w:r>
                </w:p>
              </w:tc>
            </w:tr>
            <w:tr w14:paraId="5AE7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14:paraId="6B910494">
                  <w:pPr>
                    <w:widowControl/>
                    <w:ind w:left="-63" w:leftChars="-30" w:right="-63" w:rightChars="-30"/>
                    <w:jc w:val="left"/>
                    <w:rPr>
                      <w:rFonts w:hint="default" w:ascii="Times New Roman" w:hAnsi="Times New Roman" w:eastAsia="宋体" w:cs="Times New Roman"/>
                      <w:color w:val="auto"/>
                      <w:szCs w:val="21"/>
                    </w:rPr>
                  </w:pPr>
                </w:p>
              </w:tc>
              <w:tc>
                <w:tcPr>
                  <w:tcW w:w="760" w:type="pct"/>
                  <w:vMerge w:val="continue"/>
                  <w:noWrap w:val="0"/>
                  <w:vAlign w:val="center"/>
                </w:tcPr>
                <w:p w14:paraId="2A62F2AA">
                  <w:pPr>
                    <w:widowControl/>
                    <w:ind w:left="-63" w:leftChars="-30" w:right="-63" w:rightChars="-30"/>
                    <w:jc w:val="left"/>
                    <w:rPr>
                      <w:rFonts w:hint="default" w:ascii="Times New Roman" w:hAnsi="Times New Roman" w:eastAsia="宋体" w:cs="Times New Roman"/>
                      <w:color w:val="auto"/>
                      <w:szCs w:val="21"/>
                    </w:rPr>
                  </w:pPr>
                </w:p>
              </w:tc>
              <w:tc>
                <w:tcPr>
                  <w:tcW w:w="751" w:type="pct"/>
                  <w:vMerge w:val="continue"/>
                  <w:noWrap w:val="0"/>
                  <w:vAlign w:val="center"/>
                </w:tcPr>
                <w:p w14:paraId="6F6E65BE">
                  <w:pPr>
                    <w:widowControl/>
                    <w:ind w:left="-63" w:leftChars="-30" w:right="-63" w:rightChars="-30"/>
                    <w:jc w:val="left"/>
                    <w:rPr>
                      <w:rFonts w:hint="default" w:ascii="Times New Roman" w:hAnsi="Times New Roman" w:eastAsia="宋体" w:cs="Times New Roman"/>
                      <w:color w:val="auto"/>
                      <w:szCs w:val="21"/>
                    </w:rPr>
                  </w:pPr>
                </w:p>
              </w:tc>
              <w:tc>
                <w:tcPr>
                  <w:tcW w:w="1978" w:type="pct"/>
                  <w:vMerge w:val="continue"/>
                  <w:noWrap w:val="0"/>
                  <w:vAlign w:val="center"/>
                </w:tcPr>
                <w:p w14:paraId="5AEB8B49">
                  <w:pPr>
                    <w:widowControl/>
                    <w:ind w:left="-63" w:leftChars="-30" w:right="-63" w:rightChars="-30"/>
                    <w:jc w:val="left"/>
                    <w:rPr>
                      <w:rFonts w:hint="default" w:ascii="Times New Roman" w:hAnsi="Times New Roman" w:eastAsia="宋体" w:cs="Times New Roman"/>
                      <w:color w:val="auto"/>
                      <w:szCs w:val="21"/>
                    </w:rPr>
                  </w:pPr>
                </w:p>
              </w:tc>
              <w:tc>
                <w:tcPr>
                  <w:tcW w:w="504" w:type="pct"/>
                  <w:noWrap w:val="0"/>
                  <w:vAlign w:val="center"/>
                </w:tcPr>
                <w:p w14:paraId="2302C6B2">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泗县</w:t>
                  </w:r>
                </w:p>
              </w:tc>
              <w:tc>
                <w:tcPr>
                  <w:tcW w:w="467" w:type="pct"/>
                  <w:noWrap w:val="0"/>
                  <w:vAlign w:val="center"/>
                </w:tcPr>
                <w:p w14:paraId="6F35AFB8">
                  <w:pPr>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28.82</w:t>
                  </w:r>
                </w:p>
              </w:tc>
            </w:tr>
            <w:tr w14:paraId="6401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14:paraId="6D68CB57">
                  <w:pPr>
                    <w:widowControl/>
                    <w:ind w:left="-63" w:leftChars="-30" w:right="-63" w:rightChars="-30"/>
                    <w:jc w:val="left"/>
                    <w:rPr>
                      <w:rFonts w:hint="default" w:ascii="Times New Roman" w:hAnsi="Times New Roman" w:eastAsia="宋体" w:cs="Times New Roman"/>
                      <w:color w:val="auto"/>
                      <w:szCs w:val="21"/>
                    </w:rPr>
                  </w:pPr>
                </w:p>
              </w:tc>
              <w:tc>
                <w:tcPr>
                  <w:tcW w:w="760" w:type="pct"/>
                  <w:vMerge w:val="continue"/>
                  <w:noWrap w:val="0"/>
                  <w:vAlign w:val="center"/>
                </w:tcPr>
                <w:p w14:paraId="053B9D34">
                  <w:pPr>
                    <w:widowControl/>
                    <w:ind w:left="-63" w:leftChars="-30" w:right="-63" w:rightChars="-30"/>
                    <w:jc w:val="left"/>
                    <w:rPr>
                      <w:rFonts w:hint="default" w:ascii="Times New Roman" w:hAnsi="Times New Roman" w:eastAsia="宋体" w:cs="Times New Roman"/>
                      <w:color w:val="auto"/>
                      <w:szCs w:val="21"/>
                    </w:rPr>
                  </w:pPr>
                </w:p>
              </w:tc>
              <w:tc>
                <w:tcPr>
                  <w:tcW w:w="751" w:type="pct"/>
                  <w:vMerge w:val="continue"/>
                  <w:noWrap w:val="0"/>
                  <w:vAlign w:val="center"/>
                </w:tcPr>
                <w:p w14:paraId="66850527">
                  <w:pPr>
                    <w:widowControl/>
                    <w:ind w:left="-63" w:leftChars="-30" w:right="-63" w:rightChars="-30"/>
                    <w:jc w:val="left"/>
                    <w:rPr>
                      <w:rFonts w:hint="default" w:ascii="Times New Roman" w:hAnsi="Times New Roman" w:eastAsia="宋体" w:cs="Times New Roman"/>
                      <w:color w:val="auto"/>
                      <w:szCs w:val="21"/>
                    </w:rPr>
                  </w:pPr>
                </w:p>
              </w:tc>
              <w:tc>
                <w:tcPr>
                  <w:tcW w:w="1978" w:type="pct"/>
                  <w:vMerge w:val="continue"/>
                  <w:noWrap w:val="0"/>
                  <w:vAlign w:val="center"/>
                </w:tcPr>
                <w:p w14:paraId="0ACD0D6A">
                  <w:pPr>
                    <w:widowControl/>
                    <w:ind w:left="-63" w:leftChars="-30" w:right="-63" w:rightChars="-30"/>
                    <w:jc w:val="left"/>
                    <w:rPr>
                      <w:rFonts w:hint="default" w:ascii="Times New Roman" w:hAnsi="Times New Roman" w:eastAsia="宋体" w:cs="Times New Roman"/>
                      <w:color w:val="auto"/>
                      <w:szCs w:val="21"/>
                    </w:rPr>
                  </w:pPr>
                </w:p>
              </w:tc>
              <w:tc>
                <w:tcPr>
                  <w:tcW w:w="504" w:type="pct"/>
                  <w:noWrap w:val="0"/>
                  <w:vAlign w:val="center"/>
                </w:tcPr>
                <w:p w14:paraId="6A31A435">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埇桥区</w:t>
                  </w:r>
                </w:p>
              </w:tc>
              <w:tc>
                <w:tcPr>
                  <w:tcW w:w="467" w:type="pct"/>
                  <w:noWrap w:val="0"/>
                  <w:vAlign w:val="center"/>
                </w:tcPr>
                <w:p w14:paraId="601F1F5B">
                  <w:pPr>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65.24</w:t>
                  </w:r>
                </w:p>
              </w:tc>
            </w:tr>
            <w:tr w14:paraId="0B5C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7" w:type="pct"/>
                  <w:vMerge w:val="restart"/>
                  <w:noWrap w:val="0"/>
                  <w:vAlign w:val="center"/>
                </w:tcPr>
                <w:p w14:paraId="62EC5A69">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Ⅲ生物多样性维护生态保护红线</w:t>
                  </w:r>
                </w:p>
              </w:tc>
              <w:tc>
                <w:tcPr>
                  <w:tcW w:w="760" w:type="pct"/>
                  <w:vMerge w:val="restart"/>
                  <w:noWrap w:val="0"/>
                  <w:vAlign w:val="center"/>
                </w:tcPr>
                <w:p w14:paraId="150BB80C">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Ⅲ-1淮北平原北部生物多样性维护及水土保持生态保护红线</w:t>
                  </w:r>
                </w:p>
              </w:tc>
              <w:tc>
                <w:tcPr>
                  <w:tcW w:w="751" w:type="pct"/>
                  <w:vMerge w:val="restart"/>
                  <w:noWrap w:val="0"/>
                  <w:vAlign w:val="center"/>
                </w:tcPr>
                <w:p w14:paraId="256EF60D">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暖温带落叶阔叶林带</w:t>
                  </w:r>
                </w:p>
              </w:tc>
              <w:tc>
                <w:tcPr>
                  <w:tcW w:w="1978" w:type="pct"/>
                  <w:vMerge w:val="restart"/>
                  <w:noWrap w:val="0"/>
                  <w:vAlign w:val="center"/>
                </w:tcPr>
                <w:p w14:paraId="38AF1C00">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安徽砀山酥梨种质资源森林公 </w:t>
                  </w:r>
                </w:p>
                <w:p w14:paraId="5D060088">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504" w:type="pct"/>
                  <w:noWrap w:val="0"/>
                  <w:vAlign w:val="center"/>
                </w:tcPr>
                <w:p w14:paraId="1F70AA45">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砀山县</w:t>
                  </w:r>
                </w:p>
              </w:tc>
              <w:tc>
                <w:tcPr>
                  <w:tcW w:w="467" w:type="pct"/>
                  <w:noWrap w:val="0"/>
                  <w:vAlign w:val="center"/>
                </w:tcPr>
                <w:p w14:paraId="5E8B4085">
                  <w:pPr>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113.87</w:t>
                  </w:r>
                </w:p>
              </w:tc>
            </w:tr>
            <w:tr w14:paraId="1B87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14:paraId="57D8CA10">
                  <w:pPr>
                    <w:widowControl/>
                    <w:ind w:left="-63" w:leftChars="-30" w:right="-63" w:rightChars="-30"/>
                    <w:jc w:val="left"/>
                    <w:rPr>
                      <w:rFonts w:hint="default" w:ascii="Times New Roman" w:hAnsi="Times New Roman" w:eastAsia="宋体" w:cs="Times New Roman"/>
                      <w:color w:val="auto"/>
                      <w:szCs w:val="21"/>
                    </w:rPr>
                  </w:pPr>
                </w:p>
              </w:tc>
              <w:tc>
                <w:tcPr>
                  <w:tcW w:w="760" w:type="pct"/>
                  <w:vMerge w:val="continue"/>
                  <w:noWrap w:val="0"/>
                  <w:vAlign w:val="center"/>
                </w:tcPr>
                <w:p w14:paraId="7352952B">
                  <w:pPr>
                    <w:widowControl/>
                    <w:ind w:left="-63" w:leftChars="-30" w:right="-63" w:rightChars="-30"/>
                    <w:jc w:val="left"/>
                    <w:rPr>
                      <w:rFonts w:hint="default" w:ascii="Times New Roman" w:hAnsi="Times New Roman" w:eastAsia="宋体" w:cs="Times New Roman"/>
                      <w:color w:val="auto"/>
                      <w:szCs w:val="21"/>
                    </w:rPr>
                  </w:pPr>
                </w:p>
              </w:tc>
              <w:tc>
                <w:tcPr>
                  <w:tcW w:w="751" w:type="pct"/>
                  <w:vMerge w:val="continue"/>
                  <w:noWrap w:val="0"/>
                  <w:vAlign w:val="center"/>
                </w:tcPr>
                <w:p w14:paraId="69A7F32C">
                  <w:pPr>
                    <w:widowControl/>
                    <w:ind w:left="-63" w:leftChars="-30" w:right="-63" w:rightChars="-30"/>
                    <w:jc w:val="left"/>
                    <w:rPr>
                      <w:rFonts w:hint="default" w:ascii="Times New Roman" w:hAnsi="Times New Roman" w:eastAsia="宋体" w:cs="Times New Roman"/>
                      <w:color w:val="auto"/>
                      <w:szCs w:val="21"/>
                    </w:rPr>
                  </w:pPr>
                </w:p>
              </w:tc>
              <w:tc>
                <w:tcPr>
                  <w:tcW w:w="1978" w:type="pct"/>
                  <w:vMerge w:val="continue"/>
                  <w:noWrap w:val="0"/>
                  <w:vAlign w:val="center"/>
                </w:tcPr>
                <w:p w14:paraId="77691118">
                  <w:pPr>
                    <w:widowControl/>
                    <w:ind w:left="-63" w:leftChars="-30" w:right="-63" w:rightChars="-30"/>
                    <w:jc w:val="left"/>
                    <w:rPr>
                      <w:rFonts w:hint="default" w:ascii="Times New Roman" w:hAnsi="Times New Roman" w:eastAsia="宋体" w:cs="Times New Roman"/>
                      <w:color w:val="auto"/>
                      <w:szCs w:val="21"/>
                    </w:rPr>
                  </w:pPr>
                </w:p>
              </w:tc>
              <w:tc>
                <w:tcPr>
                  <w:tcW w:w="504" w:type="pct"/>
                  <w:noWrap w:val="0"/>
                  <w:vAlign w:val="center"/>
                </w:tcPr>
                <w:p w14:paraId="6B767014">
                  <w:pPr>
                    <w:ind w:left="-63" w:leftChars="-30" w:right="-63" w:rightChar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萧县</w:t>
                  </w:r>
                </w:p>
              </w:tc>
              <w:tc>
                <w:tcPr>
                  <w:tcW w:w="467" w:type="pct"/>
                  <w:noWrap w:val="0"/>
                  <w:vAlign w:val="center"/>
                </w:tcPr>
                <w:p w14:paraId="213337E3">
                  <w:pPr>
                    <w:ind w:left="-63" w:leftChars="-30" w:right="-63" w:rightChars="-3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1</w:t>
                  </w:r>
                  <w:r>
                    <w:rPr>
                      <w:rFonts w:hint="default" w:ascii="Times New Roman" w:hAnsi="Times New Roman" w:cs="Times New Roman"/>
                      <w:color w:val="auto"/>
                      <w:szCs w:val="21"/>
                      <w:lang w:val="en-US" w:eastAsia="zh-CN"/>
                    </w:rPr>
                    <w:t>03.45</w:t>
                  </w:r>
                </w:p>
              </w:tc>
            </w:tr>
          </w:tbl>
          <w:p w14:paraId="4E8D629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color w:val="auto"/>
                <w:sz w:val="24"/>
                <w:lang w:val="en-US" w:eastAsia="zh-CN"/>
              </w:rPr>
              <w:t>本项目位于</w:t>
            </w:r>
            <w:r>
              <w:rPr>
                <w:rFonts w:hint="default" w:ascii="Times New Roman" w:hAnsi="Times New Roman" w:cs="Times New Roman"/>
                <w:kern w:val="0"/>
                <w:sz w:val="24"/>
                <w:lang w:val="en-US" w:eastAsia="zh-CN"/>
              </w:rPr>
              <w:t>宿州市</w:t>
            </w:r>
            <w:r>
              <w:rPr>
                <w:rFonts w:hint="default" w:ascii="Times New Roman" w:hAnsi="Times New Roman" w:cs="Times New Roman"/>
                <w:sz w:val="24"/>
                <w:lang w:val="en-US" w:eastAsia="zh-CN"/>
              </w:rPr>
              <w:t>桃园镇桃园村</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根据宿州市生态保护红线区域，项目不在生态保护红线区域范围内（</w:t>
            </w:r>
            <w:r>
              <w:rPr>
                <w:rFonts w:hint="default" w:ascii="Times New Roman" w:hAnsi="Times New Roman" w:cs="Times New Roman"/>
                <w:color w:val="auto"/>
                <w:sz w:val="24"/>
                <w:lang w:val="en-US" w:eastAsia="zh-CN"/>
              </w:rPr>
              <w:t>详见附图3</w:t>
            </w:r>
            <w:r>
              <w:rPr>
                <w:rFonts w:hint="default" w:ascii="Times New Roman" w:hAnsi="Times New Roman" w:cs="Times New Roman"/>
                <w:sz w:val="24"/>
                <w:lang w:val="en-US" w:eastAsia="zh-CN"/>
              </w:rPr>
              <w:t>）。根据《自然生态空间用途管制办法（试行）》管控要求：生态保护红线外的一般生态空间，原则上按限制开发区域的要求进行管理。按照生态空间用途分区，依法制定区域准入条件，明确允许、限制、禁止的产业和项目类型清单，根据空间规划确定的开发强度，提出城乡建设、工农业生产、矿产开发、旅游康体等活动的规模、强度、布局和环境保护等方面的要求，由同级人民政府予以公示。根据上文分析，本项目选址合理，符合相关政策要求，能够满足管控要求。</w:t>
            </w:r>
          </w:p>
          <w:p w14:paraId="4F1D0086">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lang w:bidi="ar"/>
              </w:rPr>
              <w:t>环境质量底线</w:t>
            </w:r>
            <w:r>
              <w:rPr>
                <w:rFonts w:hint="default" w:ascii="Times New Roman" w:hAnsi="Times New Roman" w:cs="Times New Roman"/>
                <w:color w:val="auto"/>
                <w:sz w:val="24"/>
              </w:rPr>
              <w:t>及分区管控</w:t>
            </w:r>
          </w:p>
          <w:p w14:paraId="3B4E53EE">
            <w:pPr>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项目在宿州市环境管控单元图中位置见附图</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，所在位置属于</w:t>
            </w:r>
            <w:r>
              <w:rPr>
                <w:rFonts w:hint="default" w:ascii="Times New Roman" w:hAnsi="Times New Roman" w:cs="Times New Roman"/>
                <w:color w:val="auto"/>
                <w:sz w:val="24"/>
                <w:lang w:eastAsia="zh-CN"/>
              </w:rPr>
              <w:t>重点</w:t>
            </w:r>
            <w:r>
              <w:rPr>
                <w:rFonts w:hint="default" w:ascii="Times New Roman" w:hAnsi="Times New Roman" w:cs="Times New Roman"/>
                <w:color w:val="auto"/>
                <w:sz w:val="24"/>
              </w:rPr>
              <w:t>管控单元</w:t>
            </w:r>
            <w:r>
              <w:rPr>
                <w:rFonts w:hint="default" w:ascii="Times New Roman" w:hAnsi="Times New Roman" w:cs="Times New Roman"/>
                <w:color w:val="auto"/>
                <w:sz w:val="24"/>
                <w:highlight w:val="none"/>
                <w:lang w:eastAsia="zh-CN"/>
              </w:rPr>
              <w:t>（环境管控单元编码：ZH34130220013）</w:t>
            </w:r>
            <w:r>
              <w:rPr>
                <w:rFonts w:hint="default" w:ascii="Times New Roman" w:hAnsi="Times New Roman" w:cs="Times New Roman"/>
                <w:color w:val="auto"/>
                <w:sz w:val="24"/>
              </w:rPr>
              <w:t>。具体分析如下。</w:t>
            </w:r>
          </w:p>
          <w:p w14:paraId="21BCB3C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bidi="ar"/>
              </w:rPr>
              <w:t>①</w:t>
            </w:r>
            <w:r>
              <w:rPr>
                <w:rFonts w:hint="default" w:ascii="Times New Roman" w:hAnsi="Times New Roman" w:cs="Times New Roman"/>
                <w:color w:val="auto"/>
                <w:sz w:val="24"/>
                <w:lang w:val="en-US" w:eastAsia="zh-CN" w:bidi="ar"/>
              </w:rPr>
              <w:t>环境空气</w:t>
            </w:r>
          </w:p>
          <w:p w14:paraId="19F79AB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根据《宿州市生态环境分区管控编制文本》，本项目所在地为受体敏感重点管控区。大气环境一般管控区要求如下：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业实施提标升级改造。</w:t>
            </w:r>
          </w:p>
          <w:p w14:paraId="296040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根据宿州市生态环境局发布的《宿州市2024年环境质量状况报告》</w:t>
            </w:r>
            <w:r>
              <w:rPr>
                <w:rFonts w:hint="default" w:ascii="Times New Roman" w:hAnsi="Times New Roman" w:cs="Times New Roman"/>
                <w:color w:val="auto"/>
                <w:sz w:val="24"/>
                <w:lang w:val="en-US" w:eastAsia="zh-CN" w:bidi="ar"/>
              </w:rPr>
              <w:t>及</w:t>
            </w:r>
            <w:r>
              <w:rPr>
                <w:rFonts w:hint="default" w:ascii="Times New Roman" w:hAnsi="Times New Roman" w:eastAsia="宋体" w:cs="Times New Roman"/>
                <w:color w:val="auto"/>
                <w:sz w:val="24"/>
                <w:lang w:val="en-US" w:eastAsia="zh-CN" w:bidi="ar"/>
              </w:rPr>
              <w:t>“基于互联网的环境影响评价技术服务平台”发布的信息</w:t>
            </w:r>
            <w:r>
              <w:rPr>
                <w:rFonts w:hint="default" w:ascii="Times New Roman" w:hAnsi="Times New Roman" w:cs="Times New Roman"/>
                <w:color w:val="auto"/>
                <w:sz w:val="24"/>
                <w:lang w:val="en-US" w:eastAsia="zh-CN" w:bidi="ar"/>
              </w:rPr>
              <w:t>，</w:t>
            </w:r>
            <w:r>
              <w:rPr>
                <w:rFonts w:hint="default" w:ascii="Times New Roman" w:hAnsi="Times New Roman" w:eastAsia="宋体" w:cs="Times New Roman"/>
                <w:color w:val="auto"/>
                <w:sz w:val="24"/>
                <w:lang w:val="en-US" w:eastAsia="zh-CN" w:bidi="ar"/>
              </w:rPr>
              <w:t>宿州市202</w:t>
            </w:r>
            <w:r>
              <w:rPr>
                <w:rFonts w:hint="default" w:ascii="Times New Roman" w:hAnsi="Times New Roman" w:cs="Times New Roman"/>
                <w:color w:val="auto"/>
                <w:sz w:val="24"/>
                <w:lang w:val="en-US" w:eastAsia="zh-CN" w:bidi="ar"/>
              </w:rPr>
              <w:t>4</w:t>
            </w:r>
            <w:r>
              <w:rPr>
                <w:rFonts w:hint="default" w:ascii="Times New Roman" w:hAnsi="Times New Roman" w:eastAsia="宋体" w:cs="Times New Roman"/>
                <w:color w:val="auto"/>
                <w:sz w:val="24"/>
                <w:lang w:val="en-US" w:eastAsia="zh-CN" w:bidi="ar"/>
              </w:rPr>
              <w:t>年环境</w:t>
            </w:r>
            <w:r>
              <w:rPr>
                <w:rFonts w:hint="default" w:ascii="Times New Roman" w:hAnsi="Times New Roman" w:cs="Times New Roman"/>
                <w:color w:val="auto"/>
                <w:sz w:val="24"/>
                <w:lang w:val="en-US" w:eastAsia="zh-CN" w:bidi="ar"/>
              </w:rPr>
              <w:t>空气</w:t>
            </w:r>
            <w:r>
              <w:rPr>
                <w:rFonts w:hint="default" w:ascii="Times New Roman" w:hAnsi="Times New Roman" w:eastAsia="宋体" w:cs="Times New Roman"/>
                <w:color w:val="auto"/>
                <w:sz w:val="24"/>
                <w:lang w:val="en-US" w:eastAsia="zh-CN" w:bidi="ar"/>
              </w:rPr>
              <w:t>质量</w:t>
            </w:r>
            <w:r>
              <w:rPr>
                <w:rFonts w:hint="default" w:ascii="Times New Roman" w:hAnsi="Times New Roman" w:cs="Times New Roman"/>
                <w:color w:val="auto"/>
                <w:sz w:val="24"/>
                <w:lang w:val="en-US" w:eastAsia="zh-CN" w:bidi="ar"/>
              </w:rPr>
              <w:t>中</w:t>
            </w:r>
            <w:r>
              <w:rPr>
                <w:rFonts w:hint="default" w:ascii="Times New Roman" w:hAnsi="Times New Roman" w:eastAsia="宋体" w:cs="Times New Roman"/>
                <w:color w:val="auto"/>
                <w:sz w:val="24"/>
                <w:lang w:val="en-US" w:eastAsia="zh-CN" w:bidi="ar"/>
              </w:rPr>
              <w:t>SO</w:t>
            </w:r>
            <w:r>
              <w:rPr>
                <w:rFonts w:hint="default" w:ascii="Times New Roman" w:hAnsi="Times New Roman" w:eastAsia="宋体" w:cs="Times New Roman"/>
                <w:color w:val="auto"/>
                <w:sz w:val="24"/>
                <w:vertAlign w:val="subscript"/>
                <w:lang w:val="en-US" w:eastAsia="zh-CN" w:bidi="ar"/>
              </w:rPr>
              <w:t>2</w:t>
            </w:r>
            <w:r>
              <w:rPr>
                <w:rFonts w:hint="default" w:ascii="Times New Roman" w:hAnsi="Times New Roman" w:eastAsia="宋体" w:cs="Times New Roman"/>
                <w:color w:val="auto"/>
                <w:sz w:val="24"/>
                <w:lang w:val="en-US" w:eastAsia="zh-CN" w:bidi="ar"/>
              </w:rPr>
              <w:t>、NO</w:t>
            </w:r>
            <w:r>
              <w:rPr>
                <w:rFonts w:hint="default" w:ascii="Times New Roman" w:hAnsi="Times New Roman" w:eastAsia="宋体" w:cs="Times New Roman"/>
                <w:color w:val="auto"/>
                <w:sz w:val="24"/>
                <w:vertAlign w:val="subscript"/>
                <w:lang w:val="en-US" w:eastAsia="zh-CN" w:bidi="ar"/>
              </w:rPr>
              <w:t>2</w:t>
            </w:r>
            <w:r>
              <w:rPr>
                <w:rFonts w:hint="default" w:ascii="Times New Roman" w:hAnsi="Times New Roman" w:eastAsia="宋体" w:cs="Times New Roman"/>
                <w:color w:val="auto"/>
                <w:sz w:val="24"/>
                <w:lang w:val="en-US" w:eastAsia="zh-CN" w:bidi="ar"/>
              </w:rPr>
              <w:t>、CO均能满足《环境空气质量标准（含修改单）》（GB3095-2012）中的二级标准，PM</w:t>
            </w:r>
            <w:r>
              <w:rPr>
                <w:rFonts w:hint="default" w:ascii="Times New Roman" w:hAnsi="Times New Roman" w:eastAsia="宋体" w:cs="Times New Roman"/>
                <w:color w:val="auto"/>
                <w:sz w:val="24"/>
                <w:vertAlign w:val="subscript"/>
                <w:lang w:val="en-US" w:eastAsia="zh-CN" w:bidi="ar"/>
              </w:rPr>
              <w:t>10</w:t>
            </w:r>
            <w:r>
              <w:rPr>
                <w:rFonts w:hint="default" w:ascii="Times New Roman" w:hAnsi="Times New Roman" w:eastAsia="宋体" w:cs="Times New Roman"/>
                <w:color w:val="auto"/>
                <w:sz w:val="24"/>
                <w:vertAlign w:val="baseline"/>
                <w:lang w:val="en-US" w:eastAsia="zh-CN" w:bidi="ar"/>
              </w:rPr>
              <w:t>、</w:t>
            </w:r>
            <w:r>
              <w:rPr>
                <w:rFonts w:hint="default" w:ascii="Times New Roman" w:hAnsi="Times New Roman" w:eastAsia="宋体" w:cs="Times New Roman"/>
                <w:color w:val="auto"/>
                <w:sz w:val="24"/>
                <w:lang w:val="en-US" w:eastAsia="zh-CN" w:bidi="ar"/>
              </w:rPr>
              <w:t>PM</w:t>
            </w:r>
            <w:r>
              <w:rPr>
                <w:rFonts w:hint="default" w:ascii="Times New Roman" w:hAnsi="Times New Roman" w:eastAsia="宋体" w:cs="Times New Roman"/>
                <w:color w:val="auto"/>
                <w:sz w:val="24"/>
                <w:vertAlign w:val="subscript"/>
                <w:lang w:val="en-US" w:eastAsia="zh-CN" w:bidi="ar"/>
              </w:rPr>
              <w:t>2.5</w:t>
            </w:r>
            <w:r>
              <w:rPr>
                <w:rFonts w:hint="default" w:ascii="Times New Roman" w:hAnsi="Times New Roman" w:eastAsia="宋体" w:cs="Times New Roman"/>
                <w:color w:val="auto"/>
                <w:sz w:val="24"/>
                <w:lang w:val="en-US" w:eastAsia="zh-CN" w:bidi="ar"/>
              </w:rPr>
              <w:t>年均值、O</w:t>
            </w:r>
            <w:r>
              <w:rPr>
                <w:rFonts w:hint="default" w:ascii="Times New Roman" w:hAnsi="Times New Roman" w:eastAsia="宋体" w:cs="Times New Roman"/>
                <w:color w:val="auto"/>
                <w:sz w:val="24"/>
                <w:vertAlign w:val="subscript"/>
                <w:lang w:val="en-US" w:eastAsia="zh-CN" w:bidi="ar"/>
              </w:rPr>
              <w:t>3</w:t>
            </w:r>
            <w:r>
              <w:rPr>
                <w:rFonts w:hint="default" w:ascii="Times New Roman" w:hAnsi="Times New Roman" w:eastAsia="宋体" w:cs="Times New Roman"/>
                <w:color w:val="auto"/>
                <w:sz w:val="24"/>
                <w:lang w:val="en-US" w:eastAsia="zh-CN" w:bidi="ar"/>
              </w:rPr>
              <w:t>日最大8小时滑动均值超标，因此宿州市为环境空气质量不达标区。</w:t>
            </w:r>
            <w:r>
              <w:rPr>
                <w:rFonts w:hint="default" w:ascii="Times New Roman" w:hAnsi="Times New Roman" w:cs="Times New Roman"/>
                <w:color w:val="auto"/>
                <w:sz w:val="24"/>
                <w:highlight w:val="none"/>
              </w:rPr>
              <w:t>根据环境质量检测数据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区域</w:t>
            </w:r>
            <w:r>
              <w:rPr>
                <w:rFonts w:hint="default" w:ascii="Times New Roman" w:hAnsi="Times New Roman" w:cs="Times New Roman"/>
                <w:color w:val="000000"/>
                <w:kern w:val="0"/>
                <w:sz w:val="24"/>
              </w:rPr>
              <w:t>非甲烷总烃</w:t>
            </w:r>
            <w:r>
              <w:rPr>
                <w:rFonts w:hint="default" w:ascii="Times New Roman" w:hAnsi="Times New Roman" w:cs="Times New Roman"/>
                <w:color w:val="auto"/>
                <w:sz w:val="24"/>
                <w:highlight w:val="none"/>
              </w:rPr>
              <w:t>的监测结果</w:t>
            </w:r>
            <w:r>
              <w:rPr>
                <w:rFonts w:hint="default" w:ascii="Times New Roman" w:hAnsi="Times New Roman" w:cs="Times New Roman"/>
                <w:color w:val="000000"/>
                <w:kern w:val="0"/>
                <w:sz w:val="24"/>
              </w:rPr>
              <w:t>满足《大气污染物综合排放标准详解》小时均值的标准限值要求</w:t>
            </w:r>
            <w:r>
              <w:rPr>
                <w:rFonts w:hint="default" w:ascii="Times New Roman" w:hAnsi="Times New Roman" w:cs="Times New Roman"/>
                <w:color w:val="000000"/>
                <w:kern w:val="0"/>
                <w:sz w:val="24"/>
                <w:lang w:eastAsia="zh-CN"/>
              </w:rPr>
              <w:t>。</w:t>
            </w:r>
          </w:p>
          <w:p w14:paraId="15B2C0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本项目涉及的大气污染物主要为非甲烷总烃</w:t>
            </w:r>
            <w:r>
              <w:rPr>
                <w:rFonts w:hint="default" w:ascii="Times New Roman" w:hAnsi="Times New Roman" w:cs="Times New Roman"/>
                <w:color w:val="auto"/>
                <w:sz w:val="24"/>
                <w:lang w:bidi="ar"/>
              </w:rPr>
              <w:t>。</w:t>
            </w:r>
            <w:r>
              <w:rPr>
                <w:rFonts w:hint="default" w:ascii="Times New Roman" w:hAnsi="Times New Roman" w:cs="Times New Roman"/>
                <w:color w:val="auto"/>
                <w:sz w:val="24"/>
                <w:lang w:val="en-US" w:eastAsia="zh-CN" w:bidi="ar"/>
              </w:rPr>
              <w:t>本次评价要求项目运营期产生的非甲烷总烃通过安装集气罩收集进入二级活性炭吸附装置处理后通过15m高排气筒排放。企业在严格落实大气污染防治措施后对周边环境影响较小。</w:t>
            </w:r>
          </w:p>
          <w:p w14:paraId="2D4E74B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eastAsia="宋体" w:cs="Times New Roman"/>
                <w:color w:val="auto"/>
                <w:sz w:val="24"/>
                <w:lang w:val="en-US" w:eastAsia="zh-CN" w:bidi="ar"/>
              </w:rPr>
              <w:t>②</w:t>
            </w:r>
            <w:r>
              <w:rPr>
                <w:rFonts w:hint="default" w:ascii="Times New Roman" w:hAnsi="Times New Roman" w:cs="Times New Roman"/>
                <w:color w:val="auto"/>
                <w:sz w:val="24"/>
                <w:lang w:val="en-US" w:eastAsia="zh-CN" w:bidi="ar"/>
              </w:rPr>
              <w:t>地表水</w:t>
            </w:r>
          </w:p>
          <w:p w14:paraId="66AA91A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eastAsia="宋体" w:cs="Times New Roman"/>
                <w:color w:val="auto"/>
                <w:sz w:val="24"/>
                <w:lang w:val="en-US" w:eastAsia="zh-CN" w:bidi="ar"/>
              </w:rPr>
              <w:t>宿州市生态环境分区管控编制文本</w:t>
            </w:r>
            <w:r>
              <w:rPr>
                <w:rFonts w:hint="default" w:ascii="Times New Roman" w:hAnsi="Times New Roman" w:cs="Times New Roman"/>
                <w:color w:val="auto"/>
                <w:sz w:val="24"/>
              </w:rPr>
              <w:t>》，本项目所在地为</w:t>
            </w:r>
            <w:r>
              <w:rPr>
                <w:rFonts w:hint="default" w:ascii="Times New Roman" w:hAnsi="Times New Roman" w:cs="Times New Roman"/>
                <w:color w:val="auto"/>
                <w:sz w:val="24"/>
                <w:lang w:val="en-US" w:eastAsia="zh-CN"/>
              </w:rPr>
              <w:t>水环境城镇生活污染重点管控区</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原则上应将具备合法合规手续的县级及以上工业园区纳入水环境工业重点管控区，根据实际管控需要，有条件的地市可将乡镇级工业园区纳入水环境工业污染重点管控区。城镇生活污染水环境重点管控区范围可依据城镇开发边界确定。不达标水体对应的控制单元按省级水环境管控分区划定原则进行识别，并纳入相应的水环境管控分区。</w:t>
            </w:r>
          </w:p>
          <w:p w14:paraId="1FBB2E7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本项目无外排废水，生活污水经化粪池预处理后委托环卫部门清运处置，不会降低评价区域地表水的环境质量现有功能级别。</w:t>
            </w:r>
          </w:p>
          <w:p w14:paraId="380582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eastAsia="宋体" w:cs="Times New Roman"/>
                <w:color w:val="auto"/>
                <w:sz w:val="24"/>
                <w:lang w:val="en-US" w:eastAsia="zh-CN" w:bidi="ar"/>
              </w:rPr>
              <w:t>③</w:t>
            </w:r>
            <w:r>
              <w:rPr>
                <w:rFonts w:hint="default" w:ascii="Times New Roman" w:hAnsi="Times New Roman" w:cs="Times New Roman"/>
                <w:color w:val="auto"/>
                <w:sz w:val="24"/>
                <w:lang w:val="en-US" w:eastAsia="zh-CN" w:bidi="ar"/>
              </w:rPr>
              <w:t>声环境</w:t>
            </w:r>
          </w:p>
          <w:p w14:paraId="5897F56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项目设备经减震、隔声处理后厂界噪声达到《工业企业厂界环境噪声排放标准》（GB12348-2008）2类标准，</w:t>
            </w:r>
            <w:r>
              <w:rPr>
                <w:rFonts w:hint="default" w:ascii="Times New Roman" w:hAnsi="Times New Roman" w:cs="Times New Roman"/>
                <w:color w:val="auto"/>
                <w:sz w:val="24"/>
              </w:rPr>
              <w:t>对周边声环境影响较小。</w:t>
            </w:r>
          </w:p>
          <w:p w14:paraId="0AE40D8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④土壤及地下水</w:t>
            </w:r>
          </w:p>
          <w:p w14:paraId="5755F4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lang w:val="en-US" w:eastAsia="zh-CN" w:bidi="ar"/>
              </w:rPr>
            </w:pPr>
            <w:r>
              <w:rPr>
                <w:rFonts w:hint="default" w:ascii="Times New Roman" w:hAnsi="Times New Roman" w:cs="Times New Roman"/>
                <w:color w:val="auto"/>
                <w:sz w:val="24"/>
                <w:lang w:val="en-US" w:eastAsia="zh-CN" w:bidi="ar"/>
              </w:rPr>
              <w:t>根据《</w:t>
            </w:r>
            <w:r>
              <w:rPr>
                <w:rFonts w:hint="default" w:ascii="Times New Roman" w:hAnsi="Times New Roman" w:eastAsia="宋体" w:cs="Times New Roman"/>
                <w:color w:val="auto"/>
                <w:sz w:val="24"/>
                <w:lang w:val="en-US" w:eastAsia="zh-CN" w:bidi="ar"/>
              </w:rPr>
              <w:t>宿州市生态环境分区管控编制文本</w:t>
            </w:r>
            <w:r>
              <w:rPr>
                <w:rFonts w:hint="default" w:ascii="Times New Roman" w:hAnsi="Times New Roman" w:cs="Times New Roman"/>
                <w:color w:val="auto"/>
                <w:sz w:val="24"/>
                <w:lang w:val="en-US" w:eastAsia="zh-CN" w:bidi="ar"/>
              </w:rPr>
              <w:t>》，本项目所在地为建设用地土壤污染风险</w:t>
            </w:r>
            <w:r>
              <w:rPr>
                <w:rFonts w:hint="default" w:ascii="Times New Roman" w:hAnsi="Times New Roman" w:cs="Times New Roman"/>
                <w:color w:val="auto"/>
                <w:sz w:val="24"/>
                <w:highlight w:val="none"/>
                <w:lang w:val="en-US" w:eastAsia="zh-CN" w:bidi="ar"/>
              </w:rPr>
              <w:t>一般管控区</w:t>
            </w:r>
            <w:r>
              <w:rPr>
                <w:rFonts w:hint="default" w:ascii="Times New Roman" w:hAnsi="Times New Roman" w:cs="Times New Roman"/>
                <w:color w:val="auto"/>
                <w:sz w:val="24"/>
                <w:lang w:val="en-US" w:eastAsia="zh-CN" w:bidi="ar"/>
              </w:rPr>
              <w:t>。一般管控区要求如下：依据《中华人民共和国土壤污染防治法》《土壤污染防治行动计划》《安徽省土壤污染防治工作方案》《宿州市土壤污染防治工作方案》等要求对一般管控区实施管控。项目采取分区防渗等措施后，对区域土壤、地下水的环境影响较小。</w:t>
            </w:r>
          </w:p>
          <w:p w14:paraId="167D0FF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3、</w:t>
            </w:r>
            <w:r>
              <w:rPr>
                <w:rFonts w:hint="default" w:ascii="Times New Roman" w:hAnsi="Times New Roman" w:cs="Times New Roman"/>
                <w:color w:val="auto"/>
                <w:sz w:val="24"/>
                <w:lang w:bidi="ar"/>
              </w:rPr>
              <w:t>资源利用上线</w:t>
            </w:r>
            <w:r>
              <w:rPr>
                <w:rFonts w:hint="default" w:ascii="Times New Roman" w:hAnsi="Times New Roman" w:cs="Times New Roman"/>
                <w:color w:val="auto"/>
                <w:sz w:val="24"/>
              </w:rPr>
              <w:t>及分区管控</w:t>
            </w:r>
          </w:p>
          <w:p w14:paraId="1DD8251D">
            <w:pPr>
              <w:spacing w:line="353"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①煤炭资源利用上线</w:t>
            </w:r>
          </w:p>
          <w:p w14:paraId="1CC014BB">
            <w:pPr>
              <w:autoSpaceDE w:val="0"/>
              <w:autoSpaceDN w:val="0"/>
              <w:adjustRightIn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煤炭资源利用管控分区包含重点管控区和一般管控区。其中高污染燃料禁燃区为重点管控区，其余为一般管控区。根据《</w:t>
            </w:r>
            <w:r>
              <w:rPr>
                <w:rFonts w:hint="default" w:ascii="Times New Roman" w:hAnsi="Times New Roman" w:eastAsia="宋体" w:cs="Times New Roman"/>
                <w:color w:val="auto"/>
                <w:sz w:val="24"/>
                <w:lang w:val="en-US" w:eastAsia="zh-CN" w:bidi="ar"/>
              </w:rPr>
              <w:t>宿州市生态环境分区管控编制文本</w:t>
            </w:r>
            <w:r>
              <w:rPr>
                <w:rFonts w:hint="default" w:ascii="Times New Roman" w:hAnsi="Times New Roman" w:cs="Times New Roman"/>
                <w:color w:val="auto"/>
                <w:sz w:val="24"/>
              </w:rPr>
              <w:t>》，本项目所在地为高污染禁燃区。</w:t>
            </w:r>
          </w:p>
          <w:p w14:paraId="7B435AB5">
            <w:pPr>
              <w:autoSpaceDE w:val="0"/>
              <w:autoSpaceDN w:val="0"/>
              <w:adjustRightInd w:val="0"/>
              <w:spacing w:line="360" w:lineRule="auto"/>
              <w:ind w:firstLine="480" w:firstLineChars="200"/>
              <w:jc w:val="left"/>
              <w:rPr>
                <w:rFonts w:hint="default" w:ascii="Times New Roman" w:hAnsi="Times New Roman" w:cs="Times New Roman"/>
                <w:color w:val="auto"/>
                <w:sz w:val="24"/>
                <w:highlight w:val="yellow"/>
              </w:rPr>
            </w:pPr>
            <w:r>
              <w:rPr>
                <w:rFonts w:hint="default" w:ascii="Times New Roman" w:hAnsi="Times New Roman" w:cs="Times New Roman"/>
                <w:color w:val="auto"/>
                <w:sz w:val="24"/>
              </w:rPr>
              <w:t>重点管控区要求如下：</w:t>
            </w:r>
            <w:r>
              <w:rPr>
                <w:rFonts w:hint="default" w:ascii="Times New Roman" w:hAnsi="Times New Roman" w:cs="Times New Roman"/>
                <w:color w:val="auto"/>
                <w:sz w:val="24"/>
                <w:lang w:val="en-US" w:eastAsia="zh-CN"/>
              </w:rPr>
              <w:t>严格合理控制煤炭消费增长，大气污染防治重点区域内新、改、扩建用煤项目实施煤炭消费等量或减量替代。重点削减非电力用煤，各县区将减煤目标按年度分解落实到重点耗煤企业，实施“一企一策”减煤诊断。推动煤电行业实施节能降耗改造、供热改造和灵活性改造“三改联动”。加快供热管网建设，淘汰管网覆盖范围内的燃煤锅炉和散煤。到2025年，火电平均供电煤耗降至295克标煤/千瓦时，散煤基本清零。以燃料类煤气发生炉、燃煤热风炉、加热炉、热处理炉、干燥炉（窑）以及建材行业为重点，实施清洁电力和天然气替代。持续推进以煤为燃料的工业窑炉清洁燃料替代改造。落实《宿州市“十四五”生态环境保护规划》《宿州市“十四五”节能减排实施方案》，《宿州市"十四五“能源发展规划(2021-2025) 》等要求。</w:t>
            </w:r>
          </w:p>
          <w:p w14:paraId="291DEE94">
            <w:pPr>
              <w:autoSpaceDE w:val="0"/>
              <w:autoSpaceDN w:val="0"/>
              <w:adjustRightInd w:val="0"/>
              <w:spacing w:line="353"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本项目使用的能源主要为电能，不使用煤炭等燃料。</w:t>
            </w:r>
          </w:p>
          <w:p w14:paraId="47E6480E">
            <w:pPr>
              <w:autoSpaceDE w:val="0"/>
              <w:autoSpaceDN w:val="0"/>
              <w:adjustRightInd w:val="0"/>
              <w:spacing w:line="353"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②水资源利用上线</w:t>
            </w:r>
          </w:p>
          <w:p w14:paraId="4116613C">
            <w:pPr>
              <w:spacing w:line="353"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依据《安徽省人民政府办公厅关于公布地下水超采区、限采区范围的通知》(皖政办秘[2015] 179号)，省水利厅、发改委、经信委、自然资源厅、生态环境厅、住建厅联合印发的《关于印发〈安徽省地下水超采区治理方案&gt;的通知》(皖水资源[2015] 91号)要求，结合《安徽省地下水超采区评价》成果，将已公布的限采区作为2020年水资源重点管控区域。其余区域作为水资源一般管控区。根据《</w:t>
            </w:r>
            <w:r>
              <w:rPr>
                <w:rFonts w:hint="default" w:ascii="Times New Roman" w:hAnsi="Times New Roman" w:eastAsia="宋体" w:cs="Times New Roman"/>
                <w:color w:val="auto"/>
                <w:sz w:val="24"/>
                <w:lang w:val="en-US" w:eastAsia="zh-CN" w:bidi="ar"/>
              </w:rPr>
              <w:t>宿州市生态环境分区管控编制文本</w:t>
            </w:r>
            <w:r>
              <w:rPr>
                <w:rFonts w:hint="default" w:ascii="Times New Roman" w:hAnsi="Times New Roman" w:cs="Times New Roman"/>
                <w:color w:val="auto"/>
                <w:sz w:val="24"/>
              </w:rPr>
              <w:t>》，本项目所在地为一般管控区。</w:t>
            </w:r>
          </w:p>
          <w:p w14:paraId="7FDCE6D3">
            <w:pPr>
              <w:spacing w:line="353"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本项目用水来自市政供水管网，不开采地下水，</w:t>
            </w:r>
            <w:r>
              <w:rPr>
                <w:rFonts w:hint="default" w:ascii="Times New Roman" w:hAnsi="Times New Roman" w:cs="Times New Roman"/>
                <w:color w:val="auto"/>
                <w:sz w:val="24"/>
                <w:highlight w:val="none"/>
              </w:rPr>
              <w:t>符合文件要求。</w:t>
            </w:r>
          </w:p>
          <w:p w14:paraId="1D36557E">
            <w:pPr>
              <w:spacing w:line="353"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③土地资源利用上线</w:t>
            </w:r>
          </w:p>
          <w:p w14:paraId="1DDADA06">
            <w:pPr>
              <w:spacing w:line="353"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土地资源管控区划分为重点管控区和一般管控区。重点管控区是指具有一定经济基础、资源环境承载力较强、发展潜力较大、集聚人口和经济条件较好，可重点进行大规模工业化城镇化开发的区域，与《宿州市主体功能区规划》中的国家重点开发区域相符；除重点管控区以外的其他区域为一般管控区。根据《</w:t>
            </w:r>
            <w:r>
              <w:rPr>
                <w:rFonts w:hint="default" w:ascii="Times New Roman" w:hAnsi="Times New Roman" w:eastAsia="宋体" w:cs="Times New Roman"/>
                <w:color w:val="auto"/>
                <w:sz w:val="24"/>
                <w:lang w:val="en-US" w:eastAsia="zh-CN" w:bidi="ar"/>
              </w:rPr>
              <w:t>宿州市生态环境分区管控编制文本</w:t>
            </w:r>
            <w:r>
              <w:rPr>
                <w:rFonts w:hint="default" w:ascii="Times New Roman" w:hAnsi="Times New Roman" w:cs="Times New Roman"/>
                <w:color w:val="auto"/>
                <w:sz w:val="24"/>
              </w:rPr>
              <w:t>》，本项目所在地为一般管控区。</w:t>
            </w:r>
          </w:p>
          <w:p w14:paraId="48565902">
            <w:pPr>
              <w:spacing w:line="353" w:lineRule="auto"/>
              <w:ind w:firstLine="480" w:firstLineChars="200"/>
              <w:jc w:val="left"/>
              <w:rPr>
                <w:rFonts w:hint="default" w:ascii="Times New Roman" w:hAnsi="Times New Roman" w:cs="Times New Roman"/>
                <w:color w:val="auto"/>
                <w:sz w:val="24"/>
                <w:lang w:eastAsia="zh-CN" w:bidi="ar"/>
              </w:rPr>
            </w:pPr>
            <w:r>
              <w:rPr>
                <w:rFonts w:hint="default" w:ascii="Times New Roman" w:hAnsi="Times New Roman" w:cs="Times New Roman"/>
                <w:color w:val="auto"/>
                <w:sz w:val="24"/>
              </w:rPr>
              <w:t>本项目选址位于</w:t>
            </w:r>
            <w:r>
              <w:rPr>
                <w:rFonts w:hint="default" w:ascii="Times New Roman" w:hAnsi="Times New Roman" w:cs="Times New Roman"/>
                <w:color w:val="auto"/>
                <w:sz w:val="24"/>
                <w:lang w:eastAsia="zh-CN"/>
              </w:rPr>
              <w:t>宿州市</w:t>
            </w:r>
            <w:r>
              <w:rPr>
                <w:rFonts w:hint="default" w:ascii="Times New Roman" w:hAnsi="Times New Roman" w:cs="Times New Roman"/>
                <w:sz w:val="24"/>
                <w:lang w:val="en-US" w:eastAsia="zh-CN"/>
              </w:rPr>
              <w:t>桃园镇桃园村</w:t>
            </w:r>
            <w:r>
              <w:rPr>
                <w:rFonts w:hint="default" w:ascii="Times New Roman" w:hAnsi="Times New Roman" w:cs="Times New Roman"/>
                <w:color w:val="auto"/>
                <w:sz w:val="24"/>
              </w:rPr>
              <w:t>，符合用地要求。</w:t>
            </w:r>
          </w:p>
          <w:p w14:paraId="1F5FF42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lang w:val="en-US" w:eastAsia="zh-CN"/>
              </w:rPr>
            </w:pPr>
            <w:r>
              <w:rPr>
                <w:rFonts w:hint="default" w:ascii="Times New Roman" w:hAnsi="Times New Roman" w:cs="Times New Roman"/>
                <w:kern w:val="0"/>
                <w:sz w:val="24"/>
                <w:lang w:val="en-US" w:eastAsia="zh-CN"/>
              </w:rPr>
              <w:t>4、</w:t>
            </w:r>
            <w:r>
              <w:rPr>
                <w:rFonts w:hint="default" w:ascii="Times New Roman" w:hAnsi="Times New Roman" w:cs="Times New Roman"/>
                <w:color w:val="auto"/>
                <w:kern w:val="0"/>
                <w:sz w:val="24"/>
                <w:lang w:val="en-US" w:eastAsia="zh-CN"/>
              </w:rPr>
              <w:t>生态环境准入清单</w:t>
            </w:r>
          </w:p>
          <w:p w14:paraId="45C3C94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kern w:val="0"/>
                <w:sz w:val="24"/>
                <w:lang w:val="en-US" w:eastAsia="zh-CN"/>
              </w:rPr>
              <w:t>本项目位于安徽省宿州市</w:t>
            </w:r>
            <w:r>
              <w:rPr>
                <w:rFonts w:hint="default" w:ascii="Times New Roman" w:hAnsi="Times New Roman" w:cs="Times New Roman"/>
                <w:sz w:val="24"/>
                <w:lang w:val="en-US" w:eastAsia="zh-CN"/>
              </w:rPr>
              <w:t>桃园镇桃园村</w:t>
            </w:r>
            <w:r>
              <w:rPr>
                <w:rFonts w:hint="default" w:ascii="Times New Roman" w:hAnsi="Times New Roman" w:cs="Times New Roman"/>
                <w:kern w:val="0"/>
                <w:sz w:val="24"/>
                <w:lang w:val="en-US" w:eastAsia="zh-CN"/>
              </w:rPr>
              <w:t>，对照《宿州市“三线一单”生态环境准入清单》（宿州市生态环境局），本项目不在风景名胜区、集中式饮用水水源保护区、自然保护区、湿地公园、森林公园、地质公园、水产种质资源保护区、世界文化遗产地（大运河宿州段）等优先保护单元内，不属于禁止开发建设活动及不符合空间布局要求活动的重点管控单元内。</w:t>
            </w:r>
          </w:p>
          <w:p w14:paraId="3C0E7B7F">
            <w:pPr>
              <w:pStyle w:val="29"/>
              <w:spacing w:after="0"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综上所述，本项目的建设符合宿州市的生态保护红线、以及《安徽省生态环境厅关于印发安徽省“三线一单”生态环境分区管控管理办法（暂行）的通知》（皖环发</w:t>
            </w:r>
            <w:r>
              <w:rPr>
                <w:rFonts w:hint="default" w:ascii="Times New Roman" w:hAnsi="Times New Roman" w:cs="Times New Roman"/>
                <w:sz w:val="24"/>
                <w:lang w:val="en-US" w:eastAsia="zh-CN"/>
              </w:rPr>
              <w:t>[</w:t>
            </w:r>
            <w:r>
              <w:rPr>
                <w:rFonts w:hint="default" w:ascii="Times New Roman" w:hAnsi="Times New Roman" w:cs="Times New Roman"/>
                <w:sz w:val="24"/>
              </w:rPr>
              <w:t>2022</w:t>
            </w:r>
            <w:r>
              <w:rPr>
                <w:rFonts w:hint="default" w:ascii="Times New Roman" w:hAnsi="Times New Roman" w:cs="Times New Roman"/>
                <w:sz w:val="24"/>
                <w:lang w:val="en-US" w:eastAsia="zh-CN"/>
              </w:rPr>
              <w:t>]</w:t>
            </w:r>
            <w:r>
              <w:rPr>
                <w:rFonts w:hint="default" w:ascii="Times New Roman" w:hAnsi="Times New Roman" w:cs="Times New Roman"/>
                <w:sz w:val="24"/>
              </w:rPr>
              <w:t>5号）的要求；本项目各污染物经采取相应措施后达标排放；本项目符合环境质量底线要求</w:t>
            </w:r>
            <w:r>
              <w:rPr>
                <w:rFonts w:hint="default" w:ascii="Times New Roman" w:hAnsi="Times New Roman" w:cs="Times New Roman"/>
                <w:sz w:val="24"/>
                <w:lang w:eastAsia="zh-CN"/>
              </w:rPr>
              <w:t>，</w:t>
            </w:r>
            <w:r>
              <w:rPr>
                <w:rFonts w:hint="default" w:ascii="Times New Roman" w:hAnsi="Times New Roman" w:cs="Times New Roman"/>
                <w:sz w:val="24"/>
              </w:rPr>
              <w:t>不会突破资源利用上线。故本项目的建设符合“三线一单</w:t>
            </w:r>
            <w:r>
              <w:rPr>
                <w:rFonts w:hint="default" w:ascii="Times New Roman" w:hAnsi="Times New Roman" w:cs="Times New Roman"/>
                <w:sz w:val="24"/>
                <w:lang w:val="en-US" w:eastAsia="zh-CN"/>
              </w:rPr>
              <w:t>与分区管控</w:t>
            </w:r>
            <w:r>
              <w:rPr>
                <w:rFonts w:hint="default" w:ascii="Times New Roman" w:hAnsi="Times New Roman" w:cs="Times New Roman"/>
                <w:sz w:val="24"/>
              </w:rPr>
              <w:t>”的管理要求</w:t>
            </w:r>
            <w:r>
              <w:rPr>
                <w:rFonts w:hint="default" w:ascii="Times New Roman" w:hAnsi="Times New Roman" w:cs="Times New Roman"/>
                <w:sz w:val="24"/>
                <w:lang w:eastAsia="zh-CN"/>
              </w:rPr>
              <w:t>。</w:t>
            </w:r>
          </w:p>
          <w:p w14:paraId="238EA1E6">
            <w:pPr>
              <w:spacing w:line="360" w:lineRule="auto"/>
              <w:rPr>
                <w:rFonts w:hint="default" w:ascii="Times New Roman" w:hAnsi="Times New Roman" w:cs="Times New Roman"/>
                <w:b/>
                <w:sz w:val="24"/>
              </w:rPr>
            </w:pPr>
            <w:r>
              <w:rPr>
                <w:rFonts w:hint="default" w:ascii="Times New Roman" w:hAnsi="Times New Roman" w:cs="Times New Roman"/>
                <w:b/>
                <w:sz w:val="24"/>
                <w:lang w:val="en-US" w:eastAsia="zh-CN"/>
              </w:rPr>
              <w:t>4</w:t>
            </w:r>
            <w:r>
              <w:rPr>
                <w:rFonts w:hint="default" w:ascii="Times New Roman" w:hAnsi="Times New Roman" w:cs="Times New Roman"/>
                <w:b/>
                <w:sz w:val="24"/>
              </w:rPr>
              <w:t>、与地方及行业环保管理要求的相符性分析</w:t>
            </w:r>
          </w:p>
          <w:p w14:paraId="1D462B6F">
            <w:pPr>
              <w:numPr>
                <w:ilvl w:val="0"/>
                <w:numId w:val="5"/>
              </w:numPr>
              <w:spacing w:line="360" w:lineRule="auto"/>
              <w:ind w:left="0" w:firstLine="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与</w:t>
            </w:r>
            <w:r>
              <w:rPr>
                <w:rFonts w:hint="default" w:ascii="Times New Roman" w:hAnsi="Times New Roman" w:cs="Times New Roman"/>
                <w:color w:val="auto"/>
                <w:sz w:val="24"/>
                <w:highlight w:val="none"/>
                <w:lang w:val="en-US" w:eastAsia="zh-CN"/>
              </w:rPr>
              <w:t>淮河流域及水源相关政策符合性分析</w:t>
            </w:r>
          </w:p>
          <w:p w14:paraId="7C355678">
            <w:pPr>
              <w:numPr>
                <w:ilvl w:val="0"/>
                <w:numId w:val="3"/>
              </w:numPr>
              <w:ind w:left="0" w:leftChars="0" w:firstLine="0" w:firstLineChars="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与淮河流域及水源相关政策符合性分析</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3788"/>
              <w:gridCol w:w="1666"/>
              <w:gridCol w:w="657"/>
            </w:tblGrid>
            <w:tr w14:paraId="5F2D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noWrap w:val="0"/>
                  <w:vAlign w:val="center"/>
                </w:tcPr>
                <w:p w14:paraId="159A1495">
                  <w:pPr>
                    <w:keepNext w:val="0"/>
                    <w:keepLines w:val="0"/>
                    <w:pageBreakBefore w:val="0"/>
                    <w:kinsoku/>
                    <w:wordWrap/>
                    <w:overflowPunct/>
                    <w:topLinePunct w:val="0"/>
                    <w:bidi w:val="0"/>
                    <w:snapToGrid/>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文件名</w:t>
                  </w:r>
                </w:p>
              </w:tc>
              <w:tc>
                <w:tcPr>
                  <w:tcW w:w="2651" w:type="pct"/>
                  <w:noWrap w:val="0"/>
                  <w:vAlign w:val="center"/>
                </w:tcPr>
                <w:p w14:paraId="2F2F97B8">
                  <w:pPr>
                    <w:keepNext w:val="0"/>
                    <w:keepLines w:val="0"/>
                    <w:pageBreakBefore w:val="0"/>
                    <w:kinsoku/>
                    <w:wordWrap/>
                    <w:overflowPunct/>
                    <w:topLinePunct w:val="0"/>
                    <w:autoSpaceDE w:val="0"/>
                    <w:autoSpaceDN w:val="0"/>
                    <w:bidi w:val="0"/>
                    <w:adjustRightInd w:val="0"/>
                    <w:snapToGrid/>
                    <w:ind w:left="-84" w:leftChars="-40" w:right="-84" w:rightChars="-4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政策要求</w:t>
                  </w:r>
                </w:p>
              </w:tc>
              <w:tc>
                <w:tcPr>
                  <w:tcW w:w="1166" w:type="pct"/>
                  <w:noWrap w:val="0"/>
                  <w:vAlign w:val="center"/>
                </w:tcPr>
                <w:p w14:paraId="71DED634">
                  <w:pPr>
                    <w:keepNext w:val="0"/>
                    <w:keepLines w:val="0"/>
                    <w:pageBreakBefore w:val="0"/>
                    <w:widowControl w:val="0"/>
                    <w:kinsoku/>
                    <w:wordWrap/>
                    <w:overflowPunct/>
                    <w:topLinePunct w:val="0"/>
                    <w:bidi w:val="0"/>
                    <w:snapToGrid/>
                    <w:spacing w:line="240" w:lineRule="auto"/>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60" w:type="pct"/>
                  <w:noWrap w:val="0"/>
                  <w:vAlign w:val="center"/>
                </w:tcPr>
                <w:p w14:paraId="78771DCD">
                  <w:pPr>
                    <w:keepNext w:val="0"/>
                    <w:keepLines w:val="0"/>
                    <w:pageBreakBefore w:val="0"/>
                    <w:widowControl w:val="0"/>
                    <w:kinsoku/>
                    <w:wordWrap/>
                    <w:overflowPunct/>
                    <w:topLinePunct w:val="0"/>
                    <w:bidi w:val="0"/>
                    <w:snapToGrid/>
                    <w:spacing w:line="240" w:lineRule="auto"/>
                    <w:ind w:left="-84" w:leftChars="-40" w:right="-84" w:rightChars="-4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3B55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restart"/>
                  <w:noWrap w:val="0"/>
                  <w:vAlign w:val="center"/>
                </w:tcPr>
                <w:p w14:paraId="066F70E0">
                  <w:pPr>
                    <w:keepNext w:val="0"/>
                    <w:keepLines w:val="0"/>
                    <w:pageBreakBefore w:val="0"/>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《安徽省淮河流域水污染防治条例》（2018年11月23日安徽省第十三届人民代表大会常务委员会修订）</w:t>
                  </w:r>
                </w:p>
              </w:tc>
              <w:tc>
                <w:tcPr>
                  <w:tcW w:w="2651" w:type="pct"/>
                  <w:noWrap w:val="0"/>
                  <w:vAlign w:val="center"/>
                </w:tcPr>
                <w:p w14:paraId="22DCE93B">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第十三条 禁止在淮河流域新建化学制浆造纸企业和印染、制革、化工、电镀、酿造等污染严重的小型企业。</w:t>
                  </w:r>
                </w:p>
                <w:p w14:paraId="5155DB4B">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严格限制在淮河流域新建印染、制革、化工、电镀、酿造等大中型项目或者其他污染严重的项目；建设该类项目的，应当事前征得省人民政府生态环境行政主管部门的同意，并按照规定办理有关手续。</w:t>
                  </w:r>
                </w:p>
              </w:tc>
              <w:tc>
                <w:tcPr>
                  <w:tcW w:w="1166" w:type="pct"/>
                  <w:noWrap w:val="0"/>
                  <w:vAlign w:val="center"/>
                </w:tcPr>
                <w:p w14:paraId="0E0354F1">
                  <w:pPr>
                    <w:keepNext w:val="0"/>
                    <w:keepLines w:val="0"/>
                    <w:pageBreakBefore w:val="0"/>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项目位于淮河流域，属于</w:t>
                  </w:r>
                  <w:r>
                    <w:rPr>
                      <w:rFonts w:hint="default" w:ascii="Times New Roman" w:hAnsi="Times New Roman" w:eastAsia="宋体" w:cs="Times New Roman"/>
                      <w:color w:val="auto"/>
                      <w:spacing w:val="-6"/>
                      <w:kern w:val="2"/>
                      <w:sz w:val="21"/>
                      <w:szCs w:val="21"/>
                      <w:lang w:val="en-US" w:eastAsia="zh-CN" w:bidi="ar-SA"/>
                    </w:rPr>
                    <w:t>塑料制品业，</w:t>
                  </w:r>
                  <w:r>
                    <w:rPr>
                      <w:rFonts w:hint="default" w:ascii="Times New Roman" w:hAnsi="Times New Roman" w:cs="Times New Roman"/>
                      <w:color w:val="auto"/>
                      <w:szCs w:val="21"/>
                      <w:highlight w:val="none"/>
                      <w:lang w:val="en-US" w:eastAsia="zh-CN"/>
                    </w:rPr>
                    <w:t>建设性质为新建，不属于</w:t>
                  </w:r>
                  <w:r>
                    <w:rPr>
                      <w:rFonts w:hint="default" w:ascii="Times New Roman" w:hAnsi="Times New Roman" w:cs="Times New Roman"/>
                      <w:color w:val="auto"/>
                      <w:szCs w:val="21"/>
                      <w:highlight w:val="none"/>
                    </w:rPr>
                    <w:t>化学制浆造纸企业和印染、制革、化工、电镀、酿造</w:t>
                  </w:r>
                  <w:r>
                    <w:rPr>
                      <w:rFonts w:hint="default" w:ascii="Times New Roman" w:hAnsi="Times New Roman" w:cs="Times New Roman"/>
                      <w:color w:val="auto"/>
                      <w:szCs w:val="21"/>
                      <w:highlight w:val="none"/>
                      <w:lang w:val="en-US" w:eastAsia="zh-CN"/>
                    </w:rPr>
                    <w:t>行业。</w:t>
                  </w:r>
                </w:p>
              </w:tc>
              <w:tc>
                <w:tcPr>
                  <w:tcW w:w="460" w:type="pct"/>
                  <w:noWrap w:val="0"/>
                  <w:vAlign w:val="center"/>
                </w:tcPr>
                <w:p w14:paraId="78D25483">
                  <w:pPr>
                    <w:keepNext w:val="0"/>
                    <w:keepLines w:val="0"/>
                    <w:pageBreakBefore w:val="0"/>
                    <w:kinsoku/>
                    <w:wordWrap/>
                    <w:overflowPunct/>
                    <w:topLinePunct w:val="0"/>
                    <w:autoSpaceDE w:val="0"/>
                    <w:autoSpaceDN w:val="0"/>
                    <w:bidi w:val="0"/>
                    <w:adjustRightInd w:val="0"/>
                    <w:snapToGrid/>
                    <w:ind w:left="-84" w:leftChars="-40" w:right="-84" w:rightChars="-40" w:firstLine="0" w:firstLineChars="0"/>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rPr>
                    <w:t>符合</w:t>
                  </w:r>
                </w:p>
              </w:tc>
            </w:tr>
            <w:tr w14:paraId="7384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noWrap w:val="0"/>
                  <w:vAlign w:val="center"/>
                </w:tcPr>
                <w:p w14:paraId="19949B2A">
                  <w:pPr>
                    <w:keepNext w:val="0"/>
                    <w:keepLines w:val="0"/>
                    <w:pageBreakBefore w:val="0"/>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b w:val="0"/>
                      <w:bCs w:val="0"/>
                      <w:color w:val="auto"/>
                      <w:szCs w:val="21"/>
                      <w:highlight w:val="none"/>
                    </w:rPr>
                  </w:pPr>
                </w:p>
              </w:tc>
              <w:tc>
                <w:tcPr>
                  <w:tcW w:w="2651" w:type="pct"/>
                  <w:noWrap w:val="0"/>
                  <w:vAlign w:val="center"/>
                </w:tcPr>
                <w:p w14:paraId="23AF69AD">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14:paraId="551F037A">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新建、扩建、改建项目，除执行前款规定外，还应当遵守下列规定：</w:t>
                  </w:r>
                </w:p>
                <w:p w14:paraId="4432EF61">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（一）新建项目的选址应符合城市总体规划，避开饮用水水源地和对环境有特殊要求的功能区；</w:t>
                  </w:r>
                </w:p>
                <w:p w14:paraId="67D07E7E">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（二）采用资源利用率高、污染物排放量少的先进设备和先进工艺；</w:t>
                  </w:r>
                </w:p>
                <w:p w14:paraId="05F30E29">
                  <w:pPr>
                    <w:keepNext w:val="0"/>
                    <w:keepLines w:val="0"/>
                    <w:pageBreakBefore w:val="0"/>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（三）改建、扩建项目和技改项目应当把水污染治理纳入项目内容。</w:t>
                  </w:r>
                </w:p>
              </w:tc>
              <w:tc>
                <w:tcPr>
                  <w:tcW w:w="1166" w:type="pct"/>
                  <w:noWrap w:val="0"/>
                  <w:vAlign w:val="center"/>
                </w:tcPr>
                <w:p w14:paraId="73C06974">
                  <w:pPr>
                    <w:keepNext w:val="0"/>
                    <w:keepLines w:val="0"/>
                    <w:pageBreakBefore w:val="0"/>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default" w:ascii="Times New Roman" w:hAnsi="Times New Roman" w:cs="Times New Roman"/>
                      <w:color w:val="auto"/>
                      <w:szCs w:val="21"/>
                      <w:highlight w:val="none"/>
                      <w:lang w:val="en-US" w:eastAsia="zh-CN"/>
                    </w:rPr>
                    <w:t>建设性质为新建</w:t>
                  </w:r>
                  <w:r>
                    <w:rPr>
                      <w:rFonts w:hint="default" w:ascii="Times New Roman" w:hAnsi="Times New Roman" w:cs="Times New Roman"/>
                      <w:color w:val="auto"/>
                      <w:szCs w:val="21"/>
                      <w:highlight w:val="none"/>
                    </w:rPr>
                    <w:t>，项目周边无饮用水水源地等敏感目标；本项目废水分类处理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无</w:t>
                  </w:r>
                  <w:r>
                    <w:rPr>
                      <w:rFonts w:hint="default" w:ascii="Times New Roman" w:hAnsi="Times New Roman" w:cs="Times New Roman"/>
                      <w:color w:val="auto"/>
                      <w:szCs w:val="21"/>
                      <w:highlight w:val="none"/>
                    </w:rPr>
                    <w:t>外排废水</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生活污水经化粪池预处理后委托环卫部门清运处置；</w:t>
                  </w:r>
                  <w:r>
                    <w:rPr>
                      <w:rFonts w:hint="default" w:ascii="Times New Roman" w:hAnsi="Times New Roman" w:cs="Times New Roman"/>
                      <w:color w:val="auto"/>
                      <w:szCs w:val="21"/>
                      <w:highlight w:val="none"/>
                    </w:rPr>
                    <w:t>依法进行环境影响评价；项目采取节水措施。</w:t>
                  </w:r>
                </w:p>
              </w:tc>
              <w:tc>
                <w:tcPr>
                  <w:tcW w:w="460" w:type="pct"/>
                  <w:noWrap w:val="0"/>
                  <w:vAlign w:val="center"/>
                </w:tcPr>
                <w:p w14:paraId="2D9FB805">
                  <w:pPr>
                    <w:keepNext w:val="0"/>
                    <w:keepLines w:val="0"/>
                    <w:pageBreakBefore w:val="0"/>
                    <w:kinsoku/>
                    <w:wordWrap/>
                    <w:overflowPunct/>
                    <w:topLinePunct w:val="0"/>
                    <w:autoSpaceDE w:val="0"/>
                    <w:autoSpaceDN w:val="0"/>
                    <w:bidi w:val="0"/>
                    <w:adjustRightInd w:val="0"/>
                    <w:snapToGrid/>
                    <w:ind w:left="-84" w:leftChars="-40" w:right="-84" w:rightChars="-4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rPr>
                    <w:t>符合</w:t>
                  </w:r>
                </w:p>
              </w:tc>
            </w:tr>
            <w:tr w14:paraId="15E3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noWrap w:val="0"/>
                  <w:vAlign w:val="center"/>
                </w:tcPr>
                <w:p w14:paraId="0C4DA16E">
                  <w:pPr>
                    <w:keepNext w:val="0"/>
                    <w:keepLines w:val="0"/>
                    <w:pageBreakBefore w:val="0"/>
                    <w:widowControl/>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b w:val="0"/>
                      <w:bCs w:val="0"/>
                      <w:color w:val="auto"/>
                      <w:szCs w:val="21"/>
                      <w:highlight w:val="none"/>
                    </w:rPr>
                  </w:pPr>
                </w:p>
              </w:tc>
              <w:tc>
                <w:tcPr>
                  <w:tcW w:w="2651" w:type="pct"/>
                  <w:noWrap w:val="0"/>
                  <w:vAlign w:val="center"/>
                </w:tcPr>
                <w:p w14:paraId="6A3160AC">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第十六条 在淮河流域城市公共排水设施覆盖区域内，应当实行雨水、污水分流；排水户应当将雨水、污水分别排入公共雨水、污水管网及其附属设施。</w:t>
                  </w:r>
                </w:p>
              </w:tc>
              <w:tc>
                <w:tcPr>
                  <w:tcW w:w="1166" w:type="pct"/>
                  <w:noWrap w:val="0"/>
                  <w:vAlign w:val="center"/>
                </w:tcPr>
                <w:p w14:paraId="74E0B2CC">
                  <w:pPr>
                    <w:keepNext w:val="0"/>
                    <w:keepLines w:val="0"/>
                    <w:pageBreakBefore w:val="0"/>
                    <w:widowControl/>
                    <w:kinsoku/>
                    <w:wordWrap/>
                    <w:overflowPunct/>
                    <w:topLinePunct w:val="0"/>
                    <w:bidi w:val="0"/>
                    <w:snapToGrid/>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项目无外排废水，</w:t>
                  </w:r>
                  <w:r>
                    <w:rPr>
                      <w:rFonts w:hint="default" w:ascii="Times New Roman" w:hAnsi="Times New Roman" w:cs="Times New Roman"/>
                      <w:color w:val="auto"/>
                      <w:szCs w:val="21"/>
                      <w:highlight w:val="none"/>
                      <w:lang w:val="en-US" w:eastAsia="zh-CN"/>
                    </w:rPr>
                    <w:t>生活污水经化粪池预处理后委托环卫部门清运处置</w:t>
                  </w:r>
                  <w:r>
                    <w:rPr>
                      <w:rFonts w:hint="default" w:ascii="Times New Roman" w:hAnsi="Times New Roman" w:cs="Times New Roman"/>
                      <w:color w:val="auto"/>
                      <w:kern w:val="0"/>
                      <w:szCs w:val="21"/>
                      <w:highlight w:val="none"/>
                      <w:lang w:val="en-US" w:eastAsia="zh-CN" w:bidi="ar"/>
                    </w:rPr>
                    <w:t>。</w:t>
                  </w:r>
                </w:p>
              </w:tc>
              <w:tc>
                <w:tcPr>
                  <w:tcW w:w="460" w:type="pct"/>
                  <w:noWrap w:val="0"/>
                  <w:vAlign w:val="center"/>
                </w:tcPr>
                <w:p w14:paraId="6082E5C1">
                  <w:pPr>
                    <w:keepNext w:val="0"/>
                    <w:keepLines w:val="0"/>
                    <w:pageBreakBefore w:val="0"/>
                    <w:kinsoku/>
                    <w:wordWrap/>
                    <w:overflowPunct/>
                    <w:topLinePunct w:val="0"/>
                    <w:autoSpaceDE w:val="0"/>
                    <w:autoSpaceDN w:val="0"/>
                    <w:bidi w:val="0"/>
                    <w:adjustRightInd w:val="0"/>
                    <w:snapToGrid/>
                    <w:ind w:left="-84" w:leftChars="-40" w:right="-84" w:rightChars="-40" w:firstLine="0" w:firstLineChars="0"/>
                    <w:jc w:val="center"/>
                    <w:textAlignment w:val="auto"/>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szCs w:val="21"/>
                    </w:rPr>
                    <w:t>符合</w:t>
                  </w:r>
                </w:p>
              </w:tc>
            </w:tr>
            <w:tr w14:paraId="1243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vMerge w:val="continue"/>
                  <w:noWrap w:val="0"/>
                  <w:vAlign w:val="center"/>
                </w:tcPr>
                <w:p w14:paraId="0E886559">
                  <w:pPr>
                    <w:keepNext w:val="0"/>
                    <w:keepLines w:val="0"/>
                    <w:pageBreakBefore w:val="0"/>
                    <w:widowControl/>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b w:val="0"/>
                      <w:bCs w:val="0"/>
                      <w:color w:val="auto"/>
                      <w:szCs w:val="21"/>
                      <w:highlight w:val="none"/>
                    </w:rPr>
                  </w:pPr>
                </w:p>
              </w:tc>
              <w:tc>
                <w:tcPr>
                  <w:tcW w:w="2651" w:type="pct"/>
                  <w:noWrap w:val="0"/>
                  <w:vAlign w:val="center"/>
                </w:tcPr>
                <w:p w14:paraId="45DFC265">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第十九条 禁止下列行为：</w:t>
                  </w:r>
                </w:p>
                <w:p w14:paraId="7D006BA0">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(一)向水体排放或者倾倒油类、酸液、碱液和其他有毒有害液体；</w:t>
                  </w:r>
                </w:p>
                <w:p w14:paraId="76D45271">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(二)在水体中清洗装贮过有毒有害污染物的车辆、船舶和容器；</w:t>
                  </w:r>
                </w:p>
                <w:p w14:paraId="3AFE61D7">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(三)向水体排放、倾倒含有汞、镉、砷、铬、铅、氰化物、黄磷等可溶性剧毒废液或者将上述物质直接埋入地下；</w:t>
                  </w:r>
                </w:p>
                <w:p w14:paraId="43AFD343">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(四)向水体排放、倾倒工业废渣、城镇垃圾和其他废弃物；</w:t>
                  </w:r>
                </w:p>
                <w:p w14:paraId="217A87A1">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(五)向水体排放、倾倒放射性固体废弃物或者放射性废水；</w:t>
                  </w:r>
                </w:p>
                <w:p w14:paraId="305BE12C">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(六)利用渗井、渗坑、裂隙、溶洞、塌陷区和废弃矿坑排放、倾倒，或者利用无防渗措施的沟渠、坑塘输送或者存贮含毒污染物或者病原体的废水和其他废弃物；</w:t>
                  </w:r>
                </w:p>
                <w:p w14:paraId="17B9E8CA">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(七)在河流、湖泊、运河、渠道、水库最高水位线以下的滩地和岸坡堆放、贮存固体废弃物和其他污染物；</w:t>
                  </w:r>
                </w:p>
                <w:p w14:paraId="58B5D40E">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(八)围湖和其他破坏水环境生态平衡的活动；</w:t>
                  </w:r>
                </w:p>
                <w:p w14:paraId="5B35302B">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(九)引进不符合国家环境保护规定要求的技术和设备；</w:t>
                  </w:r>
                </w:p>
                <w:p w14:paraId="3AAC3A77">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(十)法律、法规禁止的其他行为。</w:t>
                  </w:r>
                </w:p>
              </w:tc>
              <w:tc>
                <w:tcPr>
                  <w:tcW w:w="1166" w:type="pct"/>
                  <w:noWrap w:val="0"/>
                  <w:vAlign w:val="center"/>
                </w:tcPr>
                <w:p w14:paraId="3B33D9A1">
                  <w:pPr>
                    <w:keepNext w:val="0"/>
                    <w:keepLines w:val="0"/>
                    <w:pageBreakBefore w:val="0"/>
                    <w:widowControl/>
                    <w:kinsoku/>
                    <w:wordWrap/>
                    <w:overflowPunct/>
                    <w:topLinePunct w:val="0"/>
                    <w:bidi w:val="0"/>
                    <w:snapToGrid/>
                    <w:ind w:left="-84" w:leftChars="-40" w:right="-84" w:rightChars="-40" w:firstLine="0" w:firstLineChars="0"/>
                    <w:jc w:val="center"/>
                    <w:textAlignment w:val="auto"/>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项目建成后严格按照要求进行废水、废气处理及固废处置，严格按照相关法律、法规要求进行日常生产活动</w:t>
                  </w:r>
                </w:p>
              </w:tc>
              <w:tc>
                <w:tcPr>
                  <w:tcW w:w="460" w:type="pct"/>
                  <w:noWrap w:val="0"/>
                  <w:vAlign w:val="center"/>
                </w:tcPr>
                <w:p w14:paraId="7C1110A7">
                  <w:pPr>
                    <w:keepNext w:val="0"/>
                    <w:keepLines w:val="0"/>
                    <w:pageBreakBefore w:val="0"/>
                    <w:kinsoku/>
                    <w:wordWrap/>
                    <w:overflowPunct/>
                    <w:topLinePunct w:val="0"/>
                    <w:autoSpaceDE w:val="0"/>
                    <w:autoSpaceDN w:val="0"/>
                    <w:bidi w:val="0"/>
                    <w:adjustRightInd w:val="0"/>
                    <w:snapToGrid/>
                    <w:ind w:left="-84" w:leftChars="-40" w:right="-84" w:rightChars="-40" w:firstLine="0" w:firstLineChars="0"/>
                    <w:jc w:val="center"/>
                    <w:textAlignment w:val="auto"/>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szCs w:val="21"/>
                    </w:rPr>
                    <w:t>符合</w:t>
                  </w:r>
                </w:p>
              </w:tc>
            </w:tr>
            <w:tr w14:paraId="0C8E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noWrap w:val="0"/>
                  <w:vAlign w:val="center"/>
                </w:tcPr>
                <w:p w14:paraId="1B2BC0DC">
                  <w:pPr>
                    <w:keepNext w:val="0"/>
                    <w:keepLines w:val="0"/>
                    <w:pageBreakBefore w:val="0"/>
                    <w:widowControl/>
                    <w:kinsoku/>
                    <w:wordWrap/>
                    <w:overflowPunct/>
                    <w:topLinePunct w:val="0"/>
                    <w:autoSpaceDE/>
                    <w:autoSpaceDN/>
                    <w:bidi w:val="0"/>
                    <w:adjustRightInd/>
                    <w:snapToGrid/>
                    <w:ind w:left="-84" w:leftChars="-40" w:right="-84" w:rightChars="-40" w:firstLine="0" w:firstLineChars="0"/>
                    <w:jc w:val="center"/>
                    <w:textAlignment w:val="auto"/>
                    <w:rPr>
                      <w:rFonts w:hint="default" w:ascii="Times New Roman" w:hAnsi="Times New Roman" w:eastAsia="宋体" w:cs="Times New Roman"/>
                      <w:b w:val="0"/>
                      <w:bCs w:val="0"/>
                      <w:color w:val="auto"/>
                      <w:szCs w:val="21"/>
                      <w:highlight w:val="none"/>
                      <w:lang w:eastAsia="zh-CN"/>
                    </w:rPr>
                  </w:pPr>
                  <w:r>
                    <w:rPr>
                      <w:rFonts w:hint="default" w:ascii="Times New Roman" w:hAnsi="Times New Roman" w:cs="Times New Roman"/>
                      <w:b w:val="0"/>
                      <w:bCs w:val="0"/>
                      <w:color w:val="auto"/>
                      <w:szCs w:val="21"/>
                      <w:highlight w:val="none"/>
                      <w:lang w:eastAsia="zh-CN"/>
                    </w:rPr>
                    <w:t>《安徽省饮用水水源环境保护条例》（2016年9月30日安徽省第十二届人民代表大会常务委员会第三十三次会议通过））</w:t>
                  </w:r>
                </w:p>
              </w:tc>
              <w:tc>
                <w:tcPr>
                  <w:tcW w:w="2651" w:type="pct"/>
                  <w:noWrap w:val="0"/>
                  <w:vAlign w:val="center"/>
                </w:tcPr>
                <w:p w14:paraId="30A43C6B">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第十四条 在饮用水水源准保护区内，禁止下列行为：</w:t>
                  </w:r>
                  <w:r>
                    <w:rPr>
                      <w:rFonts w:hint="default" w:ascii="Times New Roman" w:hAnsi="Times New Roman" w:cs="Times New Roman"/>
                      <w:color w:val="auto"/>
                      <w:szCs w:val="21"/>
                      <w:highlight w:val="none"/>
                      <w:lang w:val="en-US" w:eastAsia="zh-CN"/>
                    </w:rPr>
                    <w:t>......</w:t>
                  </w:r>
                </w:p>
                <w:p w14:paraId="08F0BF38">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第十五条 在饮用水水源二级保护区内，除遵守本条例第十四条的规定外，还禁止下列行为：......</w:t>
                  </w:r>
                </w:p>
                <w:p w14:paraId="3BD4695C">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第十六条 在饮用水水源一级保护区内，除遵守本条例第十四条、第十五条的规定外，还禁止下列行为：......</w:t>
                  </w:r>
                </w:p>
                <w:p w14:paraId="034D838A">
                  <w:pPr>
                    <w:keepNext w:val="0"/>
                    <w:keepLines w:val="0"/>
                    <w:pageBreakBefore w:val="0"/>
                    <w:widowControl/>
                    <w:kinsoku/>
                    <w:wordWrap/>
                    <w:overflowPunct/>
                    <w:topLinePunct w:val="0"/>
                    <w:bidi w:val="0"/>
                    <w:adjustRightInd/>
                    <w:snapToGrid/>
                    <w:ind w:left="-84" w:leftChars="-40" w:right="-84" w:rightChars="-40" w:firstLine="420" w:firstLineChars="200"/>
                    <w:jc w:val="left"/>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第十七条 在地下水饮用水水源保护区内从事生产经营活动，除遵守本条例第十四条、第十五条、第十六条的规定外，还应当遵守下列规定：......</w:t>
                  </w:r>
                </w:p>
              </w:tc>
              <w:tc>
                <w:tcPr>
                  <w:tcW w:w="1166" w:type="pct"/>
                  <w:noWrap w:val="0"/>
                  <w:vAlign w:val="center"/>
                </w:tcPr>
                <w:p w14:paraId="4BA9C304">
                  <w:pPr>
                    <w:keepNext w:val="0"/>
                    <w:keepLines w:val="0"/>
                    <w:pageBreakBefore w:val="0"/>
                    <w:widowControl/>
                    <w:kinsoku/>
                    <w:wordWrap/>
                    <w:overflowPunct/>
                    <w:topLinePunct w:val="0"/>
                    <w:bidi w:val="0"/>
                    <w:snapToGrid/>
                    <w:ind w:left="-84" w:leftChars="-40" w:right="-84" w:rightChars="-40" w:firstLine="0" w:firstLineChars="0"/>
                    <w:jc w:val="center"/>
                    <w:textAlignment w:val="auto"/>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本项目位于桃园镇桃园村，选址不在饮用水水源准保护区、二级保护区、一级保护区或</w:t>
                  </w:r>
                  <w:r>
                    <w:rPr>
                      <w:rFonts w:hint="default" w:ascii="Times New Roman" w:hAnsi="Times New Roman" w:cs="Times New Roman"/>
                      <w:color w:val="auto"/>
                      <w:szCs w:val="21"/>
                      <w:highlight w:val="none"/>
                      <w:lang w:val="en-US" w:eastAsia="zh-CN"/>
                    </w:rPr>
                    <w:t>地下水饮用水水源保护区内。</w:t>
                  </w:r>
                </w:p>
              </w:tc>
              <w:tc>
                <w:tcPr>
                  <w:tcW w:w="460" w:type="pct"/>
                  <w:noWrap w:val="0"/>
                  <w:vAlign w:val="center"/>
                </w:tcPr>
                <w:p w14:paraId="64F04DF9">
                  <w:pPr>
                    <w:keepNext w:val="0"/>
                    <w:keepLines w:val="0"/>
                    <w:pageBreakBefore w:val="0"/>
                    <w:kinsoku/>
                    <w:wordWrap/>
                    <w:overflowPunct/>
                    <w:topLinePunct w:val="0"/>
                    <w:autoSpaceDE w:val="0"/>
                    <w:autoSpaceDN w:val="0"/>
                    <w:bidi w:val="0"/>
                    <w:adjustRightInd w:val="0"/>
                    <w:snapToGrid/>
                    <w:ind w:left="-84" w:leftChars="-40" w:right="-84" w:rightChars="-40"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符合</w:t>
                  </w:r>
                </w:p>
              </w:tc>
            </w:tr>
          </w:tbl>
          <w:p w14:paraId="36B425B1">
            <w:pPr>
              <w:numPr>
                <w:ilvl w:val="0"/>
                <w:numId w:val="5"/>
              </w:numPr>
              <w:spacing w:line="360" w:lineRule="auto"/>
              <w:ind w:left="0" w:firstLine="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与《重点行业挥发性有机物综合治理方案》（环大气[2019]53号 ）相符性分析</w:t>
            </w:r>
          </w:p>
          <w:p w14:paraId="1BE12B96">
            <w:pPr>
              <w:numPr>
                <w:ilvl w:val="0"/>
                <w:numId w:val="3"/>
              </w:numPr>
              <w:spacing w:line="360" w:lineRule="auto"/>
              <w:ind w:left="0" w:leftChars="0" w:firstLine="0" w:firstLineChars="0"/>
              <w:jc w:val="center"/>
              <w:rPr>
                <w:rFonts w:hint="default" w:ascii="Times New Roman" w:hAnsi="Times New Roman" w:cs="Times New Roman"/>
                <w:sz w:val="24"/>
                <w:szCs w:val="24"/>
              </w:rPr>
            </w:pPr>
            <w:r>
              <w:rPr>
                <w:rFonts w:hint="default" w:ascii="Times New Roman" w:hAnsi="Times New Roman" w:cs="Times New Roman"/>
                <w:b/>
                <w:color w:val="000000"/>
                <w:sz w:val="24"/>
              </w:rPr>
              <w:t>与</w:t>
            </w:r>
            <w:r>
              <w:rPr>
                <w:rFonts w:hint="default" w:ascii="Times New Roman" w:hAnsi="Times New Roman" w:cs="Times New Roman"/>
                <w:b/>
                <w:bCs/>
                <w:color w:val="000000"/>
                <w:sz w:val="24"/>
              </w:rPr>
              <w:t>《重点行业挥发性有机物综合治理方案》</w:t>
            </w:r>
            <w:r>
              <w:rPr>
                <w:rFonts w:hint="default" w:ascii="Times New Roman" w:hAnsi="Times New Roman" w:cs="Times New Roman"/>
                <w:b/>
                <w:color w:val="000000"/>
                <w:sz w:val="24"/>
              </w:rPr>
              <w:t>符合性分析</w:t>
            </w:r>
          </w:p>
          <w:tbl>
            <w:tblPr>
              <w:tblStyle w:val="34"/>
              <w:tblW w:w="48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33"/>
              <w:gridCol w:w="1197"/>
              <w:gridCol w:w="651"/>
            </w:tblGrid>
            <w:tr w14:paraId="46A73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3675" w:type="pct"/>
                  <w:noWrap w:val="0"/>
                  <w:vAlign w:val="center"/>
                </w:tcPr>
                <w:p w14:paraId="4B5DCF29">
                  <w:pPr>
                    <w:pStyle w:val="54"/>
                    <w:jc w:val="center"/>
                    <w:rPr>
                      <w:rFonts w:hint="default" w:ascii="Times New Roman" w:hAnsi="Times New Roman" w:cs="Times New Roman"/>
                      <w:color w:val="auto"/>
                      <w:szCs w:val="21"/>
                    </w:rPr>
                  </w:pPr>
                  <w:r>
                    <w:rPr>
                      <w:rFonts w:hint="default" w:ascii="Times New Roman" w:hAnsi="Times New Roman" w:cs="Times New Roman"/>
                      <w:color w:val="auto"/>
                      <w:szCs w:val="21"/>
                    </w:rPr>
                    <w:t>政策要求</w:t>
                  </w:r>
                </w:p>
              </w:tc>
              <w:tc>
                <w:tcPr>
                  <w:tcW w:w="857" w:type="pct"/>
                  <w:noWrap w:val="0"/>
                  <w:vAlign w:val="center"/>
                </w:tcPr>
                <w:p w14:paraId="29736E7A">
                  <w:pPr>
                    <w:pStyle w:val="87"/>
                    <w:keepNext w:val="0"/>
                    <w:keepLines w:val="0"/>
                    <w:pageBreakBefore w:val="0"/>
                    <w:widowControl w:val="0"/>
                    <w:kinsoku/>
                    <w:wordWrap/>
                    <w:overflowPunct/>
                    <w:topLinePunct w:val="0"/>
                    <w:bidi w:val="0"/>
                    <w:adjustRightInd/>
                    <w:snapToGrid/>
                    <w:spacing w:line="240" w:lineRule="auto"/>
                    <w:ind w:left="-105" w:leftChars="-50" w:right="-105" w:rightChars="-5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本项目情况</w:t>
                  </w:r>
                </w:p>
              </w:tc>
              <w:tc>
                <w:tcPr>
                  <w:tcW w:w="466" w:type="pct"/>
                  <w:noWrap w:val="0"/>
                  <w:vAlign w:val="center"/>
                </w:tcPr>
                <w:p w14:paraId="558831A2">
                  <w:pPr>
                    <w:pStyle w:val="87"/>
                    <w:spacing w:line="240" w:lineRule="auto"/>
                    <w:ind w:left="-84" w:leftChars="-40" w:right="-84" w:rightChars="-40"/>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14:paraId="7E216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 w:hRule="atLeast"/>
                <w:jc w:val="center"/>
              </w:trPr>
              <w:tc>
                <w:tcPr>
                  <w:tcW w:w="3675" w:type="pct"/>
                  <w:noWrap w:val="0"/>
                  <w:vAlign w:val="center"/>
                </w:tcPr>
                <w:p w14:paraId="170D867D">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857" w:type="pct"/>
                  <w:vMerge w:val="restart"/>
                  <w:noWrap w:val="0"/>
                  <w:vAlign w:val="center"/>
                </w:tcPr>
                <w:p w14:paraId="175615DF">
                  <w:pPr>
                    <w:keepNext w:val="0"/>
                    <w:keepLines w:val="0"/>
                    <w:pageBreakBefore w:val="0"/>
                    <w:widowControl w:val="0"/>
                    <w:kinsoku/>
                    <w:wordWrap/>
                    <w:overflowPunct/>
                    <w:topLinePunct w:val="0"/>
                    <w:bidi w:val="0"/>
                    <w:adjustRightInd/>
                    <w:snapToGrid/>
                    <w:ind w:left="-105" w:leftChars="-50" w:right="-105" w:rightChars="-50"/>
                    <w:jc w:val="center"/>
                    <w:textAlignment w:val="auto"/>
                    <w:rPr>
                      <w:rFonts w:hint="default" w:ascii="Times New Roman" w:hAnsi="Times New Roman" w:cs="Times New Roman"/>
                      <w:color w:val="auto"/>
                      <w:szCs w:val="21"/>
                    </w:rPr>
                  </w:pPr>
                  <w:r>
                    <w:rPr>
                      <w:rFonts w:hint="default" w:ascii="Times New Roman" w:hAnsi="Times New Roman" w:eastAsia="宋体" w:cs="Times New Roman"/>
                      <w:bCs/>
                      <w:color w:val="auto"/>
                      <w:szCs w:val="21"/>
                    </w:rPr>
                    <w:t>项目采用</w:t>
                  </w:r>
                  <w:r>
                    <w:rPr>
                      <w:rFonts w:hint="default" w:ascii="Times New Roman" w:hAnsi="Times New Roman" w:cs="Times New Roman"/>
                      <w:bCs/>
                      <w:color w:val="auto"/>
                      <w:szCs w:val="21"/>
                      <w:lang w:val="en-US" w:eastAsia="zh-CN"/>
                    </w:rPr>
                    <w:t>二级</w:t>
                  </w:r>
                  <w:r>
                    <w:rPr>
                      <w:rFonts w:hint="default" w:ascii="Times New Roman" w:hAnsi="Times New Roman" w:cs="Times New Roman"/>
                      <w:color w:val="auto"/>
                      <w:kern w:val="0"/>
                      <w:szCs w:val="21"/>
                      <w:highlight w:val="none"/>
                      <w:lang w:eastAsia="zh-CN"/>
                    </w:rPr>
                    <w:t>活性炭吸附装置</w:t>
                  </w:r>
                  <w:r>
                    <w:rPr>
                      <w:rFonts w:hint="default" w:ascii="Times New Roman" w:hAnsi="Times New Roman" w:eastAsia="宋体" w:cs="Times New Roman"/>
                      <w:bCs/>
                      <w:color w:val="auto"/>
                      <w:szCs w:val="21"/>
                    </w:rPr>
                    <w:t>处理有机废气，处理后有组织排放</w:t>
                  </w:r>
                </w:p>
              </w:tc>
              <w:tc>
                <w:tcPr>
                  <w:tcW w:w="466" w:type="pct"/>
                  <w:noWrap w:val="0"/>
                  <w:vAlign w:val="center"/>
                </w:tcPr>
                <w:p w14:paraId="1488558D">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50DE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3675" w:type="pct"/>
                  <w:noWrap w:val="0"/>
                  <w:vAlign w:val="center"/>
                </w:tcPr>
                <w:p w14:paraId="4D2311EC">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857" w:type="pct"/>
                  <w:vMerge w:val="continue"/>
                  <w:noWrap w:val="0"/>
                  <w:vAlign w:val="center"/>
                </w:tcPr>
                <w:p w14:paraId="4F82FEAF">
                  <w:pPr>
                    <w:keepNext w:val="0"/>
                    <w:keepLines w:val="0"/>
                    <w:pageBreakBefore w:val="0"/>
                    <w:widowControl w:val="0"/>
                    <w:kinsoku/>
                    <w:wordWrap/>
                    <w:overflowPunct/>
                    <w:topLinePunct w:val="0"/>
                    <w:bidi w:val="0"/>
                    <w:adjustRightInd/>
                    <w:snapToGrid/>
                    <w:ind w:left="-105" w:leftChars="-50" w:right="-105" w:rightChars="-50"/>
                    <w:jc w:val="center"/>
                    <w:textAlignment w:val="auto"/>
                    <w:rPr>
                      <w:rFonts w:hint="default" w:ascii="Times New Roman" w:hAnsi="Times New Roman" w:cs="Times New Roman"/>
                      <w:color w:val="auto"/>
                      <w:szCs w:val="21"/>
                    </w:rPr>
                  </w:pPr>
                </w:p>
              </w:tc>
              <w:tc>
                <w:tcPr>
                  <w:tcW w:w="466" w:type="pct"/>
                  <w:noWrap w:val="0"/>
                  <w:vAlign w:val="center"/>
                </w:tcPr>
                <w:p w14:paraId="335E4AC1">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9A46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75" w:type="pct"/>
                  <w:noWrap w:val="0"/>
                  <w:vAlign w:val="center"/>
                </w:tcPr>
                <w:p w14:paraId="5C1DF3CB">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实施废气分类收集处理。优先选用冷凝、吸附再生等回收技术；难以回收的，宜选用燃烧、吸附浓缩+燃烧等高效治理技术。水溶性、酸碱VOCs废气宜选用多级化学吸收等处理技术。恶臭类废气还应进一步加强除臭处理。</w:t>
                  </w:r>
                </w:p>
              </w:tc>
              <w:tc>
                <w:tcPr>
                  <w:tcW w:w="857" w:type="pct"/>
                  <w:vMerge w:val="continue"/>
                  <w:noWrap w:val="0"/>
                  <w:vAlign w:val="center"/>
                </w:tcPr>
                <w:p w14:paraId="69E54573">
                  <w:pPr>
                    <w:keepNext w:val="0"/>
                    <w:keepLines w:val="0"/>
                    <w:pageBreakBefore w:val="0"/>
                    <w:widowControl w:val="0"/>
                    <w:kinsoku/>
                    <w:wordWrap/>
                    <w:overflowPunct/>
                    <w:topLinePunct w:val="0"/>
                    <w:bidi w:val="0"/>
                    <w:adjustRightInd/>
                    <w:snapToGrid/>
                    <w:ind w:left="-105" w:leftChars="-50" w:right="-105" w:rightChars="-50"/>
                    <w:jc w:val="center"/>
                    <w:textAlignment w:val="auto"/>
                    <w:rPr>
                      <w:rFonts w:hint="default" w:ascii="Times New Roman" w:hAnsi="Times New Roman" w:cs="Times New Roman"/>
                      <w:color w:val="auto"/>
                      <w:szCs w:val="21"/>
                    </w:rPr>
                  </w:pPr>
                </w:p>
              </w:tc>
              <w:tc>
                <w:tcPr>
                  <w:tcW w:w="466" w:type="pct"/>
                  <w:noWrap w:val="0"/>
                  <w:vAlign w:val="center"/>
                </w:tcPr>
                <w:p w14:paraId="352D76A6">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27BB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75" w:type="pct"/>
                  <w:noWrap w:val="0"/>
                  <w:vAlign w:val="center"/>
                </w:tcPr>
                <w:p w14:paraId="36CEC41B">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工行业VOCs综合治理。加强制药、农药、涂料、油墨、胶粘剂、橡胶和塑料制品等行业VOCs治理力度。重点提高涉VOCs排放主要工序密闭化水平，加强无组织排放收集，加大含VOCs物料储存和装卸治理度。</w:t>
                  </w:r>
                </w:p>
              </w:tc>
              <w:tc>
                <w:tcPr>
                  <w:tcW w:w="857" w:type="pct"/>
                  <w:noWrap w:val="0"/>
                  <w:vAlign w:val="center"/>
                </w:tcPr>
                <w:p w14:paraId="04EEF56E">
                  <w:pPr>
                    <w:keepNext w:val="0"/>
                    <w:keepLines w:val="0"/>
                    <w:pageBreakBefore w:val="0"/>
                    <w:widowControl w:val="0"/>
                    <w:kinsoku/>
                    <w:wordWrap/>
                    <w:overflowPunct/>
                    <w:topLinePunct w:val="0"/>
                    <w:bidi w:val="0"/>
                    <w:adjustRightInd/>
                    <w:snapToGrid/>
                    <w:ind w:left="-105" w:leftChars="-50" w:right="-105" w:rightChars="-5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本项目有机废气均进行收集处理，收集系统采用密闭管道，处理后有组织排放</w:t>
                  </w:r>
                </w:p>
              </w:tc>
              <w:tc>
                <w:tcPr>
                  <w:tcW w:w="466" w:type="pct"/>
                  <w:noWrap w:val="0"/>
                  <w:vAlign w:val="center"/>
                </w:tcPr>
                <w:p w14:paraId="47E47195">
                  <w:pPr>
                    <w:pStyle w:val="54"/>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EABC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75" w:type="pct"/>
                  <w:noWrap w:val="0"/>
                  <w:vAlign w:val="center"/>
                </w:tcPr>
                <w:p w14:paraId="36250E0C">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857" w:type="pct"/>
                  <w:vMerge w:val="restart"/>
                  <w:noWrap w:val="0"/>
                  <w:vAlign w:val="center"/>
                </w:tcPr>
                <w:p w14:paraId="0CC8457D">
                  <w:pPr>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项目不涉及液态VOCs物料，有机废气均进行收集处理后有组织排放</w:t>
                  </w:r>
                </w:p>
              </w:tc>
              <w:tc>
                <w:tcPr>
                  <w:tcW w:w="466" w:type="pct"/>
                  <w:noWrap w:val="0"/>
                  <w:vAlign w:val="center"/>
                </w:tcPr>
                <w:p w14:paraId="48F8BB48">
                  <w:pPr>
                    <w:pStyle w:val="54"/>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7E092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75" w:type="pct"/>
                  <w:noWrap w:val="0"/>
                  <w:vAlign w:val="center"/>
                </w:tcPr>
                <w:p w14:paraId="13C73840">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加强无组织排放控制。加强油墨、稀释剂、胶粘剂、涂布液、清洗剂等含VOCs物料储存、调配、输送、使用等工艺环节VOCs无组织逸散控制。含VOCs物料储存和输送过程应保持密闭。调配应在密闭装置或空间内进行并有效收集，非即用状态应加盖密封。涂布、印刷、覆膜、复合、上光、清洗等含VOCs物料使用过程应采用密闭设备或在密闭空间内操作；无法密闭的，应采取局部气体收集措施，废气排至VOCs废气收集系统。凹版、柔版印刷机宜采用封闭刮刀，或通过安装盖板、改变墨槽开口形状等措施减少墨槽无组织逸散。鼓励重点区域印刷企业对涉VOCs排放车间进行负压改造或局部围风改造。</w:t>
                  </w:r>
                </w:p>
              </w:tc>
              <w:tc>
                <w:tcPr>
                  <w:tcW w:w="857" w:type="pct"/>
                  <w:vMerge w:val="continue"/>
                  <w:noWrap w:val="0"/>
                  <w:vAlign w:val="center"/>
                </w:tcPr>
                <w:p w14:paraId="2F688E61">
                  <w:pPr>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cs="Times New Roman"/>
                      <w:color w:val="auto"/>
                      <w:szCs w:val="21"/>
                    </w:rPr>
                  </w:pPr>
                </w:p>
              </w:tc>
              <w:tc>
                <w:tcPr>
                  <w:tcW w:w="466" w:type="pct"/>
                  <w:noWrap w:val="0"/>
                  <w:vAlign w:val="center"/>
                </w:tcPr>
                <w:p w14:paraId="5104A765">
                  <w:pPr>
                    <w:pStyle w:val="54"/>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2CF7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675" w:type="pct"/>
                  <w:noWrap w:val="0"/>
                  <w:vAlign w:val="center"/>
                </w:tcPr>
                <w:p w14:paraId="5E67DE39">
                  <w:pPr>
                    <w:autoSpaceDE w:val="0"/>
                    <w:autoSpaceDN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全面实施排污许可。按照固定污染源排污许可分类管理名录要求，加快家具等行业排污许可证核发工作。对已核发的涉VOCs行业，强化排污许可执法监管，确保排污单位落实持证排污、按证排污的环境管理主体责任。定期公布未按证排污单位名单。</w:t>
                  </w:r>
                </w:p>
              </w:tc>
              <w:tc>
                <w:tcPr>
                  <w:tcW w:w="857" w:type="pct"/>
                  <w:noWrap w:val="0"/>
                  <w:vAlign w:val="center"/>
                </w:tcPr>
                <w:p w14:paraId="3B1064BD">
                  <w:pPr>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highlight w:val="none"/>
                    </w:rPr>
                    <w:t>要求本次项目正式排污前进行排污许可登记</w:t>
                  </w:r>
                </w:p>
              </w:tc>
              <w:tc>
                <w:tcPr>
                  <w:tcW w:w="466" w:type="pct"/>
                  <w:noWrap w:val="0"/>
                  <w:vAlign w:val="center"/>
                </w:tcPr>
                <w:p w14:paraId="0C94E338">
                  <w:pPr>
                    <w:pStyle w:val="54"/>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57DD429B">
            <w:pPr>
              <w:numPr>
                <w:ilvl w:val="0"/>
                <w:numId w:val="5"/>
              </w:numPr>
              <w:spacing w:line="360" w:lineRule="auto"/>
              <w:ind w:left="0" w:firstLine="0"/>
              <w:rPr>
                <w:rFonts w:hint="default" w:ascii="Times New Roman" w:hAnsi="Times New Roman" w:eastAsia="宋体" w:cs="Times New Roman"/>
                <w:b w:val="0"/>
                <w:bCs w:val="0"/>
                <w:sz w:val="24"/>
                <w:lang w:eastAsia="zh-CN"/>
              </w:rPr>
            </w:pPr>
            <w:r>
              <w:rPr>
                <w:rFonts w:hint="default" w:ascii="Times New Roman" w:hAnsi="Times New Roman" w:cs="Times New Roman"/>
                <w:b w:val="0"/>
                <w:bCs w:val="0"/>
                <w:color w:val="auto"/>
                <w:sz w:val="24"/>
                <w:szCs w:val="24"/>
              </w:rPr>
              <w:t>与《挥发性有机物（VOCs）污染防治技术政策》（公告2013年第31号）</w:t>
            </w:r>
            <w:r>
              <w:rPr>
                <w:rFonts w:hint="default" w:ascii="Times New Roman" w:hAnsi="Times New Roman" w:cs="Times New Roman"/>
                <w:b w:val="0"/>
                <w:bCs w:val="0"/>
                <w:color w:val="000000"/>
                <w:sz w:val="24"/>
              </w:rPr>
              <w:t>符合性分析</w:t>
            </w:r>
          </w:p>
          <w:p w14:paraId="65A35506">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right"/>
              <w:textAlignment w:val="auto"/>
              <w:rPr>
                <w:rFonts w:hint="default" w:ascii="Times New Roman" w:hAnsi="Times New Roman" w:cs="Times New Roman"/>
                <w:sz w:val="24"/>
              </w:rPr>
            </w:pPr>
            <w:r>
              <w:rPr>
                <w:rFonts w:hint="default" w:ascii="Times New Roman" w:hAnsi="Times New Roman" w:cs="Times New Roman"/>
                <w:b/>
                <w:bCs/>
                <w:color w:val="auto"/>
                <w:sz w:val="24"/>
                <w:szCs w:val="24"/>
              </w:rPr>
              <w:t>与《挥发性有机物（VOCs）污染防治技术政策》</w:t>
            </w:r>
            <w:r>
              <w:rPr>
                <w:rFonts w:hint="default" w:ascii="Times New Roman" w:hAnsi="Times New Roman" w:cs="Times New Roman"/>
                <w:b/>
                <w:color w:val="000000"/>
                <w:sz w:val="24"/>
              </w:rPr>
              <w:t>符合性分析</w:t>
            </w:r>
          </w:p>
          <w:tbl>
            <w:tblPr>
              <w:tblStyle w:val="34"/>
              <w:tblW w:w="497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411"/>
              <w:gridCol w:w="2042"/>
              <w:gridCol w:w="645"/>
            </w:tblGrid>
            <w:tr w14:paraId="0B3B3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106" w:type="pct"/>
                  <w:noWrap w:val="0"/>
                  <w:vAlign w:val="center"/>
                </w:tcPr>
                <w:p w14:paraId="23677F22">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政策要求</w:t>
                  </w:r>
                </w:p>
              </w:tc>
              <w:tc>
                <w:tcPr>
                  <w:tcW w:w="1438" w:type="pct"/>
                  <w:noWrap w:val="0"/>
                  <w:vAlign w:val="center"/>
                </w:tcPr>
                <w:p w14:paraId="4C0E3CC4">
                  <w:pPr>
                    <w:pStyle w:val="87"/>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本项目情况</w:t>
                  </w:r>
                </w:p>
              </w:tc>
              <w:tc>
                <w:tcPr>
                  <w:tcW w:w="454" w:type="pct"/>
                  <w:noWrap w:val="0"/>
                  <w:vAlign w:val="center"/>
                </w:tcPr>
                <w:p w14:paraId="77446BD3">
                  <w:pPr>
                    <w:pStyle w:val="87"/>
                    <w:spacing w:line="240" w:lineRule="auto"/>
                    <w:ind w:left="-105" w:leftChars="-50" w:right="-105" w:rightChars="-50"/>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14:paraId="40D95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106" w:type="pct"/>
                  <w:noWrap w:val="0"/>
                  <w:vAlign w:val="center"/>
                </w:tcPr>
                <w:p w14:paraId="2F3D2777">
                  <w:pPr>
                    <w:autoSpaceDE w:val="0"/>
                    <w:autoSpaceDN w:val="0"/>
                    <w:adjustRightInd w:val="0"/>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对生产装置排放的含VOCs工艺排气宜优先回收利用，不能（或不能完全）回收利用的经处理后达标排放；应急情况下的泄放气可导入燃烧塔（火炬），经过充分燃烧后排放</w:t>
                  </w:r>
                </w:p>
              </w:tc>
              <w:tc>
                <w:tcPr>
                  <w:tcW w:w="1438" w:type="pct"/>
                  <w:noWrap w:val="0"/>
                  <w:vAlign w:val="center"/>
                </w:tcPr>
                <w:p w14:paraId="5ACC4DBC">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项目有机废气不能回收利用，收集处理后能够达标排放</w:t>
                  </w:r>
                </w:p>
              </w:tc>
              <w:tc>
                <w:tcPr>
                  <w:tcW w:w="454" w:type="pct"/>
                  <w:noWrap w:val="0"/>
                  <w:vAlign w:val="center"/>
                </w:tcPr>
                <w:p w14:paraId="06248549">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32515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106" w:type="pct"/>
                  <w:noWrap w:val="0"/>
                  <w:vAlign w:val="center"/>
                </w:tcPr>
                <w:p w14:paraId="595E4B2C">
                  <w:pPr>
                    <w:autoSpaceDE w:val="0"/>
                    <w:autoSpaceDN w:val="0"/>
                    <w:adjustRightInd w:val="0"/>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过程控制：含VOCs产品的使用过程中，应采取废气收集措施，提高废气收集效率，减少废气的无组织排放和散逸，并对收集后的废气进行回收或处理后达标排放</w:t>
                  </w:r>
                </w:p>
              </w:tc>
              <w:tc>
                <w:tcPr>
                  <w:tcW w:w="1438" w:type="pct"/>
                  <w:noWrap w:val="0"/>
                  <w:vAlign w:val="center"/>
                </w:tcPr>
                <w:p w14:paraId="36D16E16">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项目对有机废气进行收集处理，能够实现达标排放</w:t>
                  </w:r>
                </w:p>
              </w:tc>
              <w:tc>
                <w:tcPr>
                  <w:tcW w:w="454" w:type="pct"/>
                  <w:noWrap w:val="0"/>
                  <w:vAlign w:val="center"/>
                </w:tcPr>
                <w:p w14:paraId="12ABF734">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EEEE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106" w:type="pct"/>
                  <w:noWrap w:val="0"/>
                  <w:vAlign w:val="center"/>
                </w:tcPr>
                <w:p w14:paraId="25D7B606">
                  <w:pPr>
                    <w:autoSpaceDE w:val="0"/>
                    <w:autoSpaceDN w:val="0"/>
                    <w:adjustRightInd w:val="0"/>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末端治理与综合利用：对于含低浓度VOCs的废气，有回收价值时可采用吸附技术、吸收技术对有机溶剂回收后达标排放；不宜回收时，可采用吸附浓缩燃烧技术、生物技术、吸附技术、等离子体技术或紫外光高级氧化技术等净化后达标排放</w:t>
                  </w:r>
                </w:p>
              </w:tc>
              <w:tc>
                <w:tcPr>
                  <w:tcW w:w="1438" w:type="pct"/>
                  <w:noWrap w:val="0"/>
                  <w:vAlign w:val="center"/>
                </w:tcPr>
                <w:p w14:paraId="5CEC287B">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项目采用</w:t>
                  </w:r>
                  <w:r>
                    <w:rPr>
                      <w:rFonts w:hint="default" w:ascii="Times New Roman" w:hAnsi="Times New Roman" w:cs="Times New Roman"/>
                      <w:color w:val="auto"/>
                      <w:kern w:val="0"/>
                      <w:szCs w:val="21"/>
                      <w:highlight w:val="none"/>
                      <w:lang w:val="en-US" w:eastAsia="zh-CN"/>
                    </w:rPr>
                    <w:t>二级</w:t>
                  </w:r>
                  <w:r>
                    <w:rPr>
                      <w:rFonts w:hint="default" w:ascii="Times New Roman" w:hAnsi="Times New Roman" w:cs="Times New Roman"/>
                      <w:color w:val="auto"/>
                      <w:kern w:val="0"/>
                      <w:szCs w:val="21"/>
                      <w:highlight w:val="none"/>
                      <w:lang w:eastAsia="zh-CN"/>
                    </w:rPr>
                    <w:t>活性炭吸附装置</w:t>
                  </w:r>
                  <w:r>
                    <w:rPr>
                      <w:rFonts w:hint="default" w:ascii="Times New Roman" w:hAnsi="Times New Roman" w:cs="Times New Roman"/>
                      <w:color w:val="auto"/>
                      <w:szCs w:val="21"/>
                    </w:rPr>
                    <w:t>处理有机废气，处理后有组织排放，能够实现达标排放</w:t>
                  </w:r>
                </w:p>
              </w:tc>
              <w:tc>
                <w:tcPr>
                  <w:tcW w:w="454" w:type="pct"/>
                  <w:noWrap w:val="0"/>
                  <w:vAlign w:val="center"/>
                </w:tcPr>
                <w:p w14:paraId="4675234E">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6799FD89">
            <w:pPr>
              <w:numPr>
                <w:ilvl w:val="0"/>
                <w:numId w:val="5"/>
              </w:numPr>
              <w:spacing w:line="360" w:lineRule="auto"/>
              <w:ind w:left="0" w:firstLine="0"/>
              <w:rPr>
                <w:rFonts w:hint="default" w:ascii="Times New Roman" w:hAnsi="Times New Roman" w:cs="Times New Roman"/>
                <w:b w:val="0"/>
                <w:bCs w:val="0"/>
                <w:kern w:val="0"/>
                <w:sz w:val="24"/>
                <w:szCs w:val="24"/>
              </w:rPr>
            </w:pPr>
            <w:r>
              <w:rPr>
                <w:rFonts w:hint="default" w:ascii="Times New Roman" w:hAnsi="Times New Roman" w:cs="Times New Roman"/>
                <w:b w:val="0"/>
                <w:bCs w:val="0"/>
                <w:color w:val="000000"/>
                <w:sz w:val="24"/>
              </w:rPr>
              <w:t>与《挥发性有机物无组织排放控制标准》（GB37822-2019 ）的符合性分析</w:t>
            </w:r>
          </w:p>
          <w:p w14:paraId="3A76861F">
            <w:pPr>
              <w:numPr>
                <w:ilvl w:val="0"/>
                <w:numId w:val="3"/>
              </w:numPr>
              <w:spacing w:line="360" w:lineRule="auto"/>
              <w:ind w:left="0" w:leftChars="0" w:firstLine="0" w:firstLineChars="0"/>
              <w:jc w:val="center"/>
              <w:rPr>
                <w:rFonts w:hint="default" w:ascii="Times New Roman" w:hAnsi="Times New Roman" w:cs="Times New Roman"/>
                <w:sz w:val="24"/>
              </w:rPr>
            </w:pPr>
            <w:r>
              <w:rPr>
                <w:rFonts w:hint="default" w:ascii="Times New Roman" w:hAnsi="Times New Roman" w:cs="Times New Roman"/>
                <w:b/>
                <w:bCs/>
                <w:kern w:val="0"/>
                <w:sz w:val="24"/>
                <w:szCs w:val="24"/>
              </w:rPr>
              <w:t>《挥发性有机物无组织排放控制标准》符合性</w:t>
            </w:r>
            <w:r>
              <w:rPr>
                <w:rFonts w:hint="default" w:ascii="Times New Roman" w:hAnsi="Times New Roman" w:cs="Times New Roman"/>
                <w:b/>
                <w:bCs/>
                <w:kern w:val="0"/>
                <w:sz w:val="24"/>
                <w:szCs w:val="24"/>
                <w:lang w:val="en-US" w:eastAsia="zh-CN"/>
              </w:rPr>
              <w:t>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6"/>
              <w:gridCol w:w="2158"/>
              <w:gridCol w:w="1360"/>
            </w:tblGrid>
            <w:tr w14:paraId="688F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6" w:type="dxa"/>
                  <w:noWrap w:val="0"/>
                  <w:vAlign w:val="center"/>
                </w:tcPr>
                <w:p w14:paraId="468D9442">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应采取的控制措施</w:t>
                  </w:r>
                </w:p>
              </w:tc>
              <w:tc>
                <w:tcPr>
                  <w:tcW w:w="2158" w:type="dxa"/>
                  <w:noWrap w:val="0"/>
                  <w:vAlign w:val="center"/>
                </w:tcPr>
                <w:p w14:paraId="72645BB1">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本项目采取的控制措施</w:t>
                  </w:r>
                </w:p>
              </w:tc>
              <w:tc>
                <w:tcPr>
                  <w:tcW w:w="1360" w:type="dxa"/>
                  <w:noWrap w:val="0"/>
                  <w:vAlign w:val="center"/>
                </w:tcPr>
                <w:p w14:paraId="771CFC63">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符合性</w:t>
                  </w:r>
                </w:p>
              </w:tc>
            </w:tr>
            <w:tr w14:paraId="4142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6" w:type="dxa"/>
                  <w:noWrap w:val="0"/>
                  <w:vAlign w:val="center"/>
                </w:tcPr>
                <w:p w14:paraId="5CDEB7F6">
                  <w:pPr>
                    <w:jc w:val="center"/>
                    <w:rPr>
                      <w:rFonts w:hint="default" w:ascii="Times New Roman" w:hAnsi="Times New Roman" w:cs="Times New Roman"/>
                      <w:b/>
                      <w:bCs/>
                      <w:color w:val="000000"/>
                      <w:szCs w:val="21"/>
                    </w:rPr>
                  </w:pPr>
                  <w:r>
                    <w:rPr>
                      <w:rFonts w:hint="default" w:ascii="Times New Roman" w:hAnsi="Times New Roman" w:cs="Times New Roman"/>
                      <w:color w:val="000000"/>
                      <w:szCs w:val="21"/>
                    </w:rPr>
                    <w:t>VOCs 废气收集处理系统应与生产工艺设备同步进行。VOCs 废气收集处理系统发生故障或检修时，对应的生产工艺设备停止运行，待检修完毕后同步投入使用；生产工艺设备不能停止运行或不能及时停止运行的，应设置废气应急处理设施或采取其他替代措施</w:t>
                  </w:r>
                </w:p>
              </w:tc>
              <w:tc>
                <w:tcPr>
                  <w:tcW w:w="2158" w:type="dxa"/>
                  <w:noWrap w:val="0"/>
                  <w:vAlign w:val="center"/>
                </w:tcPr>
                <w:p w14:paraId="67E11CB8">
                  <w:pPr>
                    <w:jc w:val="center"/>
                    <w:rPr>
                      <w:rFonts w:hint="default" w:ascii="Times New Roman" w:hAnsi="Times New Roman" w:cs="Times New Roman"/>
                      <w:b/>
                      <w:bCs/>
                      <w:color w:val="000000"/>
                      <w:szCs w:val="21"/>
                    </w:rPr>
                  </w:pPr>
                  <w:r>
                    <w:rPr>
                      <w:rFonts w:hint="default" w:ascii="Times New Roman" w:hAnsi="Times New Roman" w:cs="Times New Roman"/>
                      <w:color w:val="000000"/>
                      <w:szCs w:val="21"/>
                    </w:rPr>
                    <w:t>环评要求污染治理设施先于生产设备运行，后于生产设备关闭，出现废气治理设施故障等非正常工况时，应立即停止相应工段的生产并进行检修，检修完成后恢复生产</w:t>
                  </w:r>
                </w:p>
              </w:tc>
              <w:tc>
                <w:tcPr>
                  <w:tcW w:w="1360" w:type="dxa"/>
                  <w:noWrap w:val="0"/>
                  <w:vAlign w:val="center"/>
                </w:tcPr>
                <w:p w14:paraId="39D13863">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14:paraId="7388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6" w:type="dxa"/>
                  <w:noWrap w:val="0"/>
                  <w:vAlign w:val="center"/>
                </w:tcPr>
                <w:p w14:paraId="0DE999F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收集的废气中 NMHC 初始排放速率≥3kg/h 时，应配置VOCs 处理设施，处理效率不应低于80%；对于重点区域，收集的废气中 NMHC 初始排放速率≥2kg/h 时，应配置VOCs 处理设施，处理效率不应低于 80%；采用的原辅材料符合国家有关低 VOCs 含量产品规定的除外。</w:t>
                  </w:r>
                </w:p>
              </w:tc>
              <w:tc>
                <w:tcPr>
                  <w:tcW w:w="2158" w:type="dxa"/>
                  <w:noWrap w:val="0"/>
                  <w:vAlign w:val="center"/>
                </w:tcPr>
                <w:p w14:paraId="4BEE938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项目产生VOC</w:t>
                  </w:r>
                  <w:r>
                    <w:rPr>
                      <w:rFonts w:hint="default" w:ascii="Times New Roman" w:hAnsi="Times New Roman" w:cs="Times New Roman"/>
                      <w:color w:val="000000"/>
                      <w:szCs w:val="21"/>
                      <w:vertAlign w:val="subscript"/>
                    </w:rPr>
                    <w:t>S</w:t>
                  </w:r>
                  <w:r>
                    <w:rPr>
                      <w:rFonts w:hint="default" w:ascii="Times New Roman" w:hAnsi="Times New Roman" w:cs="Times New Roman"/>
                      <w:color w:val="000000"/>
                      <w:szCs w:val="21"/>
                    </w:rPr>
                    <w:t>工段均设置了高效废气收集处理系统，有机废气处理效率不低于90%，满足标准要求。</w:t>
                  </w:r>
                </w:p>
              </w:tc>
              <w:tc>
                <w:tcPr>
                  <w:tcW w:w="1360" w:type="dxa"/>
                  <w:noWrap w:val="0"/>
                  <w:vAlign w:val="center"/>
                </w:tcPr>
                <w:p w14:paraId="24A1DF8C">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符合</w:t>
                  </w:r>
                </w:p>
              </w:tc>
            </w:tr>
            <w:tr w14:paraId="2BFC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6" w:type="dxa"/>
                  <w:noWrap w:val="0"/>
                  <w:vAlign w:val="center"/>
                </w:tcPr>
                <w:p w14:paraId="2CA47076">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排气筒高度不低于15m（因安全考虑或有特殊工艺要求的除外），具体高度以及与周围建筑物的相对高度关系应根据环境影响评价文件确定。</w:t>
                  </w:r>
                </w:p>
              </w:tc>
              <w:tc>
                <w:tcPr>
                  <w:tcW w:w="2158" w:type="dxa"/>
                  <w:noWrap w:val="0"/>
                  <w:vAlign w:val="center"/>
                </w:tcPr>
                <w:p w14:paraId="6878D410">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项目排气筒高度不低于15m</w:t>
                  </w:r>
                </w:p>
              </w:tc>
              <w:tc>
                <w:tcPr>
                  <w:tcW w:w="1360" w:type="dxa"/>
                  <w:noWrap w:val="0"/>
                  <w:vAlign w:val="center"/>
                </w:tcPr>
                <w:p w14:paraId="30ABF5B9">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rPr>
                    <w:t>符合</w:t>
                  </w:r>
                </w:p>
              </w:tc>
            </w:tr>
            <w:tr w14:paraId="1282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6" w:type="dxa"/>
                  <w:noWrap w:val="0"/>
                  <w:vAlign w:val="center"/>
                </w:tcPr>
                <w:p w14:paraId="2AAE0877">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企业应建立台账，记录废气收集系统、VOCs 处理设施的主要运行和维护信息，如运行时间、废气处理量、操作温度、停留时间、吸附剂再生/更换周期和更换量、催化剂更换周期和更换量、吸收液 pH 值等关键运行参数。台账保存期限不少于3年</w:t>
                  </w:r>
                </w:p>
              </w:tc>
              <w:tc>
                <w:tcPr>
                  <w:tcW w:w="2158" w:type="dxa"/>
                  <w:noWrap w:val="0"/>
                  <w:vAlign w:val="center"/>
                </w:tcPr>
                <w:p w14:paraId="1B0D0044">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环评要求建设单位建立环境管理体系和管理台账，按要求记录相关内容。台账保存3年</w:t>
                  </w:r>
                </w:p>
              </w:tc>
              <w:tc>
                <w:tcPr>
                  <w:tcW w:w="1360" w:type="dxa"/>
                  <w:noWrap w:val="0"/>
                  <w:vAlign w:val="center"/>
                </w:tcPr>
                <w:p w14:paraId="32E63194">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rPr>
                    <w:t>符合</w:t>
                  </w:r>
                </w:p>
              </w:tc>
            </w:tr>
          </w:tbl>
          <w:p w14:paraId="2A8D0D05">
            <w:pPr>
              <w:numPr>
                <w:ilvl w:val="0"/>
                <w:numId w:val="5"/>
              </w:numPr>
              <w:spacing w:line="360" w:lineRule="auto"/>
              <w:ind w:left="0" w:firstLine="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与</w:t>
            </w:r>
            <w:r>
              <w:rPr>
                <w:rFonts w:hint="default" w:ascii="Times New Roman" w:hAnsi="Times New Roman" w:cs="Times New Roman"/>
                <w:color w:val="auto"/>
                <w:sz w:val="24"/>
              </w:rPr>
              <w:t>《安徽省2022年大气污染防治工作要点》（安环委办〔2022〕37 号）</w:t>
            </w:r>
            <w:r>
              <w:rPr>
                <w:rFonts w:hint="default" w:ascii="Times New Roman" w:hAnsi="Times New Roman" w:cs="Times New Roman"/>
                <w:color w:val="auto"/>
                <w:kern w:val="0"/>
                <w:sz w:val="24"/>
              </w:rPr>
              <w:t>符合性分析</w:t>
            </w:r>
          </w:p>
          <w:p w14:paraId="699F9B9B">
            <w:pPr>
              <w:numPr>
                <w:ilvl w:val="0"/>
                <w:numId w:val="6"/>
              </w:numPr>
              <w:ind w:left="420" w:left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项目与安环委办〔2022〕37 号符合性分析</w:t>
            </w:r>
          </w:p>
          <w:tbl>
            <w:tblPr>
              <w:tblStyle w:val="34"/>
              <w:tblW w:w="497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103"/>
              <w:gridCol w:w="2299"/>
              <w:gridCol w:w="698"/>
            </w:tblGrid>
            <w:tr w14:paraId="0005C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8" w:hRule="atLeast"/>
                <w:jc w:val="center"/>
              </w:trPr>
              <w:tc>
                <w:tcPr>
                  <w:tcW w:w="2889" w:type="pct"/>
                  <w:noWrap w:val="0"/>
                  <w:vAlign w:val="center"/>
                </w:tcPr>
                <w:p w14:paraId="60F0CCF2">
                  <w:pPr>
                    <w:widowControl w:val="0"/>
                    <w:autoSpaceDE w:val="0"/>
                    <w:autoSpaceDN w:val="0"/>
                    <w:adjustRightIn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政策要求</w:t>
                  </w:r>
                </w:p>
              </w:tc>
              <w:tc>
                <w:tcPr>
                  <w:tcW w:w="1619" w:type="pct"/>
                  <w:noWrap w:val="0"/>
                  <w:vAlign w:val="center"/>
                </w:tcPr>
                <w:p w14:paraId="4397F3A3">
                  <w:pPr>
                    <w:widowControl w:val="0"/>
                    <w:spacing w:line="240" w:lineRule="auto"/>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91" w:type="pct"/>
                  <w:noWrap w:val="0"/>
                  <w:vAlign w:val="center"/>
                </w:tcPr>
                <w:p w14:paraId="39435CCE">
                  <w:pPr>
                    <w:widowControl w:val="0"/>
                    <w:spacing w:line="240" w:lineRule="auto"/>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58933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2889" w:type="pct"/>
                  <w:noWrap w:val="0"/>
                  <w:vAlign w:val="center"/>
                </w:tcPr>
                <w:p w14:paraId="245C6CDB">
                  <w:pPr>
                    <w:widowControl/>
                    <w:ind w:left="-63" w:leftChars="-30" w:right="-63" w:rightChars="-30"/>
                    <w:jc w:val="left"/>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加快产业结构转型升级。严格执行《产业结构调整指导目录》《产业发展与转移指导目录》，落实国家产业结构调整指导目录中碳排放控制要求。有序开展产业承接和重点行业省内调整优化，高水平打造皖北承接产业转移集聚区。全面排查“两高”项目，实施清单管理、分类处置、动态监控，对不符合规定的坚决停批停建，科学稳妥推进符合要求的拟建项目。依法依规淘汰落后产能和化解过剩产能，严禁新增钢铁、焦化、水泥熟料、平板玻璃、电解铝等产能。</w:t>
                  </w:r>
                </w:p>
              </w:tc>
              <w:tc>
                <w:tcPr>
                  <w:tcW w:w="1619" w:type="pct"/>
                  <w:noWrap w:val="0"/>
                  <w:vAlign w:val="center"/>
                </w:tcPr>
                <w:p w14:paraId="6221B31C">
                  <w:pPr>
                    <w:widowControl/>
                    <w:ind w:left="-63" w:leftChars="-30" w:right="-63" w:rightChars="-3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项目产品生产不属于</w:t>
                  </w:r>
                  <w:r>
                    <w:rPr>
                      <w:rFonts w:hint="default" w:ascii="Times New Roman" w:hAnsi="Times New Roman" w:eastAsia="宋体" w:cs="Times New Roman"/>
                      <w:color w:val="auto"/>
                      <w:sz w:val="21"/>
                      <w:szCs w:val="21"/>
                      <w:highlight w:val="none"/>
                      <w:lang w:val="en-US" w:eastAsia="zh-CN"/>
                    </w:rPr>
                    <w:t>《产业结构调整指导目录（2024年本）》</w:t>
                  </w:r>
                  <w:r>
                    <w:rPr>
                      <w:rFonts w:hint="default" w:ascii="Times New Roman" w:hAnsi="Times New Roman" w:cs="Times New Roman"/>
                      <w:color w:val="auto"/>
                      <w:kern w:val="0"/>
                      <w:szCs w:val="21"/>
                    </w:rPr>
                    <w:t>中限制类或淘汰类项目，可视为允许类；项目不属于《产业发展与转移指导目录》优先承接发展产业或引导优化调整产业，可视为允许建设产业；本项目不属于两高项目；不属于落后产能或过剩产能</w:t>
                  </w:r>
                </w:p>
              </w:tc>
              <w:tc>
                <w:tcPr>
                  <w:tcW w:w="491" w:type="pct"/>
                  <w:noWrap w:val="0"/>
                  <w:vAlign w:val="center"/>
                </w:tcPr>
                <w:p w14:paraId="54527225">
                  <w:pPr>
                    <w:widowControl/>
                    <w:ind w:left="-63" w:leftChars="-30" w:right="-63" w:rightChars="-3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bl>
          <w:p w14:paraId="1A4E21FA">
            <w:pPr>
              <w:numPr>
                <w:ilvl w:val="0"/>
                <w:numId w:val="5"/>
              </w:numPr>
              <w:spacing w:line="360" w:lineRule="auto"/>
              <w:ind w:left="0" w:firstLine="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与《</w:t>
            </w:r>
            <w:r>
              <w:rPr>
                <w:rFonts w:hint="default" w:ascii="Times New Roman" w:hAnsi="Times New Roman" w:cs="Times New Roman"/>
                <w:color w:val="auto"/>
                <w:sz w:val="24"/>
              </w:rPr>
              <w:t>安徽省</w:t>
            </w:r>
            <w:r>
              <w:rPr>
                <w:rFonts w:hint="default" w:ascii="Times New Roman" w:hAnsi="Times New Roman" w:cs="Times New Roman"/>
                <w:color w:val="auto"/>
                <w:kern w:val="0"/>
                <w:sz w:val="24"/>
              </w:rPr>
              <w:t>“十四五”生态环境保护规划》符合性分析</w:t>
            </w:r>
          </w:p>
          <w:p w14:paraId="00943B7E">
            <w:pPr>
              <w:numPr>
                <w:ilvl w:val="0"/>
                <w:numId w:val="6"/>
              </w:numPr>
              <w:ind w:left="420" w:left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本项目与《安徽省“十四五”生态环境保护规划》相符性</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8"/>
              <w:gridCol w:w="1354"/>
              <w:gridCol w:w="649"/>
            </w:tblGrid>
            <w:tr w14:paraId="2456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7" w:type="pct"/>
                  <w:noWrap w:val="0"/>
                  <w:vAlign w:val="center"/>
                </w:tcPr>
                <w:p w14:paraId="14AA8B00">
                  <w:pPr>
                    <w:widowControl w:val="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文件要求</w:t>
                  </w:r>
                </w:p>
              </w:tc>
              <w:tc>
                <w:tcPr>
                  <w:tcW w:w="948" w:type="pct"/>
                  <w:noWrap w:val="0"/>
                  <w:vAlign w:val="center"/>
                </w:tcPr>
                <w:p w14:paraId="1635DDE1">
                  <w:pPr>
                    <w:widowControl w:val="0"/>
                    <w:ind w:left="-84" w:leftChars="-40" w:right="-84" w:rightChars="-4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本项目情况</w:t>
                  </w:r>
                </w:p>
              </w:tc>
              <w:tc>
                <w:tcPr>
                  <w:tcW w:w="454" w:type="pct"/>
                  <w:noWrap w:val="0"/>
                  <w:vAlign w:val="center"/>
                </w:tcPr>
                <w:p w14:paraId="32F9C29E">
                  <w:pPr>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14:paraId="7D0F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7" w:type="pct"/>
                  <w:noWrap w:val="0"/>
                  <w:vAlign w:val="center"/>
                </w:tcPr>
                <w:p w14:paraId="7519AF9E">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推动能源结构优化</w:t>
                  </w:r>
                </w:p>
                <w:p w14:paraId="6CEDA125">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强化能源消费总量和强度双控制度，严格控制能耗强度，有效控制能源消费增量，坚决遏制“两高”项目盲目发展。发挥市场配置资源作用，引导能源要素合理流动和高效配置。严格控制煤炭消费总量，大气污染防治重点区域内新、改、扩建用煤项目严格实施煤炭等量或减量替代。完成30万千瓦及以上热电联产机组供热半径15公里范围内燃煤锅炉和低效燃煤热电关停整合。到2025年，完成国家对全省煤炭消费总量控制要求。不断降低煤炭、电力、化工等行业综合能耗，进一步提高工业能源利用效率和清洁化水平。加快各级开发区实施集中供热和清洁能源替代，加大燃煤热电、燃煤锅炉淘汰力度，有条件地发展大型燃气供热锅炉。系统提升清洁低碳能源比例，积极扩大天然气利用，推进发展风电和太阳能发电，有序发展生物质能和其他新能源，壮大清洁能源产业，推进可再生能源规模化发展。扩大利用区外可再生能源来电规模，推行清洁低碳电力调度，对清洁电力给予优先上网、优先购电，提升清洁电力消纳能力。</w:t>
                  </w:r>
                </w:p>
              </w:tc>
              <w:tc>
                <w:tcPr>
                  <w:tcW w:w="948" w:type="pct"/>
                  <w:noWrap w:val="0"/>
                  <w:vAlign w:val="center"/>
                </w:tcPr>
                <w:p w14:paraId="192580C9">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本项目不属于“两高项目”，项目不设置锅炉，不使用煤等燃料</w:t>
                  </w:r>
                </w:p>
              </w:tc>
              <w:tc>
                <w:tcPr>
                  <w:tcW w:w="454" w:type="pct"/>
                  <w:noWrap w:val="0"/>
                  <w:vAlign w:val="center"/>
                </w:tcPr>
                <w:p w14:paraId="1C80A441">
                  <w:pPr>
                    <w:widowControl w:val="0"/>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14:paraId="0D8B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7" w:type="pct"/>
                  <w:noWrap w:val="0"/>
                  <w:vAlign w:val="center"/>
                </w:tcPr>
                <w:p w14:paraId="13D571C3">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持续推进固定污染源治理。</w:t>
                  </w:r>
                </w:p>
                <w:p w14:paraId="4EC2EEA7">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实施窑炉深度治理......开展不达标燃煤设施清理整治，加大皖北地区散煤清理力度，推进农副产品加工领域散煤治理。强化挥发性有机物(VOCs)治理精细化管理，在石化、化工、包装印刷、工业涂装等重点行业建立完善源头、过程和末端的VOCs全过程控制体系，实施VOCs排放总量控制；全面推进使用低VOCs含量涂料、油墨、胶粘剂、清洗剂等；加强汽修、干洗、餐饮等生活源VOCs综合治理。</w:t>
                  </w:r>
                </w:p>
              </w:tc>
              <w:tc>
                <w:tcPr>
                  <w:tcW w:w="948" w:type="pct"/>
                  <w:noWrap w:val="0"/>
                  <w:vAlign w:val="center"/>
                </w:tcPr>
                <w:p w14:paraId="03614A00">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本项目不设置炉窑，不使用煤燃料；项目产生的有机废气收集处理后排放，项目已申请VOCs排放总量。</w:t>
                  </w:r>
                </w:p>
              </w:tc>
              <w:tc>
                <w:tcPr>
                  <w:tcW w:w="454" w:type="pct"/>
                  <w:noWrap w:val="0"/>
                  <w:vAlign w:val="center"/>
                </w:tcPr>
                <w:p w14:paraId="31EEA261">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24F43A07">
            <w:pPr>
              <w:numPr>
                <w:ilvl w:val="0"/>
                <w:numId w:val="5"/>
              </w:numPr>
              <w:spacing w:line="360" w:lineRule="auto"/>
              <w:ind w:left="0" w:firstLine="0"/>
              <w:rPr>
                <w:rFonts w:hint="default" w:ascii="Times New Roman" w:hAnsi="Times New Roman" w:cs="Times New Roman"/>
                <w:color w:val="auto"/>
                <w:sz w:val="24"/>
              </w:rPr>
            </w:pPr>
            <w:r>
              <w:rPr>
                <w:rFonts w:hint="default" w:ascii="Times New Roman" w:hAnsi="Times New Roman" w:cs="Times New Roman"/>
                <w:color w:val="auto"/>
                <w:sz w:val="24"/>
              </w:rPr>
              <w:t>与《宿州市“十四五”生态环境保护规划》（</w:t>
            </w:r>
            <w:r>
              <w:rPr>
                <w:rFonts w:hint="default" w:ascii="Times New Roman" w:hAnsi="Times New Roman" w:cs="Times New Roman"/>
                <w:color w:val="auto"/>
                <w:kern w:val="0"/>
                <w:sz w:val="24"/>
              </w:rPr>
              <w:t>宿环委会[2022]2号</w:t>
            </w:r>
            <w:r>
              <w:rPr>
                <w:rFonts w:hint="default" w:ascii="Times New Roman" w:hAnsi="Times New Roman" w:cs="Times New Roman"/>
                <w:color w:val="auto"/>
                <w:sz w:val="24"/>
              </w:rPr>
              <w:t>）符合性分析</w:t>
            </w:r>
          </w:p>
          <w:p w14:paraId="47DD3BF4">
            <w:pPr>
              <w:numPr>
                <w:ilvl w:val="0"/>
                <w:numId w:val="6"/>
              </w:numPr>
              <w:ind w:left="420" w:left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本项目与《宿州市“十四五”生态环境保护规划》相符性</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0"/>
              <w:gridCol w:w="1277"/>
              <w:gridCol w:w="653"/>
            </w:tblGrid>
            <w:tr w14:paraId="632C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7" w:type="pct"/>
                  <w:noWrap w:val="0"/>
                  <w:vAlign w:val="center"/>
                </w:tcPr>
                <w:p w14:paraId="12612E5C">
                  <w:pPr>
                    <w:widowControl w:val="0"/>
                    <w:autoSpaceDE w:val="0"/>
                    <w:autoSpaceDN w:val="0"/>
                    <w:adjustRightIn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政策要求</w:t>
                  </w:r>
                </w:p>
              </w:tc>
              <w:tc>
                <w:tcPr>
                  <w:tcW w:w="894" w:type="pct"/>
                  <w:noWrap w:val="0"/>
                  <w:vAlign w:val="center"/>
                </w:tcPr>
                <w:p w14:paraId="3DB94A3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本项目情况</w:t>
                  </w:r>
                </w:p>
              </w:tc>
              <w:tc>
                <w:tcPr>
                  <w:tcW w:w="457" w:type="pct"/>
                  <w:noWrap w:val="0"/>
                  <w:vAlign w:val="center"/>
                </w:tcPr>
                <w:p w14:paraId="307C2CC4">
                  <w:pPr>
                    <w:widowControl w:val="0"/>
                    <w:spacing w:line="240" w:lineRule="auto"/>
                    <w:ind w:left="-84" w:leftChars="-40" w:right="-84" w:rightChars="-4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符合性</w:t>
                  </w:r>
                </w:p>
              </w:tc>
            </w:tr>
            <w:tr w14:paraId="122F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noWrap w:val="0"/>
                  <w:vAlign w:val="center"/>
                </w:tcPr>
                <w:p w14:paraId="5248593B">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持续推进工业企业大气污染综合治理</w:t>
                  </w:r>
                </w:p>
                <w:p w14:paraId="7DB6BD60">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...深入开展锅炉、炉窑综合整治。实施重点涉工业炉窑企业深度治理或清洁能源替代，完成65蒸吨及以上燃煤锅炉节能改造。持续开展散煤污染治理行动，严格查处非法销售、使用非清洁散煤等行为。</w:t>
                  </w:r>
                </w:p>
              </w:tc>
              <w:tc>
                <w:tcPr>
                  <w:tcW w:w="894" w:type="pct"/>
                  <w:noWrap w:val="0"/>
                  <w:vAlign w:val="center"/>
                </w:tcPr>
                <w:p w14:paraId="09AE3691">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本项目不设置炉窑，不使用煤燃料</w:t>
                  </w:r>
                </w:p>
              </w:tc>
              <w:tc>
                <w:tcPr>
                  <w:tcW w:w="457" w:type="pct"/>
                  <w:noWrap w:val="0"/>
                  <w:vAlign w:val="center"/>
                </w:tcPr>
                <w:p w14:paraId="1BEEFDF4">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363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noWrap w:val="0"/>
                  <w:vAlign w:val="center"/>
                </w:tcPr>
                <w:p w14:paraId="3A4C738E">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深化VOCs综合整治</w:t>
                  </w:r>
                </w:p>
                <w:p w14:paraId="07145567">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p w14:paraId="0302DE75">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...严格落实《挥发性有机物无组织排放控制标准》，加强VOCs无组织排放控制，加快废气收集系统建设，提高废气收集率。...</w:t>
                  </w:r>
                </w:p>
              </w:tc>
              <w:tc>
                <w:tcPr>
                  <w:tcW w:w="894" w:type="pct"/>
                  <w:noWrap w:val="0"/>
                  <w:vAlign w:val="center"/>
                </w:tcPr>
                <w:p w14:paraId="25D817B5">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项目对有机废气进行收集处理；项目建设符合《挥发性有机物无组织排放控制标准》中相关要求</w:t>
                  </w:r>
                </w:p>
              </w:tc>
              <w:tc>
                <w:tcPr>
                  <w:tcW w:w="457" w:type="pct"/>
                  <w:noWrap w:val="0"/>
                  <w:vAlign w:val="center"/>
                </w:tcPr>
                <w:p w14:paraId="5A418A1F">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C31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noWrap w:val="0"/>
                  <w:vAlign w:val="center"/>
                </w:tcPr>
                <w:p w14:paraId="2E153BDE">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进水资源综合管理。实施最严格水资源管理制度。落实国家节水行动和水资源刚性约束制度。以水定城、以水定产。严格执行水资源论证制度，严格规范取水许可审批管理，合理分配水资源，确保生态流量。严格保护和合理利用地下水，实行地下水取用水总量控制和水位控制，加快推进地下水压采置换。推动完善水资源调度方案，强化抗旱管理、行蓄洪区管理。加强水资源综合管理支撑能力建设，建立完善水资源综合管理科技创新体系。</w:t>
                  </w:r>
                </w:p>
              </w:tc>
              <w:tc>
                <w:tcPr>
                  <w:tcW w:w="894" w:type="pct"/>
                  <w:noWrap w:val="0"/>
                  <w:vAlign w:val="center"/>
                </w:tcPr>
                <w:p w14:paraId="30DE878A">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本项目位于宿州市桃园镇桃园村，用水来自市政给水管网，不开采地下水</w:t>
                  </w:r>
                </w:p>
              </w:tc>
              <w:tc>
                <w:tcPr>
                  <w:tcW w:w="457" w:type="pct"/>
                  <w:noWrap w:val="0"/>
                  <w:vAlign w:val="center"/>
                </w:tcPr>
                <w:p w14:paraId="39E0030B">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符合</w:t>
                  </w:r>
                </w:p>
              </w:tc>
            </w:tr>
            <w:tr w14:paraId="5971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noWrap w:val="0"/>
                  <w:vAlign w:val="center"/>
                </w:tcPr>
                <w:p w14:paraId="5EAB6685">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加强土壤污染源头管控</w:t>
                  </w:r>
                </w:p>
                <w:p w14:paraId="092D541C">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强化环境影响源头管控。实施土壤环境影响评价制度。对涉及有毒有害物质可能造成土壤污染的新（改、扩）建项目，依法进行土壤环境影响评价，提出并落实土壤和地下水污染防治要求。加强空间布局管控。将土壤和地下水环境要求纳入国土空间规划，根据土壤污染状况和风险合理规划土地用途，永久基本农田集中区域禁止规划新建可能造成土壤污染的建设项目。</w:t>
                  </w:r>
                </w:p>
              </w:tc>
              <w:tc>
                <w:tcPr>
                  <w:tcW w:w="894" w:type="pct"/>
                  <w:noWrap w:val="0"/>
                  <w:vAlign w:val="center"/>
                </w:tcPr>
                <w:p w14:paraId="7A52187D">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本项目属于新建项目，涉及可能造成土壤污染的毒害物质，本次环评按要求进行土壤和地下水环境影响评价</w:t>
                  </w:r>
                </w:p>
              </w:tc>
              <w:tc>
                <w:tcPr>
                  <w:tcW w:w="457" w:type="pct"/>
                  <w:noWrap w:val="0"/>
                  <w:vAlign w:val="center"/>
                </w:tcPr>
                <w:p w14:paraId="2260D890">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4D7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47" w:type="pct"/>
                  <w:noWrap w:val="0"/>
                  <w:vAlign w:val="center"/>
                </w:tcPr>
                <w:p w14:paraId="390E33CA">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控制工业企业噪声</w:t>
                  </w:r>
                </w:p>
                <w:p w14:paraId="5D24FE3A">
                  <w:pPr>
                    <w:widowControl w:val="0"/>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894" w:type="pct"/>
                  <w:noWrap w:val="0"/>
                  <w:vAlign w:val="center"/>
                </w:tcPr>
                <w:p w14:paraId="42D739E5">
                  <w:pPr>
                    <w:widowControl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项目选用低噪声设备，采取隔声、减震等措施，采取噪声防治措施</w:t>
                  </w:r>
                </w:p>
              </w:tc>
              <w:tc>
                <w:tcPr>
                  <w:tcW w:w="457" w:type="pct"/>
                  <w:noWrap w:val="0"/>
                  <w:vAlign w:val="center"/>
                </w:tcPr>
                <w:p w14:paraId="2A336DC4">
                  <w:pPr>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64FEE9E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综上分析，本项目满足《重点行业挥发性有机物综合治理方案》</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《挥发性有机物（VOC</w:t>
            </w:r>
            <w:r>
              <w:rPr>
                <w:rFonts w:hint="default" w:ascii="Times New Roman" w:hAnsi="Times New Roman" w:cs="Times New Roman"/>
                <w:color w:val="auto"/>
                <w:sz w:val="24"/>
                <w:vertAlign w:val="subscript"/>
              </w:rPr>
              <w:t>S</w:t>
            </w:r>
            <w:r>
              <w:rPr>
                <w:rFonts w:hint="default" w:ascii="Times New Roman" w:hAnsi="Times New Roman" w:cs="Times New Roman"/>
                <w:color w:val="auto"/>
                <w:sz w:val="24"/>
              </w:rPr>
              <w:t>）污染防治技术政策》、</w:t>
            </w:r>
            <w:r>
              <w:rPr>
                <w:rFonts w:hint="default" w:ascii="Times New Roman" w:hAnsi="Times New Roman" w:cs="Times New Roman"/>
                <w:b w:val="0"/>
                <w:bCs w:val="0"/>
                <w:color w:val="000000"/>
                <w:sz w:val="24"/>
              </w:rPr>
              <w:t>《挥发性有机物无组织排放控制标准》</w:t>
            </w:r>
            <w:r>
              <w:rPr>
                <w:rFonts w:hint="default" w:ascii="Times New Roman" w:hAnsi="Times New Roman" w:cs="Times New Roman"/>
                <w:b w:val="0"/>
                <w:bCs w:val="0"/>
                <w:color w:val="000000"/>
                <w:sz w:val="24"/>
                <w:lang w:eastAsia="zh-CN"/>
              </w:rPr>
              <w:t>、</w:t>
            </w:r>
            <w:r>
              <w:rPr>
                <w:rFonts w:hint="default" w:ascii="Times New Roman" w:hAnsi="Times New Roman" w:cs="Times New Roman"/>
                <w:color w:val="auto"/>
                <w:sz w:val="24"/>
              </w:rPr>
              <w:t>《安徽省2022年大气污染防治工作要点》、</w:t>
            </w:r>
            <w:r>
              <w:rPr>
                <w:rFonts w:hint="default" w:ascii="Times New Roman" w:hAnsi="Times New Roman" w:cs="Times New Roman"/>
                <w:color w:val="auto"/>
                <w:kern w:val="0"/>
                <w:sz w:val="24"/>
              </w:rPr>
              <w:t>《安徽省“十四五”生态环境保护规划》、《宿州市“十四五”生态环境保护规划》中</w:t>
            </w:r>
            <w:r>
              <w:rPr>
                <w:rFonts w:hint="default" w:ascii="Times New Roman" w:hAnsi="Times New Roman" w:cs="Times New Roman"/>
                <w:color w:val="auto"/>
                <w:sz w:val="24"/>
              </w:rPr>
              <w:t>的相关要求。</w:t>
            </w:r>
          </w:p>
          <w:p w14:paraId="2B558598">
            <w:pPr>
              <w:spacing w:line="360" w:lineRule="auto"/>
              <w:ind w:firstLine="480" w:firstLineChars="200"/>
              <w:rPr>
                <w:rFonts w:hint="default" w:ascii="Times New Roman" w:hAnsi="Times New Roman" w:cs="Times New Roman"/>
                <w:color w:val="auto"/>
                <w:sz w:val="24"/>
              </w:rPr>
            </w:pPr>
          </w:p>
          <w:p w14:paraId="2AE38F7F">
            <w:pPr>
              <w:spacing w:line="360" w:lineRule="auto"/>
              <w:ind w:firstLine="480" w:firstLineChars="200"/>
              <w:rPr>
                <w:rFonts w:hint="default" w:ascii="Times New Roman" w:hAnsi="Times New Roman" w:cs="Times New Roman"/>
                <w:color w:val="auto"/>
                <w:sz w:val="24"/>
              </w:rPr>
            </w:pPr>
          </w:p>
          <w:p w14:paraId="63816E85">
            <w:pPr>
              <w:spacing w:line="360" w:lineRule="auto"/>
              <w:ind w:firstLine="480" w:firstLineChars="200"/>
              <w:rPr>
                <w:rFonts w:hint="default" w:ascii="Times New Roman" w:hAnsi="Times New Roman" w:cs="Times New Roman"/>
                <w:color w:val="auto"/>
                <w:sz w:val="24"/>
              </w:rPr>
            </w:pPr>
          </w:p>
          <w:p w14:paraId="6584282C">
            <w:pPr>
              <w:spacing w:line="360" w:lineRule="auto"/>
              <w:ind w:firstLine="480" w:firstLineChars="200"/>
              <w:rPr>
                <w:rFonts w:hint="default" w:ascii="Times New Roman" w:hAnsi="Times New Roman" w:cs="Times New Roman"/>
                <w:color w:val="auto"/>
                <w:sz w:val="24"/>
              </w:rPr>
            </w:pPr>
          </w:p>
          <w:p w14:paraId="7A5B1515">
            <w:pPr>
              <w:spacing w:line="360" w:lineRule="auto"/>
              <w:ind w:firstLine="480" w:firstLineChars="200"/>
              <w:rPr>
                <w:rFonts w:hint="default" w:ascii="Times New Roman" w:hAnsi="Times New Roman" w:cs="Times New Roman"/>
                <w:color w:val="auto"/>
                <w:sz w:val="24"/>
              </w:rPr>
            </w:pPr>
          </w:p>
          <w:p w14:paraId="0EAC7976">
            <w:pPr>
              <w:spacing w:line="360" w:lineRule="auto"/>
              <w:ind w:firstLine="480" w:firstLineChars="200"/>
              <w:rPr>
                <w:rFonts w:hint="default" w:ascii="Times New Roman" w:hAnsi="Times New Roman" w:cs="Times New Roman"/>
                <w:color w:val="auto"/>
                <w:sz w:val="24"/>
              </w:rPr>
            </w:pPr>
          </w:p>
          <w:p w14:paraId="447AF542">
            <w:pPr>
              <w:spacing w:line="360" w:lineRule="auto"/>
              <w:ind w:firstLine="480" w:firstLineChars="200"/>
              <w:rPr>
                <w:rFonts w:hint="default" w:ascii="Times New Roman" w:hAnsi="Times New Roman" w:cs="Times New Roman"/>
                <w:color w:val="auto"/>
                <w:sz w:val="24"/>
              </w:rPr>
            </w:pPr>
          </w:p>
          <w:p w14:paraId="65641D6E">
            <w:pPr>
              <w:spacing w:line="360" w:lineRule="auto"/>
              <w:ind w:firstLine="480" w:firstLineChars="200"/>
              <w:rPr>
                <w:rFonts w:hint="default" w:ascii="Times New Roman" w:hAnsi="Times New Roman" w:cs="Times New Roman"/>
                <w:color w:val="auto"/>
                <w:sz w:val="24"/>
              </w:rPr>
            </w:pPr>
          </w:p>
          <w:p w14:paraId="3A48C7C1">
            <w:pPr>
              <w:spacing w:line="360" w:lineRule="auto"/>
              <w:ind w:firstLine="480" w:firstLineChars="200"/>
              <w:rPr>
                <w:rFonts w:hint="default" w:ascii="Times New Roman" w:hAnsi="Times New Roman" w:cs="Times New Roman"/>
                <w:color w:val="auto"/>
                <w:sz w:val="24"/>
              </w:rPr>
            </w:pPr>
          </w:p>
          <w:p w14:paraId="1779AF83">
            <w:pPr>
              <w:spacing w:line="360" w:lineRule="auto"/>
              <w:ind w:firstLine="480" w:firstLineChars="200"/>
              <w:rPr>
                <w:rFonts w:hint="default" w:ascii="Times New Roman" w:hAnsi="Times New Roman" w:cs="Times New Roman"/>
                <w:color w:val="auto"/>
                <w:sz w:val="24"/>
              </w:rPr>
            </w:pPr>
          </w:p>
          <w:p w14:paraId="4316AC35">
            <w:pPr>
              <w:spacing w:line="360" w:lineRule="auto"/>
              <w:ind w:firstLine="480" w:firstLineChars="200"/>
              <w:rPr>
                <w:rFonts w:hint="default" w:ascii="Times New Roman" w:hAnsi="Times New Roman" w:cs="Times New Roman"/>
                <w:color w:val="auto"/>
                <w:sz w:val="24"/>
              </w:rPr>
            </w:pPr>
          </w:p>
          <w:p w14:paraId="3F367BC5">
            <w:pPr>
              <w:spacing w:line="360" w:lineRule="auto"/>
              <w:ind w:firstLine="480" w:firstLineChars="200"/>
              <w:rPr>
                <w:rFonts w:hint="default" w:ascii="Times New Roman" w:hAnsi="Times New Roman" w:cs="Times New Roman"/>
                <w:color w:val="auto"/>
                <w:sz w:val="24"/>
              </w:rPr>
            </w:pPr>
          </w:p>
          <w:p w14:paraId="4F6317BE">
            <w:pPr>
              <w:spacing w:line="360" w:lineRule="auto"/>
              <w:ind w:firstLine="480" w:firstLineChars="200"/>
              <w:rPr>
                <w:rFonts w:hint="default" w:ascii="Times New Roman" w:hAnsi="Times New Roman" w:cs="Times New Roman"/>
                <w:color w:val="auto"/>
                <w:sz w:val="24"/>
              </w:rPr>
            </w:pPr>
          </w:p>
          <w:p w14:paraId="3E074893">
            <w:pPr>
              <w:spacing w:line="360" w:lineRule="auto"/>
              <w:ind w:firstLine="480" w:firstLineChars="200"/>
              <w:rPr>
                <w:rFonts w:hint="default" w:ascii="Times New Roman" w:hAnsi="Times New Roman" w:cs="Times New Roman"/>
                <w:color w:val="auto"/>
                <w:sz w:val="24"/>
              </w:rPr>
            </w:pPr>
          </w:p>
          <w:p w14:paraId="780FB19D">
            <w:pPr>
              <w:spacing w:line="360" w:lineRule="auto"/>
              <w:ind w:firstLine="480" w:firstLineChars="200"/>
              <w:rPr>
                <w:rFonts w:hint="default" w:ascii="Times New Roman" w:hAnsi="Times New Roman" w:cs="Times New Roman"/>
                <w:color w:val="auto"/>
                <w:sz w:val="24"/>
              </w:rPr>
            </w:pPr>
          </w:p>
          <w:p w14:paraId="345836F9">
            <w:pPr>
              <w:spacing w:line="360" w:lineRule="auto"/>
              <w:ind w:firstLine="480" w:firstLineChars="200"/>
              <w:rPr>
                <w:rFonts w:hint="default" w:ascii="Times New Roman" w:hAnsi="Times New Roman" w:cs="Times New Roman"/>
                <w:color w:val="auto"/>
                <w:sz w:val="24"/>
              </w:rPr>
            </w:pPr>
          </w:p>
          <w:p w14:paraId="757950D9">
            <w:pPr>
              <w:spacing w:line="360" w:lineRule="auto"/>
              <w:ind w:firstLine="480" w:firstLineChars="200"/>
              <w:rPr>
                <w:rFonts w:hint="default" w:ascii="Times New Roman" w:hAnsi="Times New Roman" w:cs="Times New Roman"/>
                <w:color w:val="auto"/>
                <w:sz w:val="24"/>
              </w:rPr>
            </w:pPr>
          </w:p>
          <w:p w14:paraId="6A810213">
            <w:pPr>
              <w:spacing w:line="360" w:lineRule="auto"/>
              <w:ind w:firstLine="480" w:firstLineChars="200"/>
              <w:rPr>
                <w:rFonts w:hint="default" w:ascii="Times New Roman" w:hAnsi="Times New Roman" w:cs="Times New Roman"/>
                <w:color w:val="auto"/>
                <w:sz w:val="24"/>
              </w:rPr>
            </w:pPr>
          </w:p>
          <w:p w14:paraId="26B2B868">
            <w:pPr>
              <w:spacing w:line="360" w:lineRule="auto"/>
              <w:ind w:firstLine="480" w:firstLineChars="200"/>
              <w:rPr>
                <w:rFonts w:hint="default" w:ascii="Times New Roman" w:hAnsi="Times New Roman" w:cs="Times New Roman"/>
                <w:color w:val="auto"/>
                <w:sz w:val="24"/>
              </w:rPr>
            </w:pPr>
          </w:p>
          <w:p w14:paraId="277BA52B">
            <w:pPr>
              <w:spacing w:line="360" w:lineRule="auto"/>
              <w:ind w:firstLine="480" w:firstLineChars="200"/>
              <w:rPr>
                <w:rFonts w:hint="default" w:ascii="Times New Roman" w:hAnsi="Times New Roman" w:cs="Times New Roman"/>
                <w:color w:val="auto"/>
                <w:sz w:val="24"/>
              </w:rPr>
            </w:pPr>
          </w:p>
          <w:p w14:paraId="5806A968">
            <w:pPr>
              <w:spacing w:line="360" w:lineRule="auto"/>
              <w:ind w:firstLine="480" w:firstLineChars="200"/>
              <w:rPr>
                <w:rFonts w:hint="default" w:ascii="Times New Roman" w:hAnsi="Times New Roman" w:cs="Times New Roman"/>
                <w:color w:val="auto"/>
                <w:sz w:val="24"/>
              </w:rPr>
            </w:pPr>
          </w:p>
          <w:p w14:paraId="54F0A1DA">
            <w:pPr>
              <w:spacing w:line="360" w:lineRule="auto"/>
              <w:ind w:firstLine="480" w:firstLineChars="200"/>
              <w:rPr>
                <w:rFonts w:hint="default" w:ascii="Times New Roman" w:hAnsi="Times New Roman" w:cs="Times New Roman"/>
                <w:color w:val="auto"/>
                <w:sz w:val="24"/>
              </w:rPr>
            </w:pPr>
          </w:p>
          <w:p w14:paraId="0F0748EF">
            <w:pPr>
              <w:spacing w:line="360" w:lineRule="auto"/>
              <w:ind w:firstLine="480" w:firstLineChars="200"/>
              <w:rPr>
                <w:rFonts w:hint="default" w:ascii="Times New Roman" w:hAnsi="Times New Roman" w:cs="Times New Roman"/>
                <w:color w:val="auto"/>
                <w:sz w:val="24"/>
              </w:rPr>
            </w:pPr>
          </w:p>
          <w:p w14:paraId="1E5A5639">
            <w:pPr>
              <w:spacing w:line="360" w:lineRule="auto"/>
              <w:ind w:firstLine="480" w:firstLineChars="200"/>
              <w:rPr>
                <w:rFonts w:hint="default" w:ascii="Times New Roman" w:hAnsi="Times New Roman" w:cs="Times New Roman"/>
                <w:color w:val="auto"/>
                <w:sz w:val="24"/>
              </w:rPr>
            </w:pPr>
          </w:p>
          <w:p w14:paraId="6B944188">
            <w:pPr>
              <w:spacing w:line="360" w:lineRule="auto"/>
              <w:ind w:firstLine="480" w:firstLineChars="200"/>
              <w:rPr>
                <w:rFonts w:hint="default" w:ascii="Times New Roman" w:hAnsi="Times New Roman" w:cs="Times New Roman"/>
                <w:color w:val="auto"/>
                <w:sz w:val="24"/>
              </w:rPr>
            </w:pPr>
          </w:p>
          <w:p w14:paraId="48EBB6DE">
            <w:pPr>
              <w:spacing w:line="360" w:lineRule="auto"/>
              <w:ind w:firstLine="480" w:firstLineChars="200"/>
              <w:rPr>
                <w:rFonts w:hint="default" w:ascii="Times New Roman" w:hAnsi="Times New Roman" w:cs="Times New Roman"/>
                <w:color w:val="auto"/>
                <w:sz w:val="24"/>
              </w:rPr>
            </w:pPr>
          </w:p>
        </w:tc>
      </w:tr>
    </w:tbl>
    <w:p w14:paraId="1E128849">
      <w:pPr>
        <w:spacing w:line="360" w:lineRule="auto"/>
        <w:outlineLvl w:val="0"/>
        <w:rPr>
          <w:sz w:val="30"/>
        </w:rPr>
        <w:sectPr>
          <w:headerReference r:id="rId5" w:type="default"/>
          <w:footerReference r:id="rId6" w:type="default"/>
          <w:pgSz w:w="11906" w:h="16838"/>
          <w:pgMar w:top="1418" w:right="1134" w:bottom="1418" w:left="1247" w:header="851" w:footer="1077" w:gutter="0"/>
          <w:pgNumType w:start="1"/>
          <w:cols w:space="720" w:num="1"/>
          <w:docGrid w:linePitch="312" w:charSpace="0"/>
        </w:sectPr>
      </w:pPr>
    </w:p>
    <w:p w14:paraId="1741D8C5">
      <w:pPr>
        <w:pStyle w:val="31"/>
        <w:spacing w:before="0" w:beforeAutospacing="0" w:after="0" w:afterAutospacing="0" w:line="360" w:lineRule="auto"/>
        <w:jc w:val="center"/>
        <w:outlineLvl w:val="0"/>
        <w:rPr>
          <w:rFonts w:ascii="Times New Roman" w:hAnsi="Times New Roman"/>
          <w:b/>
          <w:snapToGrid w:val="0"/>
          <w:sz w:val="30"/>
          <w:szCs w:val="30"/>
        </w:rPr>
      </w:pPr>
      <w:r>
        <w:rPr>
          <w:rFonts w:ascii="Times New Roman" w:hAnsi="Times New Roman"/>
          <w:b/>
          <w:snapToGrid w:val="0"/>
          <w:sz w:val="30"/>
          <w:szCs w:val="30"/>
        </w:rPr>
        <w:t>二、建设项目工程分析</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8903"/>
      </w:tblGrid>
      <w:tr w14:paraId="2EECA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04" w:hRule="atLeast"/>
          <w:jc w:val="center"/>
        </w:trPr>
        <w:tc>
          <w:tcPr>
            <w:tcW w:w="647" w:type="dxa"/>
            <w:noWrap w:val="0"/>
            <w:vAlign w:val="center"/>
          </w:tcPr>
          <w:p w14:paraId="7CCF0ADE">
            <w:pPr>
              <w:pStyle w:val="31"/>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建设内容</w:t>
            </w:r>
          </w:p>
        </w:tc>
        <w:tc>
          <w:tcPr>
            <w:tcW w:w="8903" w:type="dxa"/>
            <w:noWrap w:val="0"/>
            <w:vAlign w:val="top"/>
          </w:tcPr>
          <w:p w14:paraId="6D7F22FD">
            <w:pPr>
              <w:spacing w:line="360" w:lineRule="auto"/>
              <w:rPr>
                <w:rFonts w:hint="eastAsia"/>
                <w:b/>
                <w:sz w:val="24"/>
              </w:rPr>
            </w:pPr>
            <w:r>
              <w:rPr>
                <w:b/>
                <w:sz w:val="24"/>
              </w:rPr>
              <w:t>1、项目</w:t>
            </w:r>
            <w:r>
              <w:rPr>
                <w:rFonts w:hint="eastAsia"/>
                <w:b/>
                <w:sz w:val="24"/>
              </w:rPr>
              <w:t>背景</w:t>
            </w:r>
          </w:p>
          <w:p w14:paraId="45EFF1BD">
            <w:pPr>
              <w:adjustRightInd w:val="0"/>
              <w:snapToGrid w:val="0"/>
              <w:spacing w:line="360" w:lineRule="auto"/>
              <w:ind w:firstLine="480" w:firstLineChars="200"/>
              <w:rPr>
                <w:bCs/>
                <w:sz w:val="24"/>
              </w:rPr>
            </w:pPr>
            <w:r>
              <w:rPr>
                <w:bCs/>
                <w:sz w:val="24"/>
              </w:rPr>
              <w:t>（1）项目由来</w:t>
            </w:r>
          </w:p>
          <w:p w14:paraId="1BE1E80B">
            <w:pPr>
              <w:adjustRightInd w:val="0"/>
              <w:snapToGrid w:val="0"/>
              <w:spacing w:line="360" w:lineRule="auto"/>
              <w:ind w:firstLine="480" w:firstLineChars="200"/>
              <w:rPr>
                <w:rFonts w:hint="eastAsia" w:hAnsi="宋体"/>
                <w:bCs/>
                <w:color w:val="auto"/>
                <w:kern w:val="36"/>
                <w:sz w:val="24"/>
                <w:lang w:val="en-US" w:eastAsia="zh-CN"/>
              </w:rPr>
            </w:pPr>
            <w:r>
              <w:rPr>
                <w:rFonts w:hint="eastAsia" w:hAnsi="宋体"/>
                <w:bCs/>
                <w:color w:val="auto"/>
                <w:kern w:val="36"/>
                <w:sz w:val="24"/>
                <w:lang w:val="en-US" w:eastAsia="zh-CN"/>
              </w:rPr>
              <w:t>安徽柯翔网绳有限公司位于安徽省宿州市桃园镇桃园村寨东组进矿路北侧，项目拟投资1600.00万元</w:t>
            </w:r>
            <w:r>
              <w:rPr>
                <w:rFonts w:hint="eastAsia"/>
                <w:bCs/>
                <w:color w:val="auto"/>
                <w:sz w:val="24"/>
              </w:rPr>
              <w:t>进行“</w:t>
            </w:r>
            <w:r>
              <w:rPr>
                <w:rFonts w:hint="eastAsia" w:hAnsi="宋体"/>
                <w:bCs/>
                <w:color w:val="auto"/>
                <w:kern w:val="36"/>
                <w:sz w:val="24"/>
                <w:lang w:val="en-US" w:eastAsia="zh-CN"/>
              </w:rPr>
              <w:t>安徽柯翔网绳有限公司</w:t>
            </w:r>
            <w:r>
              <w:rPr>
                <w:rFonts w:hint="eastAsia" w:ascii="Times New Roman" w:hAnsi="Times New Roman" w:eastAsia="宋体" w:cs="Times New Roman"/>
                <w:kern w:val="0"/>
                <w:sz w:val="24"/>
                <w:lang w:val="en-US" w:eastAsia="zh-CN"/>
              </w:rPr>
              <w:t>年产1000吨秸秆捆草网项目</w:t>
            </w:r>
            <w:r>
              <w:rPr>
                <w:rFonts w:hint="eastAsia"/>
                <w:bCs/>
                <w:color w:val="auto"/>
                <w:sz w:val="24"/>
              </w:rPr>
              <w:t>”的建设</w:t>
            </w:r>
            <w:r>
              <w:rPr>
                <w:rFonts w:hint="eastAsia" w:hAnsi="宋体"/>
                <w:bCs/>
                <w:color w:val="auto"/>
                <w:kern w:val="36"/>
                <w:sz w:val="24"/>
                <w:lang w:val="en-US" w:eastAsia="zh-CN"/>
              </w:rPr>
              <w:t>。本</w:t>
            </w:r>
            <w:r>
              <w:rPr>
                <w:rFonts w:hint="eastAsia"/>
                <w:bCs/>
                <w:color w:val="auto"/>
                <w:sz w:val="24"/>
                <w:lang w:eastAsia="zh-CN"/>
              </w:rPr>
              <w:t>项目</w:t>
            </w:r>
            <w:r>
              <w:rPr>
                <w:rFonts w:hint="eastAsia"/>
                <w:color w:val="auto"/>
                <w:sz w:val="24"/>
              </w:rPr>
              <w:t>于202</w:t>
            </w:r>
            <w:r>
              <w:rPr>
                <w:rFonts w:hint="eastAsia"/>
                <w:color w:val="auto"/>
                <w:sz w:val="24"/>
                <w:lang w:val="en-US" w:eastAsia="zh-CN"/>
              </w:rPr>
              <w:t>5</w:t>
            </w:r>
            <w:r>
              <w:rPr>
                <w:rFonts w:hint="eastAsia"/>
                <w:color w:val="auto"/>
                <w:sz w:val="24"/>
              </w:rPr>
              <w:t>年</w:t>
            </w:r>
            <w:r>
              <w:rPr>
                <w:rFonts w:hint="eastAsia"/>
                <w:color w:val="auto"/>
                <w:sz w:val="24"/>
                <w:lang w:val="en-US" w:eastAsia="zh-CN"/>
              </w:rPr>
              <w:t>7</w:t>
            </w:r>
            <w:r>
              <w:rPr>
                <w:rFonts w:hint="eastAsia"/>
                <w:color w:val="auto"/>
                <w:sz w:val="24"/>
              </w:rPr>
              <w:t>月</w:t>
            </w:r>
            <w:r>
              <w:rPr>
                <w:rFonts w:hint="eastAsia"/>
                <w:color w:val="auto"/>
                <w:sz w:val="24"/>
                <w:lang w:val="en-US" w:eastAsia="zh-CN"/>
              </w:rPr>
              <w:t>21</w:t>
            </w:r>
            <w:r>
              <w:rPr>
                <w:rFonts w:hint="eastAsia"/>
                <w:color w:val="auto"/>
                <w:sz w:val="24"/>
              </w:rPr>
              <w:t>日经</w:t>
            </w:r>
            <w:r>
              <w:rPr>
                <w:rFonts w:hint="eastAsia"/>
                <w:color w:val="auto"/>
                <w:sz w:val="24"/>
                <w:lang w:val="en-US" w:eastAsia="zh-CN"/>
              </w:rPr>
              <w:t>宿州市埇桥区发展改革委</w:t>
            </w:r>
            <w:r>
              <w:rPr>
                <w:rFonts w:hint="eastAsia"/>
                <w:color w:val="auto"/>
                <w:sz w:val="24"/>
              </w:rPr>
              <w:t>备案</w:t>
            </w:r>
            <w:r>
              <w:rPr>
                <w:rFonts w:hint="eastAsia"/>
                <w:color w:val="auto"/>
                <w:sz w:val="24"/>
                <w:lang w:eastAsia="zh-CN"/>
              </w:rPr>
              <w:t>，</w:t>
            </w:r>
            <w:r>
              <w:rPr>
                <w:rFonts w:hint="eastAsia" w:hAnsi="宋体"/>
                <w:bCs/>
                <w:color w:val="auto"/>
                <w:kern w:val="36"/>
                <w:sz w:val="24"/>
                <w:lang w:val="en-US" w:eastAsia="zh-CN"/>
              </w:rPr>
              <w:t>购置生产及辅助生产设备，配套必要给排水、供配电、环卫消防等附属工程。项目建成后预计年产1000吨秸秆捆草网。</w:t>
            </w:r>
          </w:p>
          <w:p w14:paraId="0E4A47BA">
            <w:pPr>
              <w:adjustRightInd w:val="0"/>
              <w:snapToGrid w:val="0"/>
              <w:spacing w:line="360" w:lineRule="auto"/>
              <w:ind w:firstLine="480" w:firstLineChars="200"/>
              <w:rPr>
                <w:sz w:val="24"/>
              </w:rPr>
            </w:pPr>
            <w:r>
              <w:rPr>
                <w:sz w:val="24"/>
              </w:rPr>
              <w:t>（2）项目委托</w:t>
            </w:r>
          </w:p>
          <w:p w14:paraId="733F3782">
            <w:pPr>
              <w:spacing w:line="360" w:lineRule="auto"/>
              <w:ind w:firstLine="480" w:firstLineChars="200"/>
              <w:rPr>
                <w:sz w:val="24"/>
              </w:rPr>
            </w:pPr>
            <w:r>
              <w:rPr>
                <w:sz w:val="24"/>
              </w:rPr>
              <w:t>根据《中华人民共和国环境影响评价法》、《建设项目环境保护管理条例》等有关规定，本项目需进行环境影响评价。依据《建设项目环境影响评价分类管理名录</w:t>
            </w:r>
            <w:r>
              <w:rPr>
                <w:rFonts w:hint="eastAsia"/>
                <w:sz w:val="24"/>
              </w:rPr>
              <w:t>（2021年版）</w:t>
            </w:r>
            <w:r>
              <w:rPr>
                <w:sz w:val="24"/>
              </w:rPr>
              <w:t>》中的</w:t>
            </w:r>
            <w:r>
              <w:rPr>
                <w:rFonts w:hint="eastAsia" w:ascii="宋体" w:hAnsi="宋体" w:cs="宋体"/>
                <w:sz w:val="24"/>
              </w:rPr>
              <w:t>“</w:t>
            </w:r>
            <w:r>
              <w:rPr>
                <w:rFonts w:hint="eastAsia" w:cs="宋体"/>
                <w:sz w:val="24"/>
                <w:lang w:val="en-US" w:eastAsia="zh-CN"/>
              </w:rPr>
              <w:t>二十六、橡胶和塑料制品业29</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塑料制品业292</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其他（年用非溶剂型低VOCs含量涂料10吨以下的除外）</w:t>
            </w:r>
            <w:r>
              <w:rPr>
                <w:rFonts w:hint="eastAsia" w:ascii="宋体" w:hAnsi="宋体" w:cs="宋体"/>
                <w:sz w:val="24"/>
              </w:rPr>
              <w:t>”</w:t>
            </w:r>
            <w:r>
              <w:rPr>
                <w:sz w:val="24"/>
              </w:rPr>
              <w:t>，环评类别应为</w:t>
            </w:r>
            <w:r>
              <w:rPr>
                <w:rFonts w:hint="eastAsia" w:ascii="宋体" w:hAnsi="宋体" w:cs="宋体"/>
                <w:sz w:val="24"/>
              </w:rPr>
              <w:t>“</w:t>
            </w:r>
            <w:r>
              <w:rPr>
                <w:sz w:val="24"/>
              </w:rPr>
              <w:t>报告表</w:t>
            </w:r>
            <w:r>
              <w:rPr>
                <w:rFonts w:hint="eastAsia" w:ascii="宋体" w:hAnsi="宋体" w:cs="宋体"/>
                <w:sz w:val="24"/>
              </w:rPr>
              <w:t>”</w:t>
            </w:r>
            <w:r>
              <w:rPr>
                <w:sz w:val="24"/>
              </w:rPr>
              <w:t>。据此，建设单位</w:t>
            </w:r>
            <w:r>
              <w:rPr>
                <w:rFonts w:hint="eastAsia" w:hAnsi="宋体"/>
                <w:bCs/>
                <w:color w:val="auto"/>
                <w:kern w:val="36"/>
                <w:sz w:val="24"/>
                <w:lang w:val="en-US" w:eastAsia="zh-CN"/>
              </w:rPr>
              <w:t>安徽柯翔网绳有限公司</w:t>
            </w:r>
            <w:r>
              <w:rPr>
                <w:rFonts w:hint="eastAsia"/>
                <w:sz w:val="24"/>
              </w:rPr>
              <w:t>主动</w:t>
            </w:r>
            <w:r>
              <w:rPr>
                <w:sz w:val="24"/>
              </w:rPr>
              <w:t>委托我单位对该项目进行环境影响评价。在接受委托后，我公司评价人员赴现场踏勘、调研，并收集了有关资料。在此基础上，按照国家环保政策及技术规范</w:t>
            </w:r>
            <w:r>
              <w:rPr>
                <w:kern w:val="0"/>
                <w:sz w:val="24"/>
              </w:rPr>
              <w:t>，编制了该项目的环境影响报告表</w:t>
            </w:r>
            <w:r>
              <w:rPr>
                <w:sz w:val="24"/>
              </w:rPr>
              <w:t>，呈报</w:t>
            </w:r>
            <w:r>
              <w:rPr>
                <w:rFonts w:hint="eastAsia"/>
                <w:sz w:val="24"/>
              </w:rPr>
              <w:t>生态环境</w:t>
            </w:r>
            <w:r>
              <w:rPr>
                <w:sz w:val="24"/>
              </w:rPr>
              <w:t>主管部门审批</w:t>
            </w:r>
            <w:r>
              <w:rPr>
                <w:kern w:val="0"/>
                <w:sz w:val="24"/>
              </w:rPr>
              <w:t>，</w:t>
            </w:r>
            <w:r>
              <w:rPr>
                <w:rFonts w:hint="eastAsia"/>
                <w:kern w:val="0"/>
                <w:sz w:val="24"/>
              </w:rPr>
              <w:t>以此</w:t>
            </w:r>
            <w:r>
              <w:rPr>
                <w:kern w:val="0"/>
                <w:sz w:val="24"/>
              </w:rPr>
              <w:t>为项目实施和管理提供参考依据。</w:t>
            </w:r>
          </w:p>
          <w:p w14:paraId="70FC6C6F">
            <w:pPr>
              <w:adjustRightInd w:val="0"/>
              <w:snapToGrid w:val="0"/>
              <w:spacing w:line="360" w:lineRule="auto"/>
              <w:ind w:firstLine="480" w:firstLineChars="200"/>
              <w:rPr>
                <w:bCs/>
                <w:sz w:val="24"/>
              </w:rPr>
            </w:pPr>
            <w:r>
              <w:rPr>
                <w:bCs/>
                <w:sz w:val="24"/>
              </w:rPr>
              <w:t>（3）项目概况</w:t>
            </w:r>
          </w:p>
          <w:p w14:paraId="04564C70">
            <w:pPr>
              <w:adjustRightInd w:val="0"/>
              <w:snapToGrid w:val="0"/>
              <w:spacing w:line="360" w:lineRule="auto"/>
              <w:ind w:firstLine="480" w:firstLineChars="200"/>
              <w:rPr>
                <w:rFonts w:hint="eastAsia" w:eastAsia="宋体"/>
                <w:sz w:val="24"/>
                <w:lang w:eastAsia="zh-CN"/>
              </w:rPr>
            </w:pPr>
            <w:r>
              <w:rPr>
                <w:bCs/>
                <w:sz w:val="24"/>
              </w:rPr>
              <w:t>项目名称：</w:t>
            </w:r>
            <w:r>
              <w:rPr>
                <w:rFonts w:hint="eastAsia" w:hAnsi="宋体"/>
                <w:bCs/>
                <w:color w:val="auto"/>
                <w:kern w:val="36"/>
                <w:sz w:val="24"/>
                <w:lang w:val="en-US" w:eastAsia="zh-CN"/>
              </w:rPr>
              <w:t>安徽柯翔网绳有限公司</w:t>
            </w:r>
            <w:r>
              <w:rPr>
                <w:rFonts w:hint="eastAsia" w:ascii="Times New Roman" w:hAnsi="Times New Roman" w:eastAsia="宋体" w:cs="Times New Roman"/>
                <w:kern w:val="0"/>
                <w:sz w:val="24"/>
                <w:lang w:val="en-US" w:eastAsia="zh-CN"/>
              </w:rPr>
              <w:t>年产1000吨秸秆捆草网项目</w:t>
            </w:r>
          </w:p>
          <w:p w14:paraId="18CD900E">
            <w:pPr>
              <w:adjustRightInd w:val="0"/>
              <w:snapToGrid w:val="0"/>
              <w:spacing w:line="360" w:lineRule="auto"/>
              <w:ind w:firstLine="480" w:firstLineChars="200"/>
              <w:rPr>
                <w:rFonts w:hint="eastAsia" w:eastAsia="宋体"/>
                <w:bCs/>
                <w:sz w:val="24"/>
                <w:lang w:eastAsia="zh-CN"/>
              </w:rPr>
            </w:pPr>
            <w:r>
              <w:rPr>
                <w:bCs/>
                <w:sz w:val="24"/>
              </w:rPr>
              <w:t>建设单位：</w:t>
            </w:r>
            <w:r>
              <w:rPr>
                <w:rFonts w:hint="eastAsia" w:hAnsi="宋体"/>
                <w:bCs/>
                <w:color w:val="auto"/>
                <w:kern w:val="36"/>
                <w:sz w:val="24"/>
                <w:lang w:val="en-US" w:eastAsia="zh-CN"/>
              </w:rPr>
              <w:t>安徽柯翔网绳有限公司</w:t>
            </w:r>
          </w:p>
          <w:p w14:paraId="4E03F13C">
            <w:pPr>
              <w:adjustRightInd w:val="0"/>
              <w:snapToGrid w:val="0"/>
              <w:spacing w:line="360" w:lineRule="auto"/>
              <w:ind w:firstLine="480" w:firstLineChars="200"/>
              <w:rPr>
                <w:rFonts w:hint="eastAsia"/>
                <w:bCs/>
                <w:sz w:val="24"/>
              </w:rPr>
            </w:pPr>
            <w:r>
              <w:rPr>
                <w:bCs/>
                <w:sz w:val="24"/>
              </w:rPr>
              <w:t>项目性质：</w:t>
            </w:r>
            <w:r>
              <w:rPr>
                <w:rFonts w:hint="eastAsia"/>
                <w:bCs/>
                <w:sz w:val="24"/>
              </w:rPr>
              <w:t>新建</w:t>
            </w:r>
          </w:p>
          <w:p w14:paraId="6FA5319B">
            <w:pPr>
              <w:adjustRightInd w:val="0"/>
              <w:snapToGrid w:val="0"/>
              <w:spacing w:line="360" w:lineRule="auto"/>
              <w:ind w:firstLine="480" w:firstLineChars="200"/>
              <w:rPr>
                <w:rFonts w:hint="eastAsia" w:eastAsia="宋体"/>
                <w:bCs/>
                <w:sz w:val="24"/>
                <w:lang w:eastAsia="zh-CN"/>
              </w:rPr>
            </w:pPr>
            <w:r>
              <w:rPr>
                <w:bCs/>
                <w:sz w:val="24"/>
              </w:rPr>
              <w:t>建设地点：</w:t>
            </w:r>
            <w:r>
              <w:rPr>
                <w:rFonts w:hint="eastAsia" w:hAnsi="宋体"/>
                <w:bCs/>
                <w:color w:val="auto"/>
                <w:kern w:val="36"/>
                <w:sz w:val="24"/>
                <w:lang w:val="en-US" w:eastAsia="zh-CN"/>
              </w:rPr>
              <w:t>安徽省宿州市桃园镇桃园村寨东组进矿路北侧</w:t>
            </w:r>
          </w:p>
          <w:p w14:paraId="3E37A274">
            <w:pPr>
              <w:adjustRightInd w:val="0"/>
              <w:snapToGrid w:val="0"/>
              <w:spacing w:line="360" w:lineRule="auto"/>
              <w:ind w:firstLine="480" w:firstLineChars="200"/>
              <w:rPr>
                <w:rFonts w:hint="eastAsia" w:eastAsia="宋体"/>
                <w:bCs/>
                <w:sz w:val="24"/>
                <w:lang w:val="en-US" w:eastAsia="zh-CN"/>
              </w:rPr>
            </w:pPr>
            <w:r>
              <w:rPr>
                <w:bCs/>
                <w:sz w:val="24"/>
              </w:rPr>
              <w:t>投资总额：</w:t>
            </w:r>
            <w:r>
              <w:rPr>
                <w:rFonts w:hint="eastAsia"/>
                <w:bCs/>
                <w:sz w:val="24"/>
                <w:lang w:val="en-US" w:eastAsia="zh-CN"/>
              </w:rPr>
              <w:t>16</w:t>
            </w:r>
            <w:r>
              <w:rPr>
                <w:rFonts w:hint="eastAsia"/>
                <w:bCs/>
                <w:sz w:val="24"/>
              </w:rPr>
              <w:t>00</w:t>
            </w:r>
            <w:r>
              <w:rPr>
                <w:bCs/>
                <w:sz w:val="24"/>
              </w:rPr>
              <w:t>万</w:t>
            </w:r>
            <w:r>
              <w:rPr>
                <w:sz w:val="24"/>
              </w:rPr>
              <w:t>元</w:t>
            </w:r>
            <w:r>
              <w:rPr>
                <w:rFonts w:hint="eastAsia"/>
                <w:color w:val="auto"/>
                <w:sz w:val="24"/>
              </w:rPr>
              <w:t>，</w:t>
            </w:r>
            <w:r>
              <w:rPr>
                <w:rFonts w:hint="eastAsia"/>
                <w:color w:val="auto"/>
                <w:sz w:val="24"/>
                <w:highlight w:val="none"/>
              </w:rPr>
              <w:t>其中环保投资</w:t>
            </w:r>
            <w:r>
              <w:rPr>
                <w:rFonts w:hint="eastAsia"/>
                <w:color w:val="auto"/>
                <w:sz w:val="24"/>
                <w:highlight w:val="none"/>
                <w:lang w:val="en-US" w:eastAsia="zh-CN"/>
              </w:rPr>
              <w:t>44</w:t>
            </w:r>
            <w:r>
              <w:rPr>
                <w:rFonts w:hint="eastAsia"/>
                <w:color w:val="auto"/>
                <w:sz w:val="24"/>
                <w:highlight w:val="none"/>
              </w:rPr>
              <w:t>万元</w:t>
            </w:r>
            <w:r>
              <w:rPr>
                <w:rFonts w:hint="eastAsia"/>
                <w:color w:val="auto"/>
                <w:sz w:val="24"/>
                <w:highlight w:val="none"/>
                <w:lang w:eastAsia="zh-CN"/>
              </w:rPr>
              <w:t>。</w:t>
            </w:r>
          </w:p>
          <w:p w14:paraId="6B2D5789">
            <w:pPr>
              <w:spacing w:line="360" w:lineRule="auto"/>
              <w:rPr>
                <w:rFonts w:hint="eastAsia"/>
                <w:color w:val="FF0000"/>
                <w:sz w:val="24"/>
                <w:lang w:val="en-US" w:eastAsia="zh-CN"/>
              </w:rPr>
            </w:pPr>
            <w:r>
              <w:rPr>
                <w:b/>
                <w:sz w:val="24"/>
              </w:rPr>
              <w:t>2、</w:t>
            </w:r>
            <w:r>
              <w:rPr>
                <w:rFonts w:hint="eastAsia"/>
                <w:b/>
                <w:sz w:val="24"/>
              </w:rPr>
              <w:t>本</w:t>
            </w:r>
            <w:r>
              <w:rPr>
                <w:b/>
                <w:sz w:val="24"/>
              </w:rPr>
              <w:t>项目建设内容</w:t>
            </w:r>
          </w:p>
          <w:p w14:paraId="06869C3B">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项目总建筑面积约6050平方米，包括厂房、门卫室及其他辅助用房，购置生产及辅助生产设备，配套必要给排水、供配电、环卫消防等附属工程。项目建成后预计年产1000吨秸秆捆草网。</w:t>
            </w:r>
          </w:p>
          <w:p w14:paraId="69DBBDBD">
            <w:pPr>
              <w:pStyle w:val="20"/>
              <w:spacing w:line="360" w:lineRule="auto"/>
              <w:ind w:left="0" w:leftChars="0" w:firstLine="480" w:firstLineChars="200"/>
            </w:pPr>
            <w:r>
              <w:t>本项目主要建设内容及工程组成见下表。</w:t>
            </w:r>
          </w:p>
          <w:p w14:paraId="5BE6FEB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jc w:val="center"/>
              <w:textAlignment w:val="auto"/>
              <w:rPr>
                <w:b/>
                <w:sz w:val="24"/>
              </w:rPr>
            </w:pPr>
            <w:r>
              <w:rPr>
                <w:b/>
                <w:sz w:val="24"/>
              </w:rPr>
              <w:t>建设项目主要建设内容及规模</w:t>
            </w:r>
          </w:p>
          <w:tbl>
            <w:tblPr>
              <w:tblStyle w:val="34"/>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668"/>
              <w:gridCol w:w="1267"/>
              <w:gridCol w:w="4569"/>
              <w:gridCol w:w="1197"/>
            </w:tblGrid>
            <w:tr w14:paraId="7CD3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96" w:type="dxa"/>
                  <w:noWrap w:val="0"/>
                  <w:vAlign w:val="center"/>
                </w:tcPr>
                <w:p w14:paraId="4727B888">
                  <w:pPr>
                    <w:ind w:left="-84" w:leftChars="-40" w:right="-84" w:rightChars="-40"/>
                    <w:jc w:val="center"/>
                    <w:rPr>
                      <w:bCs/>
                      <w:szCs w:val="21"/>
                    </w:rPr>
                  </w:pPr>
                  <w:r>
                    <w:rPr>
                      <w:bCs/>
                      <w:szCs w:val="21"/>
                    </w:rPr>
                    <w:t>工程名称</w:t>
                  </w:r>
                </w:p>
              </w:tc>
              <w:tc>
                <w:tcPr>
                  <w:tcW w:w="1935" w:type="dxa"/>
                  <w:gridSpan w:val="2"/>
                  <w:noWrap w:val="0"/>
                  <w:vAlign w:val="center"/>
                </w:tcPr>
                <w:p w14:paraId="02E778EF">
                  <w:pPr>
                    <w:ind w:left="-84" w:leftChars="-40" w:right="-84" w:rightChars="-40"/>
                    <w:jc w:val="center"/>
                    <w:rPr>
                      <w:bCs/>
                      <w:szCs w:val="21"/>
                    </w:rPr>
                  </w:pPr>
                  <w:r>
                    <w:rPr>
                      <w:bCs/>
                      <w:szCs w:val="21"/>
                    </w:rPr>
                    <w:t>单项工程名称</w:t>
                  </w:r>
                </w:p>
              </w:tc>
              <w:tc>
                <w:tcPr>
                  <w:tcW w:w="4569" w:type="dxa"/>
                  <w:noWrap w:val="0"/>
                  <w:vAlign w:val="center"/>
                </w:tcPr>
                <w:p w14:paraId="12250E1B">
                  <w:pPr>
                    <w:ind w:left="-84" w:leftChars="-40" w:right="-84" w:rightChars="-40"/>
                    <w:jc w:val="center"/>
                    <w:rPr>
                      <w:bCs/>
                      <w:szCs w:val="21"/>
                    </w:rPr>
                  </w:pPr>
                  <w:r>
                    <w:rPr>
                      <w:bCs/>
                      <w:szCs w:val="21"/>
                    </w:rPr>
                    <w:t>工程内容及规模</w:t>
                  </w:r>
                </w:p>
              </w:tc>
              <w:tc>
                <w:tcPr>
                  <w:tcW w:w="1197" w:type="dxa"/>
                  <w:noWrap w:val="0"/>
                  <w:vAlign w:val="center"/>
                </w:tcPr>
                <w:p w14:paraId="7FEAB3DC">
                  <w:pPr>
                    <w:ind w:left="-84" w:leftChars="-40" w:right="-84" w:rightChars="-40"/>
                    <w:jc w:val="center"/>
                    <w:rPr>
                      <w:bCs/>
                      <w:szCs w:val="21"/>
                    </w:rPr>
                  </w:pPr>
                  <w:r>
                    <w:rPr>
                      <w:bCs/>
                      <w:szCs w:val="21"/>
                    </w:rPr>
                    <w:t>备注</w:t>
                  </w:r>
                </w:p>
              </w:tc>
            </w:tr>
            <w:tr w14:paraId="45A5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96" w:type="dxa"/>
                  <w:noWrap w:val="0"/>
                  <w:vAlign w:val="center"/>
                </w:tcPr>
                <w:p w14:paraId="2ACE6858">
                  <w:pPr>
                    <w:ind w:left="-84" w:leftChars="-40" w:right="-84" w:rightChars="-40"/>
                    <w:jc w:val="center"/>
                    <w:rPr>
                      <w:bCs/>
                      <w:szCs w:val="21"/>
                    </w:rPr>
                  </w:pPr>
                  <w:r>
                    <w:rPr>
                      <w:bCs/>
                      <w:szCs w:val="21"/>
                    </w:rPr>
                    <w:t>主体工程</w:t>
                  </w:r>
                </w:p>
              </w:tc>
              <w:tc>
                <w:tcPr>
                  <w:tcW w:w="1935" w:type="dxa"/>
                  <w:gridSpan w:val="2"/>
                  <w:noWrap w:val="0"/>
                  <w:vAlign w:val="center"/>
                </w:tcPr>
                <w:p w14:paraId="5E1BC251">
                  <w:pPr>
                    <w:ind w:left="-84" w:leftChars="-40" w:right="-84" w:rightChars="-40"/>
                    <w:jc w:val="center"/>
                    <w:rPr>
                      <w:rFonts w:hint="default" w:eastAsia="宋体"/>
                      <w:bCs/>
                      <w:szCs w:val="21"/>
                      <w:highlight w:val="none"/>
                      <w:lang w:val="en-US" w:eastAsia="zh-CN"/>
                    </w:rPr>
                  </w:pPr>
                  <w:r>
                    <w:rPr>
                      <w:rFonts w:hint="eastAsia"/>
                      <w:bCs/>
                      <w:szCs w:val="21"/>
                      <w:highlight w:val="none"/>
                      <w:lang w:val="en-US" w:eastAsia="zh-CN"/>
                    </w:rPr>
                    <w:t>生产车间</w:t>
                  </w:r>
                </w:p>
              </w:tc>
              <w:tc>
                <w:tcPr>
                  <w:tcW w:w="4569" w:type="dxa"/>
                  <w:noWrap w:val="0"/>
                  <w:vAlign w:val="center"/>
                </w:tcPr>
                <w:p w14:paraId="630A7F8E">
                  <w:pPr>
                    <w:jc w:val="center"/>
                    <w:rPr>
                      <w:rFonts w:hint="default" w:eastAsia="宋体"/>
                      <w:color w:val="auto"/>
                      <w:highlight w:val="none"/>
                      <w:lang w:val="en-US" w:eastAsia="zh-CN"/>
                    </w:rPr>
                  </w:pPr>
                  <w:r>
                    <w:rPr>
                      <w:color w:val="auto"/>
                      <w:sz w:val="21"/>
                      <w:szCs w:val="21"/>
                      <w:highlight w:val="none"/>
                    </w:rPr>
                    <w:t>建设面积为</w:t>
                  </w:r>
                  <w:r>
                    <w:rPr>
                      <w:rFonts w:hint="eastAsia"/>
                      <w:color w:val="auto"/>
                      <w:sz w:val="21"/>
                      <w:szCs w:val="21"/>
                      <w:highlight w:val="none"/>
                      <w:lang w:val="en-US" w:eastAsia="zh-CN"/>
                    </w:rPr>
                    <w:t>6000</w:t>
                  </w:r>
                  <w:r>
                    <w:rPr>
                      <w:color w:val="auto"/>
                      <w:sz w:val="21"/>
                      <w:szCs w:val="21"/>
                      <w:highlight w:val="none"/>
                    </w:rPr>
                    <w:t>m</w:t>
                  </w:r>
                  <w:r>
                    <w:rPr>
                      <w:color w:val="auto"/>
                      <w:sz w:val="21"/>
                      <w:szCs w:val="21"/>
                      <w:highlight w:val="none"/>
                      <w:vertAlign w:val="superscript"/>
                    </w:rPr>
                    <w:t>2</w:t>
                  </w:r>
                  <w:r>
                    <w:rPr>
                      <w:color w:val="auto"/>
                      <w:sz w:val="21"/>
                      <w:szCs w:val="21"/>
                      <w:highlight w:val="none"/>
                    </w:rPr>
                    <w:t>，</w:t>
                  </w:r>
                  <w:r>
                    <w:rPr>
                      <w:bCs/>
                      <w:sz w:val="21"/>
                      <w:szCs w:val="21"/>
                      <w:highlight w:val="none"/>
                    </w:rPr>
                    <w:t>1#厂房</w:t>
                  </w:r>
                  <w:r>
                    <w:rPr>
                      <w:rFonts w:hint="eastAsia"/>
                      <w:bCs/>
                      <w:sz w:val="21"/>
                      <w:szCs w:val="21"/>
                      <w:highlight w:val="none"/>
                      <w:lang w:val="en-US" w:eastAsia="zh-CN"/>
                    </w:rPr>
                    <w:t>布设挤出机和绕卷机，进行挤出-拉丝-绕卷工序；2</w:t>
                  </w:r>
                  <w:r>
                    <w:rPr>
                      <w:bCs/>
                      <w:sz w:val="21"/>
                      <w:szCs w:val="21"/>
                      <w:highlight w:val="none"/>
                    </w:rPr>
                    <w:t>#厂房</w:t>
                  </w:r>
                  <w:r>
                    <w:rPr>
                      <w:rFonts w:hint="eastAsia"/>
                      <w:bCs/>
                      <w:sz w:val="21"/>
                      <w:szCs w:val="21"/>
                      <w:highlight w:val="none"/>
                      <w:lang w:val="en-US" w:eastAsia="zh-CN"/>
                    </w:rPr>
                    <w:t>布设织网机进行编织成网，</w:t>
                  </w:r>
                  <w:r>
                    <w:rPr>
                      <w:color w:val="auto"/>
                      <w:sz w:val="21"/>
                      <w:szCs w:val="21"/>
                      <w:highlight w:val="none"/>
                    </w:rPr>
                    <w:t>项目建成后能够实现</w:t>
                  </w:r>
                  <w:r>
                    <w:rPr>
                      <w:rFonts w:hint="eastAsia"/>
                      <w:color w:val="auto"/>
                      <w:sz w:val="21"/>
                      <w:szCs w:val="21"/>
                      <w:highlight w:val="none"/>
                    </w:rPr>
                    <w:t>年产</w:t>
                  </w:r>
                  <w:r>
                    <w:rPr>
                      <w:rFonts w:hint="eastAsia"/>
                      <w:color w:val="auto"/>
                      <w:sz w:val="21"/>
                      <w:szCs w:val="21"/>
                      <w:highlight w:val="none"/>
                      <w:lang w:val="en-US" w:eastAsia="zh-CN"/>
                    </w:rPr>
                    <w:t>1</w:t>
                  </w:r>
                  <w:r>
                    <w:rPr>
                      <w:rFonts w:hint="eastAsia" w:ascii="Times New Roman" w:hAnsi="Times New Roman" w:eastAsia="宋体" w:cs="Times New Roman"/>
                      <w:kern w:val="0"/>
                      <w:sz w:val="21"/>
                      <w:szCs w:val="21"/>
                      <w:highlight w:val="none"/>
                      <w:lang w:val="en-US" w:eastAsia="zh-CN"/>
                    </w:rPr>
                    <w:t>000吨秸秆捆草网。</w:t>
                  </w:r>
                </w:p>
              </w:tc>
              <w:tc>
                <w:tcPr>
                  <w:tcW w:w="1197" w:type="dxa"/>
                  <w:noWrap w:val="0"/>
                  <w:vAlign w:val="center"/>
                </w:tcPr>
                <w:p w14:paraId="67D5FBF9">
                  <w:pPr>
                    <w:ind w:left="-84" w:leftChars="-40" w:right="-84" w:rightChars="-40"/>
                    <w:jc w:val="center"/>
                    <w:rPr>
                      <w:rFonts w:hint="default" w:eastAsia="宋体"/>
                      <w:bCs/>
                      <w:sz w:val="21"/>
                      <w:szCs w:val="21"/>
                      <w:lang w:val="en-US" w:eastAsia="zh-CN"/>
                    </w:rPr>
                  </w:pPr>
                  <w:r>
                    <w:rPr>
                      <w:rFonts w:hint="eastAsia"/>
                      <w:bCs/>
                      <w:szCs w:val="21"/>
                      <w:lang w:val="en-US" w:eastAsia="zh-CN"/>
                    </w:rPr>
                    <w:t>已建成</w:t>
                  </w:r>
                </w:p>
              </w:tc>
            </w:tr>
            <w:tr w14:paraId="4D0F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dxa"/>
                  <w:vMerge w:val="restart"/>
                  <w:noWrap w:val="0"/>
                  <w:vAlign w:val="center"/>
                </w:tcPr>
                <w:p w14:paraId="1DE48696">
                  <w:pPr>
                    <w:ind w:left="-84" w:leftChars="-40" w:right="-84" w:rightChars="-40"/>
                    <w:jc w:val="center"/>
                    <w:rPr>
                      <w:bCs/>
                      <w:szCs w:val="21"/>
                    </w:rPr>
                  </w:pPr>
                  <w:r>
                    <w:rPr>
                      <w:bCs/>
                      <w:szCs w:val="21"/>
                    </w:rPr>
                    <w:t>贮运工程</w:t>
                  </w:r>
                </w:p>
              </w:tc>
              <w:tc>
                <w:tcPr>
                  <w:tcW w:w="1935" w:type="dxa"/>
                  <w:gridSpan w:val="2"/>
                  <w:noWrap w:val="0"/>
                  <w:vAlign w:val="center"/>
                </w:tcPr>
                <w:p w14:paraId="19A15186">
                  <w:pPr>
                    <w:ind w:left="-84" w:leftChars="-40" w:right="-84" w:rightChars="-40"/>
                    <w:jc w:val="center"/>
                    <w:rPr>
                      <w:rFonts w:hint="eastAsia"/>
                      <w:bCs/>
                      <w:szCs w:val="21"/>
                    </w:rPr>
                  </w:pPr>
                  <w:r>
                    <w:rPr>
                      <w:bCs/>
                      <w:szCs w:val="21"/>
                    </w:rPr>
                    <w:t>原料区</w:t>
                  </w:r>
                </w:p>
              </w:tc>
              <w:tc>
                <w:tcPr>
                  <w:tcW w:w="4569" w:type="dxa"/>
                  <w:shd w:val="clear" w:color="auto" w:fill="auto"/>
                  <w:noWrap w:val="0"/>
                  <w:vAlign w:val="center"/>
                </w:tcPr>
                <w:p w14:paraId="1ADC6D4B">
                  <w:pPr>
                    <w:ind w:left="-84" w:leftChars="-40" w:right="-84" w:rightChars="-40"/>
                    <w:jc w:val="center"/>
                    <w:rPr>
                      <w:rFonts w:ascii="Times New Roman" w:hAnsi="Times New Roman" w:eastAsia="宋体" w:cs="Times New Roman"/>
                      <w:bCs/>
                      <w:kern w:val="2"/>
                      <w:sz w:val="21"/>
                      <w:szCs w:val="21"/>
                      <w:highlight w:val="none"/>
                      <w:lang w:val="en-US" w:eastAsia="zh-CN" w:bidi="ar-SA"/>
                    </w:rPr>
                  </w:pPr>
                  <w:r>
                    <w:rPr>
                      <w:rFonts w:hint="eastAsia"/>
                      <w:bCs/>
                      <w:szCs w:val="21"/>
                      <w:highlight w:val="none"/>
                    </w:rPr>
                    <w:t>位于1#厂房内</w:t>
                  </w:r>
                  <w:r>
                    <w:rPr>
                      <w:rFonts w:hint="eastAsia"/>
                      <w:bCs/>
                      <w:szCs w:val="21"/>
                      <w:highlight w:val="none"/>
                      <w:lang w:val="en-US" w:eastAsia="zh-CN"/>
                    </w:rPr>
                    <w:t>西南侧，</w:t>
                  </w:r>
                  <w:r>
                    <w:rPr>
                      <w:rFonts w:hint="eastAsia"/>
                      <w:bCs/>
                      <w:szCs w:val="21"/>
                      <w:highlight w:val="none"/>
                    </w:rPr>
                    <w:t>用于存放</w:t>
                  </w:r>
                  <w:r>
                    <w:rPr>
                      <w:rFonts w:hint="eastAsia"/>
                      <w:bCs/>
                      <w:szCs w:val="21"/>
                      <w:highlight w:val="none"/>
                      <w:lang w:val="en-US" w:eastAsia="zh-CN"/>
                    </w:rPr>
                    <w:t>树脂</w:t>
                  </w:r>
                  <w:r>
                    <w:rPr>
                      <w:rFonts w:hint="eastAsia"/>
                      <w:bCs/>
                      <w:szCs w:val="21"/>
                      <w:highlight w:val="none"/>
                    </w:rPr>
                    <w:t>原料</w:t>
                  </w:r>
                </w:p>
              </w:tc>
              <w:tc>
                <w:tcPr>
                  <w:tcW w:w="1197" w:type="dxa"/>
                  <w:noWrap w:val="0"/>
                  <w:vAlign w:val="center"/>
                </w:tcPr>
                <w:p w14:paraId="5F261E69">
                  <w:pPr>
                    <w:ind w:left="-84" w:leftChars="-40" w:right="-84" w:rightChars="-40"/>
                    <w:jc w:val="center"/>
                    <w:rPr>
                      <w:rFonts w:hint="default"/>
                      <w:bCs/>
                      <w:szCs w:val="21"/>
                      <w:lang w:val="en-US"/>
                    </w:rPr>
                  </w:pPr>
                  <w:r>
                    <w:rPr>
                      <w:rFonts w:hint="eastAsia"/>
                      <w:bCs/>
                      <w:szCs w:val="21"/>
                      <w:lang w:val="en-US" w:eastAsia="zh-CN"/>
                    </w:rPr>
                    <w:t>已建成</w:t>
                  </w:r>
                </w:p>
              </w:tc>
            </w:tr>
            <w:tr w14:paraId="4B77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6" w:type="dxa"/>
                  <w:vMerge w:val="continue"/>
                  <w:noWrap w:val="0"/>
                  <w:vAlign w:val="center"/>
                </w:tcPr>
                <w:p w14:paraId="730021EE">
                  <w:pPr>
                    <w:ind w:left="-84" w:leftChars="-40" w:right="-84" w:rightChars="-40"/>
                    <w:jc w:val="center"/>
                    <w:rPr>
                      <w:bCs/>
                      <w:szCs w:val="21"/>
                    </w:rPr>
                  </w:pPr>
                </w:p>
              </w:tc>
              <w:tc>
                <w:tcPr>
                  <w:tcW w:w="1935" w:type="dxa"/>
                  <w:gridSpan w:val="2"/>
                  <w:noWrap w:val="0"/>
                  <w:vAlign w:val="center"/>
                </w:tcPr>
                <w:p w14:paraId="459685B2">
                  <w:pPr>
                    <w:ind w:left="-84" w:leftChars="-40" w:right="-84" w:rightChars="-40"/>
                    <w:jc w:val="center"/>
                    <w:rPr>
                      <w:rFonts w:hint="eastAsia"/>
                      <w:bCs/>
                      <w:szCs w:val="21"/>
                    </w:rPr>
                  </w:pPr>
                  <w:r>
                    <w:rPr>
                      <w:rFonts w:hint="eastAsia"/>
                      <w:bCs/>
                      <w:szCs w:val="21"/>
                    </w:rPr>
                    <w:t>成品区</w:t>
                  </w:r>
                </w:p>
              </w:tc>
              <w:tc>
                <w:tcPr>
                  <w:tcW w:w="4569" w:type="dxa"/>
                  <w:shd w:val="clear" w:color="auto" w:fill="auto"/>
                  <w:noWrap w:val="0"/>
                  <w:vAlign w:val="center"/>
                </w:tcPr>
                <w:p w14:paraId="37DAFB35">
                  <w:pPr>
                    <w:ind w:left="-84" w:leftChars="-40" w:right="-84" w:rightChars="-40"/>
                    <w:jc w:val="center"/>
                    <w:rPr>
                      <w:rFonts w:hint="default" w:ascii="Times New Roman" w:hAnsi="Times New Roman" w:eastAsia="宋体" w:cs="Times New Roman"/>
                      <w:bCs/>
                      <w:kern w:val="2"/>
                      <w:sz w:val="21"/>
                      <w:szCs w:val="21"/>
                      <w:highlight w:val="none"/>
                      <w:lang w:val="en-US" w:eastAsia="zh-CN" w:bidi="ar-SA"/>
                    </w:rPr>
                  </w:pPr>
                  <w:r>
                    <w:rPr>
                      <w:rFonts w:hint="eastAsia"/>
                      <w:bCs/>
                      <w:szCs w:val="21"/>
                      <w:highlight w:val="none"/>
                    </w:rPr>
                    <w:t>位于</w:t>
                  </w:r>
                  <w:r>
                    <w:rPr>
                      <w:rFonts w:hint="eastAsia"/>
                      <w:bCs/>
                      <w:szCs w:val="21"/>
                      <w:highlight w:val="none"/>
                      <w:lang w:val="en-US" w:eastAsia="zh-CN"/>
                    </w:rPr>
                    <w:t>2</w:t>
                  </w:r>
                  <w:r>
                    <w:rPr>
                      <w:rFonts w:hint="eastAsia"/>
                      <w:bCs/>
                      <w:szCs w:val="21"/>
                      <w:highlight w:val="none"/>
                    </w:rPr>
                    <w:t>#厂房内</w:t>
                  </w:r>
                  <w:r>
                    <w:rPr>
                      <w:rFonts w:hint="eastAsia"/>
                      <w:bCs/>
                      <w:szCs w:val="21"/>
                      <w:highlight w:val="none"/>
                      <w:lang w:val="en-US" w:eastAsia="zh-CN"/>
                    </w:rPr>
                    <w:t>西北</w:t>
                  </w:r>
                  <w:r>
                    <w:rPr>
                      <w:rFonts w:hint="eastAsia"/>
                      <w:bCs/>
                      <w:szCs w:val="21"/>
                      <w:highlight w:val="none"/>
                    </w:rPr>
                    <w:t>侧，用于存放成品</w:t>
                  </w:r>
                  <w:r>
                    <w:rPr>
                      <w:rFonts w:hint="eastAsia"/>
                      <w:bCs/>
                      <w:szCs w:val="21"/>
                      <w:highlight w:val="none"/>
                      <w:lang w:val="en-US" w:eastAsia="zh-CN"/>
                    </w:rPr>
                    <w:t>捆草网</w:t>
                  </w:r>
                </w:p>
              </w:tc>
              <w:tc>
                <w:tcPr>
                  <w:tcW w:w="1197" w:type="dxa"/>
                  <w:noWrap w:val="0"/>
                  <w:vAlign w:val="center"/>
                </w:tcPr>
                <w:p w14:paraId="2015A3BF">
                  <w:pPr>
                    <w:ind w:left="-84" w:leftChars="-40" w:right="-84" w:rightChars="-40"/>
                    <w:jc w:val="center"/>
                    <w:rPr>
                      <w:rFonts w:hint="eastAsia" w:eastAsia="宋体"/>
                      <w:bCs/>
                      <w:szCs w:val="21"/>
                      <w:lang w:val="en-US" w:eastAsia="zh-CN"/>
                    </w:rPr>
                  </w:pPr>
                  <w:r>
                    <w:rPr>
                      <w:rFonts w:hint="eastAsia"/>
                      <w:bCs/>
                      <w:szCs w:val="21"/>
                      <w:lang w:val="en-US" w:eastAsia="zh-CN"/>
                    </w:rPr>
                    <w:t>已建成</w:t>
                  </w:r>
                </w:p>
              </w:tc>
            </w:tr>
            <w:tr w14:paraId="409F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96" w:type="dxa"/>
                  <w:vMerge w:val="continue"/>
                  <w:noWrap w:val="0"/>
                  <w:vAlign w:val="center"/>
                </w:tcPr>
                <w:p w14:paraId="20F28E1D">
                  <w:pPr>
                    <w:ind w:left="-84" w:leftChars="-40" w:right="-84" w:rightChars="-40"/>
                    <w:jc w:val="center"/>
                    <w:rPr>
                      <w:bCs/>
                      <w:color w:val="FF0000"/>
                      <w:szCs w:val="21"/>
                    </w:rPr>
                  </w:pPr>
                </w:p>
              </w:tc>
              <w:tc>
                <w:tcPr>
                  <w:tcW w:w="1935" w:type="dxa"/>
                  <w:gridSpan w:val="2"/>
                  <w:noWrap w:val="0"/>
                  <w:vAlign w:val="center"/>
                </w:tcPr>
                <w:p w14:paraId="70F32EF1">
                  <w:pPr>
                    <w:ind w:left="-84" w:leftChars="-40" w:right="-84" w:rightChars="-40"/>
                    <w:jc w:val="center"/>
                    <w:rPr>
                      <w:bCs/>
                      <w:szCs w:val="21"/>
                    </w:rPr>
                  </w:pPr>
                  <w:r>
                    <w:rPr>
                      <w:bCs/>
                      <w:szCs w:val="21"/>
                    </w:rPr>
                    <w:t>厂外运输</w:t>
                  </w:r>
                </w:p>
              </w:tc>
              <w:tc>
                <w:tcPr>
                  <w:tcW w:w="4569" w:type="dxa"/>
                  <w:noWrap w:val="0"/>
                  <w:vAlign w:val="center"/>
                </w:tcPr>
                <w:p w14:paraId="225F4A42">
                  <w:pPr>
                    <w:ind w:left="-84" w:leftChars="-40" w:right="-84" w:rightChars="-40"/>
                    <w:jc w:val="center"/>
                    <w:rPr>
                      <w:bCs/>
                      <w:szCs w:val="21"/>
                    </w:rPr>
                  </w:pPr>
                  <w:r>
                    <w:rPr>
                      <w:bCs/>
                      <w:szCs w:val="21"/>
                    </w:rPr>
                    <w:t>主要依托社会运输力量</w:t>
                  </w:r>
                </w:p>
              </w:tc>
              <w:tc>
                <w:tcPr>
                  <w:tcW w:w="1197" w:type="dxa"/>
                  <w:noWrap w:val="0"/>
                  <w:vAlign w:val="center"/>
                </w:tcPr>
                <w:p w14:paraId="7BB6C381">
                  <w:pPr>
                    <w:ind w:left="-84" w:leftChars="-40" w:right="-84" w:rightChars="-40"/>
                    <w:jc w:val="center"/>
                    <w:rPr>
                      <w:rFonts w:hint="eastAsia" w:eastAsia="宋体"/>
                      <w:bCs/>
                      <w:szCs w:val="21"/>
                      <w:lang w:eastAsia="zh-CN"/>
                    </w:rPr>
                  </w:pPr>
                  <w:r>
                    <w:rPr>
                      <w:rFonts w:hint="eastAsia"/>
                      <w:bCs/>
                      <w:szCs w:val="21"/>
                      <w:lang w:val="en-US" w:eastAsia="zh-CN"/>
                    </w:rPr>
                    <w:t>/</w:t>
                  </w:r>
                </w:p>
              </w:tc>
            </w:tr>
            <w:tr w14:paraId="23EC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96" w:type="dxa"/>
                  <w:vMerge w:val="restart"/>
                  <w:noWrap w:val="0"/>
                  <w:vAlign w:val="center"/>
                </w:tcPr>
                <w:p w14:paraId="17DECE51">
                  <w:pPr>
                    <w:ind w:left="-84" w:leftChars="-40" w:right="-84" w:rightChars="-40"/>
                    <w:jc w:val="center"/>
                    <w:rPr>
                      <w:bCs/>
                      <w:szCs w:val="21"/>
                    </w:rPr>
                  </w:pPr>
                  <w:r>
                    <w:rPr>
                      <w:bCs/>
                      <w:szCs w:val="21"/>
                    </w:rPr>
                    <w:t>公用工程</w:t>
                  </w:r>
                </w:p>
              </w:tc>
              <w:tc>
                <w:tcPr>
                  <w:tcW w:w="1935" w:type="dxa"/>
                  <w:gridSpan w:val="2"/>
                  <w:noWrap w:val="0"/>
                  <w:vAlign w:val="center"/>
                </w:tcPr>
                <w:p w14:paraId="77D6387C">
                  <w:pPr>
                    <w:ind w:left="-84" w:leftChars="-40" w:right="-84" w:rightChars="-40"/>
                    <w:jc w:val="center"/>
                    <w:rPr>
                      <w:rFonts w:hint="eastAsia"/>
                      <w:bCs/>
                      <w:szCs w:val="21"/>
                    </w:rPr>
                  </w:pPr>
                  <w:r>
                    <w:rPr>
                      <w:bCs/>
                      <w:szCs w:val="21"/>
                    </w:rPr>
                    <w:t>供电</w:t>
                  </w:r>
                </w:p>
              </w:tc>
              <w:tc>
                <w:tcPr>
                  <w:tcW w:w="4569" w:type="dxa"/>
                  <w:noWrap w:val="0"/>
                  <w:vAlign w:val="center"/>
                </w:tcPr>
                <w:p w14:paraId="09EB24D1">
                  <w:pPr>
                    <w:bidi w:val="0"/>
                    <w:jc w:val="center"/>
                    <w:rPr>
                      <w:rFonts w:hint="eastAsia"/>
                    </w:rPr>
                  </w:pPr>
                  <w:r>
                    <w:rPr>
                      <w:rFonts w:hint="eastAsia"/>
                    </w:rPr>
                    <w:t>由</w:t>
                  </w:r>
                  <w:r>
                    <w:t>市政电网供电</w:t>
                  </w:r>
                </w:p>
              </w:tc>
              <w:tc>
                <w:tcPr>
                  <w:tcW w:w="1197" w:type="dxa"/>
                  <w:noWrap w:val="0"/>
                  <w:vAlign w:val="center"/>
                </w:tcPr>
                <w:p w14:paraId="794C1923">
                  <w:pPr>
                    <w:ind w:left="-84" w:leftChars="-40" w:right="-84" w:rightChars="-40"/>
                    <w:jc w:val="center"/>
                    <w:rPr>
                      <w:rFonts w:hint="default" w:eastAsia="宋体"/>
                      <w:bCs/>
                      <w:szCs w:val="21"/>
                      <w:lang w:val="en-US" w:eastAsia="zh-CN"/>
                    </w:rPr>
                  </w:pPr>
                  <w:r>
                    <w:rPr>
                      <w:rFonts w:hint="eastAsia"/>
                      <w:bCs/>
                      <w:szCs w:val="21"/>
                      <w:lang w:val="en-US" w:eastAsia="zh-CN"/>
                    </w:rPr>
                    <w:t>/</w:t>
                  </w:r>
                </w:p>
              </w:tc>
            </w:tr>
            <w:tr w14:paraId="693E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071B3CFD">
                  <w:pPr>
                    <w:ind w:left="-84" w:leftChars="-40" w:right="-84" w:rightChars="-40"/>
                    <w:jc w:val="center"/>
                    <w:rPr>
                      <w:bCs/>
                      <w:color w:val="FF0000"/>
                      <w:szCs w:val="21"/>
                    </w:rPr>
                  </w:pPr>
                </w:p>
              </w:tc>
              <w:tc>
                <w:tcPr>
                  <w:tcW w:w="1935" w:type="dxa"/>
                  <w:gridSpan w:val="2"/>
                  <w:noWrap w:val="0"/>
                  <w:vAlign w:val="center"/>
                </w:tcPr>
                <w:p w14:paraId="09D8FB2A">
                  <w:pPr>
                    <w:ind w:left="-84" w:leftChars="-40" w:right="-84" w:rightChars="-40"/>
                    <w:jc w:val="center"/>
                    <w:rPr>
                      <w:rFonts w:hint="eastAsia"/>
                      <w:bCs/>
                      <w:szCs w:val="21"/>
                    </w:rPr>
                  </w:pPr>
                  <w:r>
                    <w:rPr>
                      <w:bCs/>
                      <w:szCs w:val="21"/>
                    </w:rPr>
                    <w:t>供水</w:t>
                  </w:r>
                </w:p>
              </w:tc>
              <w:tc>
                <w:tcPr>
                  <w:tcW w:w="4569" w:type="dxa"/>
                  <w:noWrap w:val="0"/>
                  <w:vAlign w:val="center"/>
                </w:tcPr>
                <w:p w14:paraId="30727B4E">
                  <w:pPr>
                    <w:bidi w:val="0"/>
                    <w:jc w:val="center"/>
                    <w:rPr>
                      <w:rFonts w:hint="eastAsia"/>
                    </w:rPr>
                  </w:pPr>
                  <w:r>
                    <w:t>由自来水管网供给</w:t>
                  </w:r>
                </w:p>
              </w:tc>
              <w:tc>
                <w:tcPr>
                  <w:tcW w:w="1197" w:type="dxa"/>
                  <w:noWrap w:val="0"/>
                  <w:vAlign w:val="center"/>
                </w:tcPr>
                <w:p w14:paraId="7FBBC2E0">
                  <w:pPr>
                    <w:ind w:left="-84" w:leftChars="-40" w:right="-84" w:rightChars="-40"/>
                    <w:jc w:val="center"/>
                    <w:rPr>
                      <w:rFonts w:hint="eastAsia" w:eastAsia="宋体"/>
                      <w:bCs/>
                      <w:szCs w:val="21"/>
                      <w:lang w:val="en-US" w:eastAsia="zh-CN"/>
                    </w:rPr>
                  </w:pPr>
                  <w:r>
                    <w:rPr>
                      <w:rFonts w:hint="eastAsia"/>
                      <w:bCs/>
                      <w:szCs w:val="21"/>
                      <w:lang w:val="en-US" w:eastAsia="zh-CN"/>
                    </w:rPr>
                    <w:t>/</w:t>
                  </w:r>
                </w:p>
              </w:tc>
            </w:tr>
            <w:tr w14:paraId="685F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0C3AC377">
                  <w:pPr>
                    <w:ind w:left="-84" w:leftChars="-40" w:right="-84" w:rightChars="-40"/>
                    <w:jc w:val="center"/>
                    <w:rPr>
                      <w:bCs/>
                      <w:color w:val="FF0000"/>
                      <w:szCs w:val="21"/>
                    </w:rPr>
                  </w:pPr>
                </w:p>
              </w:tc>
              <w:tc>
                <w:tcPr>
                  <w:tcW w:w="1935" w:type="dxa"/>
                  <w:gridSpan w:val="2"/>
                  <w:noWrap w:val="0"/>
                  <w:vAlign w:val="center"/>
                </w:tcPr>
                <w:p w14:paraId="76C3D8D3">
                  <w:pPr>
                    <w:ind w:left="-84" w:leftChars="-40" w:right="-84" w:rightChars="-40"/>
                    <w:jc w:val="center"/>
                    <w:rPr>
                      <w:rFonts w:hint="eastAsia"/>
                      <w:bCs/>
                      <w:szCs w:val="21"/>
                    </w:rPr>
                  </w:pPr>
                  <w:r>
                    <w:rPr>
                      <w:bCs/>
                      <w:szCs w:val="21"/>
                    </w:rPr>
                    <w:t>排水</w:t>
                  </w:r>
                </w:p>
              </w:tc>
              <w:tc>
                <w:tcPr>
                  <w:tcW w:w="4569" w:type="dxa"/>
                  <w:noWrap w:val="0"/>
                  <w:vAlign w:val="center"/>
                </w:tcPr>
                <w:p w14:paraId="3DA8104C">
                  <w:pPr>
                    <w:bidi w:val="0"/>
                    <w:jc w:val="center"/>
                    <w:rPr>
                      <w:rFonts w:hint="default" w:eastAsia="宋体"/>
                      <w:lang w:val="en-US" w:eastAsia="zh-CN"/>
                    </w:rPr>
                  </w:pPr>
                  <w:r>
                    <w:rPr>
                      <w:color w:val="auto"/>
                      <w:szCs w:val="21"/>
                    </w:rPr>
                    <w:t>雨水进入区域雨水管网；</w:t>
                  </w:r>
                  <w:r>
                    <w:rPr>
                      <w:rFonts w:hint="eastAsia"/>
                      <w:color w:val="auto"/>
                      <w:szCs w:val="21"/>
                      <w:lang w:val="en-US" w:eastAsia="zh-CN"/>
                    </w:rPr>
                    <w:t>项目无外排废水</w:t>
                  </w:r>
                </w:p>
              </w:tc>
              <w:tc>
                <w:tcPr>
                  <w:tcW w:w="1197" w:type="dxa"/>
                  <w:noWrap w:val="0"/>
                  <w:vAlign w:val="center"/>
                </w:tcPr>
                <w:p w14:paraId="26FDF344">
                  <w:pPr>
                    <w:ind w:left="-84" w:leftChars="-40" w:right="-84" w:rightChars="-40"/>
                    <w:jc w:val="center"/>
                    <w:rPr>
                      <w:rFonts w:hint="eastAsia" w:eastAsia="宋体"/>
                      <w:bCs/>
                      <w:szCs w:val="21"/>
                      <w:lang w:val="en-US" w:eastAsia="zh-CN"/>
                    </w:rPr>
                  </w:pPr>
                  <w:r>
                    <w:rPr>
                      <w:rFonts w:hint="eastAsia"/>
                      <w:bCs/>
                      <w:szCs w:val="21"/>
                      <w:lang w:val="en-US" w:eastAsia="zh-CN"/>
                    </w:rPr>
                    <w:t>/</w:t>
                  </w:r>
                </w:p>
              </w:tc>
            </w:tr>
            <w:tr w14:paraId="5970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restart"/>
                  <w:noWrap w:val="0"/>
                  <w:vAlign w:val="center"/>
                </w:tcPr>
                <w:p w14:paraId="44E390E3">
                  <w:pPr>
                    <w:ind w:left="-84" w:leftChars="-40" w:right="-84" w:rightChars="-40"/>
                    <w:jc w:val="center"/>
                    <w:rPr>
                      <w:bCs/>
                      <w:szCs w:val="21"/>
                    </w:rPr>
                  </w:pPr>
                  <w:r>
                    <w:rPr>
                      <w:bCs/>
                      <w:szCs w:val="21"/>
                    </w:rPr>
                    <w:t>环保工程</w:t>
                  </w:r>
                </w:p>
              </w:tc>
              <w:tc>
                <w:tcPr>
                  <w:tcW w:w="1935" w:type="dxa"/>
                  <w:gridSpan w:val="2"/>
                  <w:noWrap w:val="0"/>
                  <w:vAlign w:val="center"/>
                </w:tcPr>
                <w:p w14:paraId="15A560D0">
                  <w:pPr>
                    <w:ind w:left="-84" w:leftChars="-40" w:right="-84" w:rightChars="-40"/>
                    <w:jc w:val="center"/>
                    <w:rPr>
                      <w:bCs/>
                      <w:color w:val="auto"/>
                      <w:szCs w:val="21"/>
                    </w:rPr>
                  </w:pPr>
                  <w:r>
                    <w:rPr>
                      <w:bCs/>
                      <w:color w:val="auto"/>
                      <w:szCs w:val="21"/>
                    </w:rPr>
                    <w:t>废水处理</w:t>
                  </w:r>
                </w:p>
              </w:tc>
              <w:tc>
                <w:tcPr>
                  <w:tcW w:w="4569" w:type="dxa"/>
                  <w:noWrap w:val="0"/>
                  <w:vAlign w:val="center"/>
                </w:tcPr>
                <w:p w14:paraId="5905B47F">
                  <w:pPr>
                    <w:bidi w:val="0"/>
                    <w:jc w:val="center"/>
                    <w:rPr>
                      <w:rFonts w:hint="eastAsia" w:eastAsia="宋体"/>
                      <w:color w:val="auto"/>
                      <w:lang w:val="en-US" w:eastAsia="zh-CN"/>
                    </w:rPr>
                  </w:pPr>
                  <w:r>
                    <w:rPr>
                      <w:sz w:val="21"/>
                      <w:szCs w:val="21"/>
                    </w:rPr>
                    <w:t>生活污水经化粪池预处理后</w:t>
                  </w:r>
                  <w:r>
                    <w:rPr>
                      <w:rFonts w:hint="eastAsia"/>
                      <w:sz w:val="21"/>
                      <w:szCs w:val="21"/>
                      <w:lang w:val="en-US" w:eastAsia="zh-CN"/>
                    </w:rPr>
                    <w:t>交委托环卫部门清运处置</w:t>
                  </w:r>
                </w:p>
              </w:tc>
              <w:tc>
                <w:tcPr>
                  <w:tcW w:w="1197" w:type="dxa"/>
                  <w:noWrap w:val="0"/>
                  <w:vAlign w:val="center"/>
                </w:tcPr>
                <w:p w14:paraId="74D38521">
                  <w:pPr>
                    <w:ind w:left="-84" w:leftChars="-40" w:right="-84" w:rightChars="-40"/>
                    <w:jc w:val="center"/>
                    <w:rPr>
                      <w:rFonts w:hint="eastAsia"/>
                      <w:bCs/>
                      <w:color w:val="auto"/>
                      <w:szCs w:val="21"/>
                    </w:rPr>
                  </w:pPr>
                  <w:r>
                    <w:rPr>
                      <w:rFonts w:hint="eastAsia"/>
                      <w:bCs/>
                      <w:color w:val="auto"/>
                      <w:szCs w:val="21"/>
                      <w:lang w:val="en-US" w:eastAsia="zh-CN"/>
                    </w:rPr>
                    <w:t>新建</w:t>
                  </w:r>
                </w:p>
              </w:tc>
            </w:tr>
            <w:tr w14:paraId="279A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96" w:type="dxa"/>
                  <w:vMerge w:val="continue"/>
                  <w:noWrap w:val="0"/>
                  <w:vAlign w:val="center"/>
                </w:tcPr>
                <w:p w14:paraId="245D7578">
                  <w:pPr>
                    <w:ind w:left="-84" w:leftChars="-40" w:right="-84" w:rightChars="-40"/>
                    <w:jc w:val="center"/>
                    <w:rPr>
                      <w:bCs/>
                      <w:color w:val="FF0000"/>
                      <w:szCs w:val="21"/>
                    </w:rPr>
                  </w:pPr>
                </w:p>
              </w:tc>
              <w:tc>
                <w:tcPr>
                  <w:tcW w:w="668" w:type="dxa"/>
                  <w:noWrap w:val="0"/>
                  <w:vAlign w:val="center"/>
                </w:tcPr>
                <w:p w14:paraId="313CAF01">
                  <w:pPr>
                    <w:ind w:left="-84" w:leftChars="-40" w:right="-84" w:rightChars="-40"/>
                    <w:jc w:val="center"/>
                    <w:rPr>
                      <w:rFonts w:hint="eastAsia"/>
                      <w:bCs/>
                      <w:szCs w:val="21"/>
                    </w:rPr>
                  </w:pPr>
                  <w:r>
                    <w:rPr>
                      <w:bCs/>
                      <w:szCs w:val="21"/>
                    </w:rPr>
                    <w:t>废气治理</w:t>
                  </w:r>
                </w:p>
              </w:tc>
              <w:tc>
                <w:tcPr>
                  <w:tcW w:w="1267" w:type="dxa"/>
                  <w:noWrap w:val="0"/>
                  <w:vAlign w:val="center"/>
                </w:tcPr>
                <w:p w14:paraId="0148D991">
                  <w:pPr>
                    <w:ind w:left="-84" w:leftChars="-40" w:right="-84" w:rightChars="-40"/>
                    <w:jc w:val="center"/>
                    <w:rPr>
                      <w:rFonts w:hint="eastAsia"/>
                      <w:bCs/>
                      <w:szCs w:val="21"/>
                    </w:rPr>
                  </w:pPr>
                  <w:r>
                    <w:rPr>
                      <w:rFonts w:hint="eastAsia"/>
                      <w:bCs/>
                      <w:sz w:val="21"/>
                      <w:szCs w:val="21"/>
                      <w:lang w:val="en-US" w:eastAsia="zh-CN"/>
                    </w:rPr>
                    <w:t>熔融挤出过程</w:t>
                  </w:r>
                  <w:r>
                    <w:rPr>
                      <w:rFonts w:hint="eastAsia"/>
                      <w:bCs/>
                      <w:sz w:val="21"/>
                      <w:szCs w:val="21"/>
                    </w:rPr>
                    <w:t>废气</w:t>
                  </w:r>
                </w:p>
              </w:tc>
              <w:tc>
                <w:tcPr>
                  <w:tcW w:w="4569" w:type="dxa"/>
                  <w:noWrap w:val="0"/>
                  <w:vAlign w:val="center"/>
                </w:tcPr>
                <w:p w14:paraId="7C3A37DD">
                  <w:pPr>
                    <w:bidi w:val="0"/>
                    <w:jc w:val="center"/>
                    <w:rPr>
                      <w:sz w:val="21"/>
                      <w:szCs w:val="21"/>
                    </w:rPr>
                  </w:pPr>
                  <w:r>
                    <w:rPr>
                      <w:rFonts w:hint="eastAsia"/>
                      <w:bCs/>
                      <w:sz w:val="21"/>
                      <w:szCs w:val="21"/>
                      <w:lang w:val="en-US" w:eastAsia="zh-CN"/>
                    </w:rPr>
                    <w:t>熔融挤出过程</w:t>
                  </w:r>
                  <w:r>
                    <w:rPr>
                      <w:rFonts w:hint="eastAsia"/>
                      <w:bCs/>
                      <w:sz w:val="21"/>
                      <w:szCs w:val="21"/>
                    </w:rPr>
                    <w:t>废气</w:t>
                  </w:r>
                  <w:r>
                    <w:rPr>
                      <w:rFonts w:hint="eastAsia"/>
                      <w:bCs/>
                      <w:sz w:val="21"/>
                      <w:szCs w:val="21"/>
                      <w:lang w:val="en-US" w:eastAsia="zh-CN"/>
                    </w:rPr>
                    <w:t>经挤出机上方集气罩收集</w:t>
                  </w:r>
                  <w:r>
                    <w:rPr>
                      <w:rFonts w:hint="eastAsia"/>
                      <w:sz w:val="21"/>
                      <w:szCs w:val="21"/>
                    </w:rPr>
                    <w:t>，</w:t>
                  </w:r>
                  <w:r>
                    <w:rPr>
                      <w:rFonts w:hint="eastAsia"/>
                      <w:sz w:val="21"/>
                      <w:szCs w:val="21"/>
                      <w:lang w:val="en-US" w:eastAsia="zh-CN"/>
                    </w:rPr>
                    <w:t>废气</w:t>
                  </w:r>
                  <w:r>
                    <w:rPr>
                      <w:rFonts w:hint="eastAsia"/>
                      <w:sz w:val="21"/>
                      <w:szCs w:val="21"/>
                    </w:rPr>
                    <w:t>汇入</w:t>
                  </w:r>
                  <w:r>
                    <w:rPr>
                      <w:bCs/>
                      <w:sz w:val="21"/>
                      <w:szCs w:val="21"/>
                    </w:rPr>
                    <w:t>二级活性炭吸附装置进行处理</w:t>
                  </w:r>
                  <w:r>
                    <w:rPr>
                      <w:rFonts w:hint="eastAsia"/>
                      <w:sz w:val="21"/>
                      <w:szCs w:val="21"/>
                    </w:rPr>
                    <w:t>，处理后通过一根15m高DA001排气筒排放</w:t>
                  </w:r>
                </w:p>
              </w:tc>
              <w:tc>
                <w:tcPr>
                  <w:tcW w:w="1197" w:type="dxa"/>
                  <w:noWrap w:val="0"/>
                  <w:vAlign w:val="center"/>
                </w:tcPr>
                <w:p w14:paraId="4305C6FC">
                  <w:pPr>
                    <w:ind w:left="-84" w:leftChars="-40" w:right="-84" w:rightChars="-40"/>
                    <w:jc w:val="center"/>
                    <w:rPr>
                      <w:rFonts w:hint="eastAsia" w:ascii="宋体" w:hAnsi="宋体" w:cs="宋体"/>
                      <w:szCs w:val="21"/>
                    </w:rPr>
                  </w:pPr>
                  <w:r>
                    <w:rPr>
                      <w:rFonts w:hint="eastAsia" w:ascii="宋体" w:hAnsi="宋体" w:cs="宋体"/>
                      <w:szCs w:val="21"/>
                    </w:rPr>
                    <w:t>新建</w:t>
                  </w:r>
                </w:p>
              </w:tc>
            </w:tr>
            <w:tr w14:paraId="3FBB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452541D1">
                  <w:pPr>
                    <w:ind w:left="-84" w:leftChars="-40" w:right="-84" w:rightChars="-40"/>
                    <w:jc w:val="center"/>
                    <w:rPr>
                      <w:bCs/>
                      <w:color w:val="FF0000"/>
                      <w:szCs w:val="21"/>
                    </w:rPr>
                  </w:pPr>
                </w:p>
              </w:tc>
              <w:tc>
                <w:tcPr>
                  <w:tcW w:w="1935" w:type="dxa"/>
                  <w:gridSpan w:val="2"/>
                  <w:vMerge w:val="restart"/>
                  <w:noWrap w:val="0"/>
                  <w:vAlign w:val="center"/>
                </w:tcPr>
                <w:p w14:paraId="4C5FAE36">
                  <w:pPr>
                    <w:ind w:left="-84" w:leftChars="-40" w:right="-84" w:rightChars="-40"/>
                    <w:jc w:val="center"/>
                    <w:rPr>
                      <w:rFonts w:hint="eastAsia"/>
                      <w:bCs/>
                      <w:color w:val="auto"/>
                      <w:szCs w:val="21"/>
                    </w:rPr>
                  </w:pPr>
                  <w:r>
                    <w:rPr>
                      <w:bCs/>
                      <w:color w:val="auto"/>
                      <w:szCs w:val="21"/>
                    </w:rPr>
                    <w:t>固废处理</w:t>
                  </w:r>
                </w:p>
              </w:tc>
              <w:tc>
                <w:tcPr>
                  <w:tcW w:w="4569" w:type="dxa"/>
                  <w:noWrap w:val="0"/>
                  <w:vAlign w:val="center"/>
                </w:tcPr>
                <w:p w14:paraId="6F39848B">
                  <w:pPr>
                    <w:ind w:left="-84" w:leftChars="-40" w:right="-84" w:rightChars="-40"/>
                    <w:jc w:val="center"/>
                    <w:rPr>
                      <w:bCs/>
                      <w:color w:val="auto"/>
                      <w:szCs w:val="21"/>
                    </w:rPr>
                  </w:pPr>
                  <w:r>
                    <w:rPr>
                      <w:color w:val="auto"/>
                    </w:rPr>
                    <w:t>生活垃圾经袋装或桶装分类收集后，委托环卫部门统一处理</w:t>
                  </w:r>
                </w:p>
              </w:tc>
              <w:tc>
                <w:tcPr>
                  <w:tcW w:w="1197" w:type="dxa"/>
                  <w:noWrap w:val="0"/>
                  <w:vAlign w:val="center"/>
                </w:tcPr>
                <w:p w14:paraId="4D046AE1">
                  <w:pPr>
                    <w:ind w:left="-84" w:leftChars="-40" w:right="-84" w:rightChars="-40"/>
                    <w:jc w:val="center"/>
                    <w:rPr>
                      <w:rFonts w:hint="eastAsia"/>
                      <w:bCs/>
                      <w:szCs w:val="21"/>
                    </w:rPr>
                  </w:pPr>
                  <w:r>
                    <w:rPr>
                      <w:rFonts w:hint="eastAsia"/>
                      <w:bCs/>
                      <w:szCs w:val="21"/>
                    </w:rPr>
                    <w:t>新建</w:t>
                  </w:r>
                </w:p>
              </w:tc>
            </w:tr>
            <w:tr w14:paraId="4F56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7F8CB715">
                  <w:pPr>
                    <w:ind w:left="-84" w:leftChars="-40" w:right="-84" w:rightChars="-40"/>
                    <w:jc w:val="center"/>
                    <w:rPr>
                      <w:bCs/>
                      <w:color w:val="FF0000"/>
                      <w:szCs w:val="21"/>
                    </w:rPr>
                  </w:pPr>
                </w:p>
              </w:tc>
              <w:tc>
                <w:tcPr>
                  <w:tcW w:w="1935" w:type="dxa"/>
                  <w:gridSpan w:val="2"/>
                  <w:vMerge w:val="continue"/>
                  <w:noWrap w:val="0"/>
                  <w:vAlign w:val="center"/>
                </w:tcPr>
                <w:p w14:paraId="62C650A5">
                  <w:pPr>
                    <w:ind w:left="-84" w:leftChars="-40" w:right="-84" w:rightChars="-40"/>
                    <w:jc w:val="center"/>
                    <w:rPr>
                      <w:bCs/>
                      <w:color w:val="auto"/>
                      <w:szCs w:val="21"/>
                    </w:rPr>
                  </w:pPr>
                </w:p>
              </w:tc>
              <w:tc>
                <w:tcPr>
                  <w:tcW w:w="4569" w:type="dxa"/>
                  <w:noWrap w:val="0"/>
                  <w:vAlign w:val="center"/>
                </w:tcPr>
                <w:p w14:paraId="60451928">
                  <w:pPr>
                    <w:snapToGrid w:val="0"/>
                    <w:ind w:left="-84" w:leftChars="-40" w:right="-84" w:rightChars="-40"/>
                    <w:jc w:val="center"/>
                    <w:rPr>
                      <w:rFonts w:hint="eastAsia"/>
                      <w:bCs/>
                      <w:color w:val="auto"/>
                      <w:szCs w:val="21"/>
                    </w:rPr>
                  </w:pPr>
                  <w:r>
                    <w:rPr>
                      <w:rFonts w:hint="eastAsia"/>
                      <w:color w:val="auto"/>
                      <w:lang w:val="en-US" w:eastAsia="zh-CN"/>
                    </w:rPr>
                    <w:t>废包装材料、熔融残渣、边角料、不合格品</w:t>
                  </w:r>
                  <w:r>
                    <w:rPr>
                      <w:rFonts w:hint="eastAsia"/>
                      <w:color w:val="auto"/>
                    </w:rPr>
                    <w:t>分类收集后外售综合利用</w:t>
                  </w:r>
                </w:p>
              </w:tc>
              <w:tc>
                <w:tcPr>
                  <w:tcW w:w="1197" w:type="dxa"/>
                  <w:noWrap w:val="0"/>
                  <w:vAlign w:val="center"/>
                </w:tcPr>
                <w:p w14:paraId="6958E312">
                  <w:pPr>
                    <w:ind w:left="-84" w:leftChars="-40" w:right="-84" w:rightChars="-40"/>
                    <w:jc w:val="center"/>
                    <w:rPr>
                      <w:rFonts w:hint="eastAsia"/>
                      <w:bCs/>
                      <w:color w:val="FF0000"/>
                      <w:szCs w:val="21"/>
                    </w:rPr>
                  </w:pPr>
                  <w:r>
                    <w:rPr>
                      <w:rFonts w:hint="eastAsia"/>
                      <w:bCs/>
                      <w:szCs w:val="21"/>
                    </w:rPr>
                    <w:t>新建</w:t>
                  </w:r>
                </w:p>
              </w:tc>
            </w:tr>
            <w:tr w14:paraId="6528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094D45FE">
                  <w:pPr>
                    <w:ind w:left="-84" w:leftChars="-40" w:right="-84" w:rightChars="-40"/>
                    <w:jc w:val="center"/>
                    <w:rPr>
                      <w:bCs/>
                      <w:color w:val="FF0000"/>
                      <w:szCs w:val="21"/>
                    </w:rPr>
                  </w:pPr>
                </w:p>
              </w:tc>
              <w:tc>
                <w:tcPr>
                  <w:tcW w:w="1935" w:type="dxa"/>
                  <w:gridSpan w:val="2"/>
                  <w:vMerge w:val="continue"/>
                  <w:noWrap w:val="0"/>
                  <w:vAlign w:val="center"/>
                </w:tcPr>
                <w:p w14:paraId="66E566A7">
                  <w:pPr>
                    <w:ind w:left="-84" w:leftChars="-40" w:right="-84" w:rightChars="-40"/>
                    <w:jc w:val="center"/>
                    <w:rPr>
                      <w:bCs/>
                      <w:color w:val="auto"/>
                      <w:szCs w:val="21"/>
                    </w:rPr>
                  </w:pPr>
                </w:p>
              </w:tc>
              <w:tc>
                <w:tcPr>
                  <w:tcW w:w="4569" w:type="dxa"/>
                  <w:noWrap w:val="0"/>
                  <w:vAlign w:val="center"/>
                </w:tcPr>
                <w:p w14:paraId="5C478677">
                  <w:pPr>
                    <w:bidi w:val="0"/>
                    <w:jc w:val="center"/>
                    <w:rPr>
                      <w:rFonts w:hint="eastAsia"/>
                    </w:rPr>
                  </w:pPr>
                  <w:r>
                    <w:rPr>
                      <w:rFonts w:hint="eastAsia"/>
                      <w:lang w:val="en-US" w:eastAsia="zh-CN"/>
                    </w:rPr>
                    <w:t>2</w:t>
                  </w:r>
                  <w:r>
                    <w:t>#厂房</w:t>
                  </w:r>
                  <w:r>
                    <w:rPr>
                      <w:rFonts w:hint="eastAsia"/>
                      <w:lang w:val="en-US" w:eastAsia="zh-CN"/>
                    </w:rPr>
                    <w:t>外南</w:t>
                  </w:r>
                  <w:r>
                    <w:rPr>
                      <w:rFonts w:hint="eastAsia"/>
                      <w:lang w:eastAsia="zh-CN"/>
                    </w:rPr>
                    <w:t>侧</w:t>
                  </w:r>
                  <w:r>
                    <w:t>危废暂存间约</w:t>
                  </w:r>
                  <w:r>
                    <w:rPr>
                      <w:rFonts w:hint="eastAsia"/>
                      <w:lang w:val="en-US" w:eastAsia="zh-CN"/>
                    </w:rPr>
                    <w:t>15</w:t>
                  </w:r>
                  <w:r>
                    <w:t>m</w:t>
                  </w:r>
                  <w:r>
                    <w:rPr>
                      <w:sz w:val="21"/>
                      <w:vertAlign w:val="superscript"/>
                    </w:rPr>
                    <w:t>2</w:t>
                  </w:r>
                  <w:r>
                    <w:t>，</w:t>
                  </w:r>
                  <w:r>
                    <w:rPr>
                      <w:rFonts w:hint="eastAsia"/>
                      <w:lang w:val="en-US" w:eastAsia="zh-CN"/>
                    </w:rPr>
                    <w:t>废活性炭</w:t>
                  </w:r>
                  <w:r>
                    <w:rPr>
                      <w:rFonts w:hint="eastAsia"/>
                    </w:rPr>
                    <w:t>、废机油等</w:t>
                  </w:r>
                  <w:r>
                    <w:t>危险废物</w:t>
                  </w:r>
                  <w:r>
                    <w:rPr>
                      <w:rFonts w:hint="eastAsia"/>
                    </w:rPr>
                    <w:t>在厂区暂存后</w:t>
                  </w:r>
                  <w:r>
                    <w:t>委托有危废资质</w:t>
                  </w:r>
                  <w:r>
                    <w:rPr>
                      <w:rFonts w:hint="eastAsia"/>
                    </w:rPr>
                    <w:t>的</w:t>
                  </w:r>
                  <w:r>
                    <w:t>公司</w:t>
                  </w:r>
                  <w:r>
                    <w:rPr>
                      <w:rFonts w:hint="eastAsia"/>
                    </w:rPr>
                    <w:t>妥善处理</w:t>
                  </w:r>
                </w:p>
              </w:tc>
              <w:tc>
                <w:tcPr>
                  <w:tcW w:w="1197" w:type="dxa"/>
                  <w:noWrap w:val="0"/>
                  <w:vAlign w:val="center"/>
                </w:tcPr>
                <w:p w14:paraId="1A013DE4">
                  <w:pPr>
                    <w:ind w:left="-84" w:leftChars="-40" w:right="-84" w:rightChars="-40"/>
                    <w:jc w:val="center"/>
                    <w:rPr>
                      <w:rFonts w:hint="eastAsia"/>
                      <w:bCs/>
                      <w:szCs w:val="21"/>
                    </w:rPr>
                  </w:pPr>
                  <w:r>
                    <w:rPr>
                      <w:rFonts w:hint="eastAsia"/>
                      <w:bCs/>
                      <w:szCs w:val="21"/>
                    </w:rPr>
                    <w:t>新建</w:t>
                  </w:r>
                </w:p>
              </w:tc>
            </w:tr>
            <w:tr w14:paraId="0BEA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6B60933E">
                  <w:pPr>
                    <w:ind w:left="-84" w:leftChars="-40" w:right="-84" w:rightChars="-40"/>
                    <w:jc w:val="center"/>
                    <w:rPr>
                      <w:bCs/>
                      <w:color w:val="FF0000"/>
                      <w:szCs w:val="21"/>
                    </w:rPr>
                  </w:pPr>
                </w:p>
              </w:tc>
              <w:tc>
                <w:tcPr>
                  <w:tcW w:w="1935" w:type="dxa"/>
                  <w:gridSpan w:val="2"/>
                  <w:noWrap w:val="0"/>
                  <w:vAlign w:val="center"/>
                </w:tcPr>
                <w:p w14:paraId="539BCE51">
                  <w:pPr>
                    <w:ind w:left="-84" w:leftChars="-40" w:right="-84" w:rightChars="-40"/>
                    <w:jc w:val="center"/>
                    <w:rPr>
                      <w:rFonts w:hint="eastAsia"/>
                      <w:bCs/>
                      <w:szCs w:val="21"/>
                    </w:rPr>
                  </w:pPr>
                  <w:r>
                    <w:rPr>
                      <w:bCs/>
                      <w:szCs w:val="21"/>
                    </w:rPr>
                    <w:t>噪声治理</w:t>
                  </w:r>
                </w:p>
              </w:tc>
              <w:tc>
                <w:tcPr>
                  <w:tcW w:w="4569" w:type="dxa"/>
                  <w:noWrap w:val="0"/>
                  <w:vAlign w:val="center"/>
                </w:tcPr>
                <w:p w14:paraId="63BCC378">
                  <w:pPr>
                    <w:bidi w:val="0"/>
                    <w:jc w:val="center"/>
                    <w:rPr>
                      <w:rFonts w:hint="eastAsia"/>
                    </w:rPr>
                  </w:pPr>
                  <w:r>
                    <w:t>机械噪声通过合理布局、隔声、降噪、减振处理</w:t>
                  </w:r>
                </w:p>
              </w:tc>
              <w:tc>
                <w:tcPr>
                  <w:tcW w:w="1197" w:type="dxa"/>
                  <w:noWrap w:val="0"/>
                  <w:vAlign w:val="center"/>
                </w:tcPr>
                <w:p w14:paraId="6B19E412">
                  <w:pPr>
                    <w:ind w:left="-84" w:leftChars="-40" w:right="-84" w:rightChars="-40"/>
                    <w:jc w:val="center"/>
                    <w:rPr>
                      <w:rFonts w:hint="eastAsia"/>
                      <w:bCs/>
                      <w:szCs w:val="21"/>
                    </w:rPr>
                  </w:pPr>
                  <w:r>
                    <w:rPr>
                      <w:rFonts w:hint="eastAsia"/>
                      <w:bCs/>
                      <w:szCs w:val="21"/>
                    </w:rPr>
                    <w:t>新建</w:t>
                  </w:r>
                </w:p>
              </w:tc>
            </w:tr>
            <w:tr w14:paraId="5932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6" w:type="dxa"/>
                  <w:vMerge w:val="continue"/>
                  <w:noWrap w:val="0"/>
                  <w:vAlign w:val="center"/>
                </w:tcPr>
                <w:p w14:paraId="219091D4">
                  <w:pPr>
                    <w:ind w:left="-84" w:leftChars="-40" w:right="-84" w:rightChars="-40"/>
                    <w:jc w:val="center"/>
                    <w:rPr>
                      <w:bCs/>
                      <w:color w:val="FF0000"/>
                      <w:szCs w:val="21"/>
                    </w:rPr>
                  </w:pPr>
                </w:p>
              </w:tc>
              <w:tc>
                <w:tcPr>
                  <w:tcW w:w="1935" w:type="dxa"/>
                  <w:gridSpan w:val="2"/>
                  <w:noWrap w:val="0"/>
                  <w:vAlign w:val="center"/>
                </w:tcPr>
                <w:p w14:paraId="7EF76C8A">
                  <w:pPr>
                    <w:ind w:left="-84" w:leftChars="-40" w:right="-84" w:rightChars="-40"/>
                    <w:jc w:val="center"/>
                    <w:rPr>
                      <w:rFonts w:hint="eastAsia"/>
                      <w:bCs/>
                      <w:szCs w:val="21"/>
                    </w:rPr>
                  </w:pPr>
                  <w:r>
                    <w:rPr>
                      <w:szCs w:val="21"/>
                    </w:rPr>
                    <w:t>地下水污染防治</w:t>
                  </w:r>
                </w:p>
              </w:tc>
              <w:tc>
                <w:tcPr>
                  <w:tcW w:w="4569" w:type="dxa"/>
                  <w:noWrap w:val="0"/>
                  <w:vAlign w:val="center"/>
                </w:tcPr>
                <w:p w14:paraId="54BFC676">
                  <w:pPr>
                    <w:ind w:left="-84" w:leftChars="-40" w:right="-84" w:rightChars="-40"/>
                    <w:jc w:val="center"/>
                    <w:rPr>
                      <w:rFonts w:hint="eastAsia"/>
                      <w:bCs/>
                      <w:szCs w:val="21"/>
                    </w:rPr>
                  </w:pPr>
                  <w:r>
                    <w:rPr>
                      <w:rFonts w:hint="eastAsia"/>
                      <w:bCs/>
                      <w:szCs w:val="21"/>
                    </w:rPr>
                    <w:t>危废</w:t>
                  </w:r>
                  <w:r>
                    <w:rPr>
                      <w:rFonts w:hint="eastAsia"/>
                      <w:bCs/>
                      <w:szCs w:val="21"/>
                      <w:lang w:val="en-US" w:eastAsia="zh-CN"/>
                    </w:rPr>
                    <w:t>间、化粪池</w:t>
                  </w:r>
                  <w:r>
                    <w:rPr>
                      <w:rFonts w:hint="eastAsia"/>
                      <w:bCs/>
                      <w:szCs w:val="21"/>
                    </w:rPr>
                    <w:t>等进行重点防渗；</w:t>
                  </w:r>
                  <w:r>
                    <w:rPr>
                      <w:rFonts w:hint="eastAsia"/>
                      <w:bCs/>
                      <w:szCs w:val="21"/>
                      <w:lang w:val="en-US" w:eastAsia="zh-CN"/>
                    </w:rPr>
                    <w:t>其他厂区生产区域</w:t>
                  </w:r>
                  <w:r>
                    <w:rPr>
                      <w:rFonts w:hint="eastAsia"/>
                      <w:bCs/>
                      <w:szCs w:val="21"/>
                    </w:rPr>
                    <w:t>进行一般防渗</w:t>
                  </w:r>
                  <w:r>
                    <w:rPr>
                      <w:rFonts w:hint="eastAsia"/>
                      <w:bCs/>
                      <w:szCs w:val="21"/>
                      <w:lang w:eastAsia="zh-CN"/>
                    </w:rPr>
                    <w:t>，</w:t>
                  </w:r>
                  <w:r>
                    <w:rPr>
                      <w:rFonts w:hint="eastAsia"/>
                      <w:bCs/>
                      <w:szCs w:val="21"/>
                      <w:lang w:val="en-US" w:eastAsia="zh-CN"/>
                    </w:rPr>
                    <w:t>办公区域和厂区道路进行简单防渗</w:t>
                  </w:r>
                </w:p>
              </w:tc>
              <w:tc>
                <w:tcPr>
                  <w:tcW w:w="1197" w:type="dxa"/>
                  <w:noWrap w:val="0"/>
                  <w:vAlign w:val="center"/>
                </w:tcPr>
                <w:p w14:paraId="0980AF08">
                  <w:pPr>
                    <w:ind w:left="-84" w:leftChars="-40" w:right="-84" w:rightChars="-40"/>
                    <w:jc w:val="center"/>
                    <w:rPr>
                      <w:rFonts w:hint="eastAsia"/>
                      <w:bCs/>
                      <w:szCs w:val="21"/>
                    </w:rPr>
                  </w:pPr>
                  <w:r>
                    <w:rPr>
                      <w:rFonts w:hint="eastAsia"/>
                      <w:bCs/>
                      <w:szCs w:val="21"/>
                    </w:rPr>
                    <w:t>新建</w:t>
                  </w:r>
                </w:p>
              </w:tc>
            </w:tr>
            <w:tr w14:paraId="3B3A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96" w:type="dxa"/>
                  <w:vMerge w:val="continue"/>
                  <w:noWrap w:val="0"/>
                  <w:vAlign w:val="center"/>
                </w:tcPr>
                <w:p w14:paraId="04A6F0A3">
                  <w:pPr>
                    <w:ind w:left="-84" w:leftChars="-40" w:right="-84" w:rightChars="-40"/>
                    <w:jc w:val="center"/>
                    <w:rPr>
                      <w:bCs/>
                      <w:color w:val="FF0000"/>
                      <w:szCs w:val="21"/>
                    </w:rPr>
                  </w:pPr>
                </w:p>
              </w:tc>
              <w:tc>
                <w:tcPr>
                  <w:tcW w:w="1935" w:type="dxa"/>
                  <w:gridSpan w:val="2"/>
                  <w:noWrap w:val="0"/>
                  <w:vAlign w:val="center"/>
                </w:tcPr>
                <w:p w14:paraId="35B03F75">
                  <w:pPr>
                    <w:ind w:left="-84" w:leftChars="-40" w:right="-84" w:rightChars="-40"/>
                    <w:jc w:val="center"/>
                    <w:rPr>
                      <w:rFonts w:hint="eastAsia"/>
                      <w:bCs/>
                      <w:szCs w:val="21"/>
                    </w:rPr>
                  </w:pPr>
                  <w:r>
                    <w:rPr>
                      <w:rFonts w:hint="eastAsia"/>
                      <w:bCs/>
                      <w:szCs w:val="21"/>
                    </w:rPr>
                    <w:t>风险防范</w:t>
                  </w:r>
                </w:p>
              </w:tc>
              <w:tc>
                <w:tcPr>
                  <w:tcW w:w="4569" w:type="dxa"/>
                  <w:noWrap w:val="0"/>
                  <w:vAlign w:val="center"/>
                </w:tcPr>
                <w:p w14:paraId="1DA64906">
                  <w:pPr>
                    <w:ind w:left="-84" w:leftChars="-40" w:right="-84" w:rightChars="-40"/>
                    <w:jc w:val="center"/>
                    <w:rPr>
                      <w:rFonts w:hint="eastAsia"/>
                      <w:bCs/>
                      <w:szCs w:val="21"/>
                    </w:rPr>
                  </w:pPr>
                  <w:r>
                    <w:rPr>
                      <w:rFonts w:hint="eastAsia"/>
                      <w:bCs/>
                      <w:szCs w:val="21"/>
                    </w:rPr>
                    <w:t>分区防渗，设置消防系统，加强环保设施巡查及危废管理</w:t>
                  </w:r>
                </w:p>
              </w:tc>
              <w:tc>
                <w:tcPr>
                  <w:tcW w:w="1197" w:type="dxa"/>
                  <w:noWrap w:val="0"/>
                  <w:vAlign w:val="center"/>
                </w:tcPr>
                <w:p w14:paraId="29B8025E">
                  <w:pPr>
                    <w:ind w:left="-84" w:leftChars="-40" w:right="-84" w:rightChars="-40"/>
                    <w:jc w:val="center"/>
                    <w:rPr>
                      <w:rFonts w:hint="eastAsia"/>
                      <w:bCs/>
                      <w:szCs w:val="21"/>
                    </w:rPr>
                  </w:pPr>
                  <w:r>
                    <w:rPr>
                      <w:rFonts w:hint="eastAsia"/>
                      <w:bCs/>
                      <w:szCs w:val="21"/>
                    </w:rPr>
                    <w:t>新建</w:t>
                  </w:r>
                </w:p>
              </w:tc>
            </w:tr>
          </w:tbl>
          <w:p w14:paraId="3F06075E">
            <w:pPr>
              <w:spacing w:line="360" w:lineRule="auto"/>
              <w:rPr>
                <w:sz w:val="24"/>
              </w:rPr>
            </w:pPr>
            <w:r>
              <w:rPr>
                <w:b/>
                <w:iCs/>
                <w:sz w:val="24"/>
              </w:rPr>
              <w:t>3、产品方案</w:t>
            </w:r>
          </w:p>
          <w:p w14:paraId="29E705EF">
            <w:pPr>
              <w:spacing w:line="360" w:lineRule="auto"/>
              <w:ind w:right="27" w:rightChars="13" w:firstLine="480" w:firstLineChars="200"/>
              <w:rPr>
                <w:rFonts w:hint="eastAsia"/>
                <w:b/>
                <w:sz w:val="24"/>
                <w:lang w:val="en-US" w:eastAsia="zh-CN"/>
              </w:rPr>
            </w:pPr>
            <w:bookmarkStart w:id="1" w:name="_Hlk106010732"/>
            <w:r>
              <w:rPr>
                <w:rFonts w:hint="eastAsia"/>
                <w:sz w:val="24"/>
              </w:rPr>
              <w:t>本项目</w:t>
            </w:r>
            <w:r>
              <w:rPr>
                <w:sz w:val="24"/>
              </w:rPr>
              <w:t>产品方案如下。</w:t>
            </w:r>
          </w:p>
          <w:p w14:paraId="4B87F4A7">
            <w:pPr>
              <w:numPr>
                <w:ilvl w:val="0"/>
                <w:numId w:val="7"/>
              </w:numPr>
              <w:spacing w:line="360" w:lineRule="auto"/>
              <w:ind w:left="0" w:leftChars="0" w:firstLine="0" w:firstLineChars="0"/>
              <w:jc w:val="center"/>
              <w:rPr>
                <w:b/>
                <w:sz w:val="24"/>
              </w:rPr>
            </w:pPr>
            <w:r>
              <w:rPr>
                <w:rFonts w:hint="eastAsia"/>
                <w:b/>
                <w:sz w:val="24"/>
              </w:rPr>
              <w:t>本</w:t>
            </w:r>
            <w:r>
              <w:rPr>
                <w:b/>
                <w:sz w:val="24"/>
              </w:rPr>
              <w:t>项目产品方案一览表</w:t>
            </w:r>
          </w:p>
          <w:bookmarkEnd w:id="1"/>
          <w:tbl>
            <w:tblPr>
              <w:tblStyle w:val="34"/>
              <w:tblW w:w="8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2039"/>
              <w:gridCol w:w="1989"/>
              <w:gridCol w:w="2531"/>
            </w:tblGrid>
            <w:tr w14:paraId="369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tcBorders>
                    <w:top w:val="single" w:color="auto" w:sz="4" w:space="0"/>
                    <w:left w:val="single" w:color="auto" w:sz="4" w:space="0"/>
                    <w:bottom w:val="single" w:color="auto" w:sz="4" w:space="0"/>
                    <w:right w:val="single" w:color="auto" w:sz="4" w:space="0"/>
                  </w:tcBorders>
                  <w:noWrap w:val="0"/>
                  <w:vAlign w:val="center"/>
                </w:tcPr>
                <w:p w14:paraId="787C94E8">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szCs w:val="21"/>
                    </w:rPr>
                  </w:pPr>
                  <w:r>
                    <w:rPr>
                      <w:rFonts w:ascii="Times New Roman" w:hAnsi="Times New Roman"/>
                      <w:szCs w:val="21"/>
                      <w:lang w:bidi="ar"/>
                    </w:rPr>
                    <w:t>序号</w:t>
                  </w:r>
                </w:p>
              </w:tc>
              <w:tc>
                <w:tcPr>
                  <w:tcW w:w="2039" w:type="dxa"/>
                  <w:tcBorders>
                    <w:top w:val="single" w:color="auto" w:sz="4" w:space="0"/>
                    <w:left w:val="single" w:color="auto" w:sz="4" w:space="0"/>
                    <w:bottom w:val="single" w:color="auto" w:sz="4" w:space="0"/>
                    <w:right w:val="single" w:color="auto" w:sz="4" w:space="0"/>
                  </w:tcBorders>
                  <w:noWrap w:val="0"/>
                  <w:vAlign w:val="center"/>
                </w:tcPr>
                <w:p w14:paraId="7FBE223D">
                  <w:pPr>
                    <w:keepNext w:val="0"/>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szCs w:val="21"/>
                    </w:rPr>
                  </w:pPr>
                  <w:r>
                    <w:rPr>
                      <w:rFonts w:ascii="Times New Roman" w:hAnsi="Times New Roman"/>
                      <w:szCs w:val="21"/>
                      <w:lang w:bidi="ar"/>
                    </w:rPr>
                    <w:t>产品名称</w:t>
                  </w:r>
                </w:p>
              </w:tc>
              <w:tc>
                <w:tcPr>
                  <w:tcW w:w="1989" w:type="dxa"/>
                  <w:tcBorders>
                    <w:top w:val="single" w:color="auto" w:sz="4" w:space="0"/>
                    <w:left w:val="single" w:color="auto" w:sz="4" w:space="0"/>
                    <w:bottom w:val="single" w:color="auto" w:sz="4" w:space="0"/>
                    <w:right w:val="single" w:color="auto" w:sz="4" w:space="0"/>
                  </w:tcBorders>
                  <w:noWrap w:val="0"/>
                  <w:vAlign w:val="center"/>
                </w:tcPr>
                <w:p w14:paraId="111DEE7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szCs w:val="21"/>
                      <w:lang w:val="en-US" w:eastAsia="zh-CN"/>
                    </w:rPr>
                  </w:pPr>
                  <w:r>
                    <w:rPr>
                      <w:rFonts w:ascii="Times New Roman" w:hAnsi="Times New Roman"/>
                      <w:szCs w:val="21"/>
                      <w:lang w:bidi="ar"/>
                    </w:rPr>
                    <w:t>年产量</w:t>
                  </w:r>
                </w:p>
              </w:tc>
              <w:tc>
                <w:tcPr>
                  <w:tcW w:w="2531" w:type="dxa"/>
                  <w:tcBorders>
                    <w:top w:val="single" w:color="auto" w:sz="4" w:space="0"/>
                    <w:left w:val="single" w:color="auto" w:sz="4" w:space="0"/>
                    <w:bottom w:val="single" w:color="auto" w:sz="4" w:space="0"/>
                    <w:right w:val="single" w:color="auto" w:sz="4" w:space="0"/>
                  </w:tcBorders>
                  <w:noWrap w:val="0"/>
                  <w:vAlign w:val="center"/>
                </w:tcPr>
                <w:p w14:paraId="65F9987F">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szCs w:val="21"/>
                      <w:lang w:val="en-US" w:eastAsia="zh-CN" w:bidi="ar"/>
                    </w:rPr>
                  </w:pPr>
                  <w:r>
                    <w:rPr>
                      <w:rFonts w:hint="eastAsia"/>
                      <w:szCs w:val="21"/>
                      <w:lang w:val="en-US" w:eastAsia="zh-CN" w:bidi="ar"/>
                    </w:rPr>
                    <w:t>产品用途</w:t>
                  </w:r>
                </w:p>
              </w:tc>
            </w:tr>
            <w:tr w14:paraId="61A8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3" w:type="dxa"/>
                  <w:tcBorders>
                    <w:top w:val="single" w:color="auto" w:sz="4" w:space="0"/>
                    <w:left w:val="single" w:color="auto" w:sz="4" w:space="0"/>
                    <w:bottom w:val="single" w:color="auto" w:sz="4" w:space="0"/>
                    <w:right w:val="single" w:color="auto" w:sz="4" w:space="0"/>
                  </w:tcBorders>
                  <w:noWrap w:val="0"/>
                  <w:vAlign w:val="center"/>
                </w:tcPr>
                <w:p w14:paraId="1B1B308B">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imes New Roman" w:hAnsi="Times New Roman" w:eastAsia="宋体"/>
                      <w:szCs w:val="21"/>
                      <w:lang w:val="en-US" w:eastAsia="zh-CN"/>
                    </w:rPr>
                  </w:pPr>
                  <w:r>
                    <w:rPr>
                      <w:rFonts w:hint="eastAsia"/>
                      <w:szCs w:val="21"/>
                      <w:lang w:val="en-US" w:eastAsia="zh-CN"/>
                    </w:rPr>
                    <w:t>1</w:t>
                  </w:r>
                </w:p>
              </w:tc>
              <w:tc>
                <w:tcPr>
                  <w:tcW w:w="2039" w:type="dxa"/>
                  <w:tcBorders>
                    <w:top w:val="single" w:color="auto" w:sz="4" w:space="0"/>
                    <w:left w:val="single" w:color="auto" w:sz="4" w:space="0"/>
                    <w:bottom w:val="single" w:color="auto" w:sz="4" w:space="0"/>
                    <w:right w:val="single" w:color="auto" w:sz="4" w:space="0"/>
                  </w:tcBorders>
                  <w:noWrap w:val="0"/>
                  <w:vAlign w:val="center"/>
                </w:tcPr>
                <w:p w14:paraId="3801B916">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szCs w:val="21"/>
                      <w:lang w:val="en-US" w:eastAsia="zh-CN" w:bidi="ar"/>
                    </w:rPr>
                  </w:pPr>
                  <w:r>
                    <w:rPr>
                      <w:rFonts w:hint="eastAsia"/>
                      <w:szCs w:val="21"/>
                      <w:lang w:val="en-US" w:eastAsia="zh-CN" w:bidi="ar"/>
                    </w:rPr>
                    <w:t>捆草网</w:t>
                  </w:r>
                </w:p>
              </w:tc>
              <w:tc>
                <w:tcPr>
                  <w:tcW w:w="1989" w:type="dxa"/>
                  <w:tcBorders>
                    <w:top w:val="single" w:color="auto" w:sz="4" w:space="0"/>
                    <w:left w:val="single" w:color="auto" w:sz="4" w:space="0"/>
                    <w:bottom w:val="single" w:color="auto" w:sz="4" w:space="0"/>
                    <w:right w:val="single" w:color="auto" w:sz="4" w:space="0"/>
                  </w:tcBorders>
                  <w:noWrap w:val="0"/>
                  <w:vAlign w:val="center"/>
                </w:tcPr>
                <w:p w14:paraId="20DEB24B">
                  <w:pPr>
                    <w:keepNext w:val="0"/>
                    <w:keepLines w:val="0"/>
                    <w:pageBreakBefore w:val="0"/>
                    <w:widowControl w:val="0"/>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1000吨</w:t>
                  </w:r>
                </w:p>
              </w:tc>
              <w:tc>
                <w:tcPr>
                  <w:tcW w:w="2531" w:type="dxa"/>
                  <w:tcBorders>
                    <w:top w:val="single" w:color="auto" w:sz="4" w:space="0"/>
                    <w:left w:val="single" w:color="auto" w:sz="4" w:space="0"/>
                    <w:right w:val="single" w:color="auto" w:sz="4" w:space="0"/>
                  </w:tcBorders>
                  <w:noWrap w:val="0"/>
                  <w:vAlign w:val="center"/>
                </w:tcPr>
                <w:p w14:paraId="2CFEFA5F">
                  <w:pPr>
                    <w:keepNext w:val="0"/>
                    <w:keepLines w:val="0"/>
                    <w:pageBreakBefore w:val="0"/>
                    <w:widowControl w:val="0"/>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用于捆绑秸秆、牧草</w:t>
                  </w:r>
                </w:p>
              </w:tc>
            </w:tr>
          </w:tbl>
          <w:p w14:paraId="7946BEEE">
            <w:pPr>
              <w:spacing w:line="360" w:lineRule="auto"/>
              <w:rPr>
                <w:b/>
                <w:iCs/>
                <w:sz w:val="24"/>
              </w:rPr>
            </w:pPr>
            <w:r>
              <w:rPr>
                <w:b/>
                <w:iCs/>
                <w:sz w:val="24"/>
              </w:rPr>
              <w:t>4、原辅材料及能源消耗</w:t>
            </w:r>
          </w:p>
          <w:p w14:paraId="36073E19">
            <w:pPr>
              <w:spacing w:line="360" w:lineRule="auto"/>
              <w:ind w:firstLine="480" w:firstLineChars="200"/>
              <w:rPr>
                <w:sz w:val="24"/>
              </w:rPr>
            </w:pPr>
            <w:r>
              <w:rPr>
                <w:rFonts w:hint="eastAsia"/>
                <w:sz w:val="24"/>
              </w:rPr>
              <w:t>本项目</w:t>
            </w:r>
            <w:r>
              <w:rPr>
                <w:sz w:val="24"/>
              </w:rPr>
              <w:t>原辅材料及能源消耗情况见下表：</w:t>
            </w:r>
          </w:p>
          <w:p w14:paraId="70BA237D">
            <w:pPr>
              <w:numPr>
                <w:ilvl w:val="0"/>
                <w:numId w:val="7"/>
              </w:numPr>
              <w:spacing w:line="360" w:lineRule="auto"/>
              <w:ind w:left="0" w:leftChars="0" w:firstLine="0" w:firstLineChars="0"/>
              <w:jc w:val="center"/>
              <w:rPr>
                <w:b/>
                <w:sz w:val="24"/>
              </w:rPr>
            </w:pPr>
            <w:r>
              <w:rPr>
                <w:rFonts w:hint="eastAsia"/>
                <w:b/>
                <w:sz w:val="24"/>
              </w:rPr>
              <w:t>本项目</w:t>
            </w:r>
            <w:r>
              <w:rPr>
                <w:b/>
                <w:sz w:val="24"/>
              </w:rPr>
              <w:t>主要原辅材料及能耗情况表</w:t>
            </w:r>
          </w:p>
          <w:tbl>
            <w:tblPr>
              <w:tblStyle w:val="34"/>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409"/>
              <w:gridCol w:w="1755"/>
              <w:gridCol w:w="1185"/>
              <w:gridCol w:w="617"/>
              <w:gridCol w:w="1408"/>
            </w:tblGrid>
            <w:tr w14:paraId="6DBB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23" w:type="pct"/>
                  <w:noWrap w:val="0"/>
                  <w:vAlign w:val="center"/>
                </w:tcPr>
                <w:p w14:paraId="6ACF48B4">
                  <w:pPr>
                    <w:wordWrap w:val="0"/>
                    <w:jc w:val="center"/>
                    <w:rPr>
                      <w:bCs/>
                      <w:kern w:val="0"/>
                      <w:szCs w:val="21"/>
                    </w:rPr>
                  </w:pPr>
                  <w:r>
                    <w:rPr>
                      <w:bCs/>
                      <w:kern w:val="0"/>
                      <w:szCs w:val="21"/>
                    </w:rPr>
                    <w:t>序号</w:t>
                  </w:r>
                </w:p>
              </w:tc>
              <w:tc>
                <w:tcPr>
                  <w:tcW w:w="1429" w:type="pct"/>
                  <w:noWrap w:val="0"/>
                  <w:vAlign w:val="center"/>
                </w:tcPr>
                <w:p w14:paraId="2DC4F94B">
                  <w:pPr>
                    <w:wordWrap w:val="0"/>
                    <w:jc w:val="center"/>
                    <w:rPr>
                      <w:bCs/>
                      <w:kern w:val="0"/>
                      <w:szCs w:val="21"/>
                    </w:rPr>
                  </w:pPr>
                  <w:r>
                    <w:rPr>
                      <w:bCs/>
                      <w:kern w:val="0"/>
                      <w:szCs w:val="21"/>
                    </w:rPr>
                    <w:t>名称</w:t>
                  </w:r>
                </w:p>
              </w:tc>
              <w:tc>
                <w:tcPr>
                  <w:tcW w:w="1041" w:type="pct"/>
                  <w:noWrap w:val="0"/>
                  <w:vAlign w:val="center"/>
                </w:tcPr>
                <w:p w14:paraId="3B6606FB">
                  <w:pPr>
                    <w:widowControl/>
                    <w:wordWrap w:val="0"/>
                    <w:jc w:val="center"/>
                    <w:textAlignment w:val="center"/>
                    <w:rPr>
                      <w:rFonts w:hint="default" w:ascii="宋体" w:hAnsi="宋体" w:eastAsia="宋体" w:cs="宋体"/>
                      <w:szCs w:val="21"/>
                      <w:lang w:val="en-US" w:eastAsia="zh-CN"/>
                    </w:rPr>
                  </w:pPr>
                  <w:r>
                    <w:rPr>
                      <w:rFonts w:hint="eastAsia" w:ascii="宋体" w:hAnsi="宋体" w:cs="宋体"/>
                      <w:szCs w:val="21"/>
                    </w:rPr>
                    <w:t>年耗量</w:t>
                  </w:r>
                  <w:r>
                    <w:rPr>
                      <w:rFonts w:hint="eastAsia" w:ascii="宋体" w:hAnsi="宋体" w:cs="宋体"/>
                      <w:szCs w:val="21"/>
                      <w:lang w:val="en-US" w:eastAsia="zh-CN"/>
                    </w:rPr>
                    <w:t>/t</w:t>
                  </w:r>
                </w:p>
              </w:tc>
              <w:tc>
                <w:tcPr>
                  <w:tcW w:w="703" w:type="pct"/>
                  <w:noWrap w:val="0"/>
                  <w:vAlign w:val="center"/>
                </w:tcPr>
                <w:p w14:paraId="73D44365">
                  <w:pPr>
                    <w:widowControl/>
                    <w:wordWrap w:val="0"/>
                    <w:jc w:val="center"/>
                    <w:textAlignment w:val="center"/>
                    <w:rPr>
                      <w:rFonts w:ascii="宋体" w:hAnsi="宋体" w:cs="宋体"/>
                      <w:szCs w:val="21"/>
                    </w:rPr>
                  </w:pPr>
                  <w:r>
                    <w:rPr>
                      <w:rFonts w:hint="eastAsia"/>
                      <w:bCs/>
                      <w:color w:val="auto"/>
                      <w:kern w:val="0"/>
                      <w:szCs w:val="21"/>
                      <w:lang w:eastAsia="zh-CN"/>
                    </w:rPr>
                    <w:t>贮存方式</w:t>
                  </w:r>
                </w:p>
              </w:tc>
              <w:tc>
                <w:tcPr>
                  <w:tcW w:w="366" w:type="pct"/>
                  <w:noWrap w:val="0"/>
                  <w:vAlign w:val="center"/>
                </w:tcPr>
                <w:p w14:paraId="4DB55F8E">
                  <w:pPr>
                    <w:widowControl/>
                    <w:wordWrap w:val="0"/>
                    <w:jc w:val="center"/>
                    <w:textAlignment w:val="center"/>
                    <w:rPr>
                      <w:rFonts w:hint="default"/>
                      <w:bCs/>
                      <w:color w:val="auto"/>
                      <w:kern w:val="0"/>
                      <w:szCs w:val="21"/>
                      <w:lang w:val="en-US" w:eastAsia="zh-CN"/>
                    </w:rPr>
                  </w:pPr>
                  <w:r>
                    <w:rPr>
                      <w:rFonts w:hint="eastAsia"/>
                      <w:bCs/>
                      <w:color w:val="auto"/>
                      <w:kern w:val="0"/>
                      <w:szCs w:val="21"/>
                      <w:lang w:val="en-US" w:eastAsia="zh-CN"/>
                    </w:rPr>
                    <w:t>性状</w:t>
                  </w:r>
                </w:p>
              </w:tc>
              <w:tc>
                <w:tcPr>
                  <w:tcW w:w="835" w:type="pct"/>
                  <w:noWrap w:val="0"/>
                  <w:vAlign w:val="center"/>
                </w:tcPr>
                <w:p w14:paraId="176F1BF2">
                  <w:pPr>
                    <w:wordWrap w:val="0"/>
                    <w:jc w:val="center"/>
                    <w:textAlignment w:val="center"/>
                    <w:rPr>
                      <w:rFonts w:hint="eastAsia"/>
                      <w:bCs/>
                      <w:kern w:val="0"/>
                      <w:szCs w:val="21"/>
                    </w:rPr>
                  </w:pPr>
                  <w:r>
                    <w:rPr>
                      <w:rFonts w:hint="eastAsia"/>
                      <w:bCs/>
                      <w:kern w:val="0"/>
                      <w:szCs w:val="21"/>
                    </w:rPr>
                    <w:t>来源</w:t>
                  </w:r>
                </w:p>
              </w:tc>
            </w:tr>
            <w:tr w14:paraId="3EC8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3" w:type="pct"/>
                  <w:noWrap w:val="0"/>
                  <w:vAlign w:val="center"/>
                </w:tcPr>
                <w:p w14:paraId="2B9DFD9F">
                  <w:pPr>
                    <w:widowControl/>
                    <w:numPr>
                      <w:ilvl w:val="0"/>
                      <w:numId w:val="8"/>
                    </w:numPr>
                    <w:wordWrap w:val="0"/>
                    <w:jc w:val="center"/>
                    <w:rPr>
                      <w:bCs/>
                      <w:kern w:val="0"/>
                      <w:szCs w:val="21"/>
                    </w:rPr>
                  </w:pPr>
                  <w:bookmarkStart w:id="2" w:name="_Hlk106009474"/>
                </w:p>
              </w:tc>
              <w:tc>
                <w:tcPr>
                  <w:tcW w:w="1429" w:type="pct"/>
                  <w:noWrap w:val="0"/>
                  <w:vAlign w:val="center"/>
                </w:tcPr>
                <w:p w14:paraId="5E24421A">
                  <w:pPr>
                    <w:widowControl/>
                    <w:jc w:val="center"/>
                    <w:rPr>
                      <w:rFonts w:hint="default"/>
                      <w:szCs w:val="21"/>
                      <w:lang w:val="en-US"/>
                    </w:rPr>
                  </w:pPr>
                  <w:r>
                    <w:rPr>
                      <w:rFonts w:hint="eastAsia"/>
                      <w:kern w:val="0"/>
                      <w:szCs w:val="21"/>
                      <w:lang w:val="en-US" w:eastAsia="zh-CN"/>
                    </w:rPr>
                    <w:t>7750聚乙烯树脂</w:t>
                  </w:r>
                </w:p>
              </w:tc>
              <w:tc>
                <w:tcPr>
                  <w:tcW w:w="1041" w:type="pct"/>
                  <w:noWrap w:val="0"/>
                  <w:vAlign w:val="center"/>
                </w:tcPr>
                <w:p w14:paraId="601A8D60">
                  <w:pPr>
                    <w:widowControl/>
                    <w:jc w:val="center"/>
                    <w:rPr>
                      <w:rFonts w:hint="default" w:eastAsia="宋体"/>
                      <w:szCs w:val="21"/>
                      <w:highlight w:val="none"/>
                      <w:lang w:val="en-US" w:eastAsia="zh-CN"/>
                    </w:rPr>
                  </w:pPr>
                  <w:r>
                    <w:rPr>
                      <w:rFonts w:hint="eastAsia"/>
                      <w:szCs w:val="21"/>
                      <w:highlight w:val="none"/>
                      <w:lang w:val="en-US" w:eastAsia="zh-CN"/>
                    </w:rPr>
                    <w:t>515</w:t>
                  </w:r>
                </w:p>
              </w:tc>
              <w:tc>
                <w:tcPr>
                  <w:tcW w:w="703" w:type="pct"/>
                  <w:noWrap w:val="0"/>
                  <w:vAlign w:val="center"/>
                </w:tcPr>
                <w:p w14:paraId="0C3204AA">
                  <w:pPr>
                    <w:widowControl/>
                    <w:jc w:val="center"/>
                    <w:rPr>
                      <w:rFonts w:hint="eastAsia"/>
                      <w:kern w:val="0"/>
                      <w:szCs w:val="21"/>
                      <w:lang w:val="en-US" w:eastAsia="zh-CN"/>
                    </w:rPr>
                  </w:pPr>
                  <w:r>
                    <w:rPr>
                      <w:rFonts w:hint="eastAsia"/>
                      <w:kern w:val="0"/>
                      <w:szCs w:val="21"/>
                      <w:lang w:val="en-US" w:eastAsia="zh-CN"/>
                    </w:rPr>
                    <w:t>塑封包装</w:t>
                  </w:r>
                </w:p>
                <w:p w14:paraId="5DD10443">
                  <w:pPr>
                    <w:widowControl/>
                    <w:jc w:val="center"/>
                    <w:rPr>
                      <w:szCs w:val="21"/>
                    </w:rPr>
                  </w:pPr>
                  <w:r>
                    <w:rPr>
                      <w:rFonts w:hint="eastAsia"/>
                      <w:kern w:val="0"/>
                      <w:szCs w:val="21"/>
                      <w:lang w:val="en-US" w:eastAsia="zh-CN"/>
                    </w:rPr>
                    <w:t>仓库储存</w:t>
                  </w:r>
                </w:p>
              </w:tc>
              <w:tc>
                <w:tcPr>
                  <w:tcW w:w="366" w:type="pct"/>
                  <w:noWrap w:val="0"/>
                  <w:vAlign w:val="center"/>
                </w:tcPr>
                <w:p w14:paraId="2A5DF6BF">
                  <w:pPr>
                    <w:widowControl/>
                    <w:jc w:val="center"/>
                    <w:rPr>
                      <w:rFonts w:hint="default"/>
                      <w:kern w:val="0"/>
                      <w:szCs w:val="21"/>
                      <w:lang w:val="en-US" w:eastAsia="zh-CN"/>
                    </w:rPr>
                  </w:pPr>
                  <w:r>
                    <w:rPr>
                      <w:rFonts w:hint="eastAsia"/>
                      <w:kern w:val="0"/>
                      <w:szCs w:val="21"/>
                      <w:lang w:val="en-US" w:eastAsia="zh-CN"/>
                    </w:rPr>
                    <w:t>颗粒</w:t>
                  </w:r>
                </w:p>
              </w:tc>
              <w:tc>
                <w:tcPr>
                  <w:tcW w:w="835" w:type="pct"/>
                  <w:noWrap w:val="0"/>
                  <w:vAlign w:val="center"/>
                </w:tcPr>
                <w:p w14:paraId="40E1196E">
                  <w:pPr>
                    <w:wordWrap w:val="0"/>
                    <w:jc w:val="center"/>
                    <w:rPr>
                      <w:rFonts w:hint="eastAsia"/>
                      <w:szCs w:val="21"/>
                    </w:rPr>
                  </w:pPr>
                  <w:r>
                    <w:rPr>
                      <w:rFonts w:hint="eastAsia"/>
                      <w:szCs w:val="21"/>
                    </w:rPr>
                    <w:t>外购</w:t>
                  </w:r>
                </w:p>
              </w:tc>
            </w:tr>
            <w:tr w14:paraId="675F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3" w:type="pct"/>
                  <w:noWrap w:val="0"/>
                  <w:vAlign w:val="center"/>
                </w:tcPr>
                <w:p w14:paraId="270A69F8">
                  <w:pPr>
                    <w:widowControl/>
                    <w:numPr>
                      <w:ilvl w:val="0"/>
                      <w:numId w:val="8"/>
                    </w:numPr>
                    <w:wordWrap w:val="0"/>
                    <w:jc w:val="center"/>
                    <w:rPr>
                      <w:bCs/>
                      <w:kern w:val="0"/>
                      <w:szCs w:val="21"/>
                    </w:rPr>
                  </w:pPr>
                </w:p>
              </w:tc>
              <w:tc>
                <w:tcPr>
                  <w:tcW w:w="1429" w:type="pct"/>
                  <w:noWrap w:val="0"/>
                  <w:vAlign w:val="center"/>
                </w:tcPr>
                <w:p w14:paraId="1FBA3AAA">
                  <w:pPr>
                    <w:widowControl/>
                    <w:jc w:val="center"/>
                    <w:rPr>
                      <w:rFonts w:hint="default"/>
                      <w:szCs w:val="21"/>
                      <w:lang w:val="en-US"/>
                    </w:rPr>
                  </w:pPr>
                  <w:r>
                    <w:rPr>
                      <w:rFonts w:hint="eastAsia"/>
                      <w:kern w:val="0"/>
                      <w:szCs w:val="21"/>
                      <w:lang w:val="en-US" w:eastAsia="zh-CN"/>
                    </w:rPr>
                    <w:t>延长6094聚乙烯树脂</w:t>
                  </w:r>
                </w:p>
              </w:tc>
              <w:tc>
                <w:tcPr>
                  <w:tcW w:w="1041" w:type="pct"/>
                  <w:noWrap w:val="0"/>
                  <w:vAlign w:val="center"/>
                </w:tcPr>
                <w:p w14:paraId="1207E659">
                  <w:pPr>
                    <w:widowControl/>
                    <w:jc w:val="center"/>
                    <w:rPr>
                      <w:rFonts w:hint="default" w:eastAsia="宋体"/>
                      <w:szCs w:val="21"/>
                      <w:highlight w:val="none"/>
                      <w:lang w:val="en-US" w:eastAsia="zh-CN"/>
                    </w:rPr>
                  </w:pPr>
                  <w:r>
                    <w:rPr>
                      <w:rFonts w:hint="eastAsia"/>
                      <w:szCs w:val="21"/>
                      <w:highlight w:val="none"/>
                      <w:lang w:val="en-US" w:eastAsia="zh-CN"/>
                    </w:rPr>
                    <w:t>530</w:t>
                  </w:r>
                </w:p>
              </w:tc>
              <w:tc>
                <w:tcPr>
                  <w:tcW w:w="703" w:type="pct"/>
                  <w:noWrap w:val="0"/>
                  <w:vAlign w:val="center"/>
                </w:tcPr>
                <w:p w14:paraId="1B672E45">
                  <w:pPr>
                    <w:widowControl/>
                    <w:jc w:val="center"/>
                    <w:rPr>
                      <w:rFonts w:hint="eastAsia"/>
                      <w:kern w:val="0"/>
                      <w:szCs w:val="21"/>
                      <w:lang w:val="en-US" w:eastAsia="zh-CN"/>
                    </w:rPr>
                  </w:pPr>
                  <w:r>
                    <w:rPr>
                      <w:rFonts w:hint="eastAsia"/>
                      <w:kern w:val="0"/>
                      <w:szCs w:val="21"/>
                      <w:lang w:val="en-US" w:eastAsia="zh-CN"/>
                    </w:rPr>
                    <w:t>塑封包装</w:t>
                  </w:r>
                </w:p>
                <w:p w14:paraId="7F87B186">
                  <w:pPr>
                    <w:widowControl/>
                    <w:jc w:val="center"/>
                    <w:rPr>
                      <w:rFonts w:hint="default" w:eastAsia="宋体"/>
                      <w:szCs w:val="21"/>
                      <w:lang w:val="en-US" w:eastAsia="zh-CN"/>
                    </w:rPr>
                  </w:pPr>
                  <w:r>
                    <w:rPr>
                      <w:rFonts w:hint="eastAsia"/>
                      <w:kern w:val="0"/>
                      <w:szCs w:val="21"/>
                      <w:lang w:val="en-US" w:eastAsia="zh-CN"/>
                    </w:rPr>
                    <w:t>仓库储存</w:t>
                  </w:r>
                </w:p>
              </w:tc>
              <w:tc>
                <w:tcPr>
                  <w:tcW w:w="366" w:type="pct"/>
                  <w:noWrap w:val="0"/>
                  <w:vAlign w:val="center"/>
                </w:tcPr>
                <w:p w14:paraId="6F147810">
                  <w:pPr>
                    <w:widowControl/>
                    <w:jc w:val="center"/>
                    <w:rPr>
                      <w:rFonts w:hint="eastAsia"/>
                      <w:kern w:val="0"/>
                      <w:szCs w:val="21"/>
                      <w:lang w:val="en-US" w:eastAsia="zh-CN"/>
                    </w:rPr>
                  </w:pPr>
                  <w:r>
                    <w:rPr>
                      <w:rFonts w:hint="eastAsia"/>
                      <w:kern w:val="0"/>
                      <w:szCs w:val="21"/>
                      <w:lang w:val="en-US" w:eastAsia="zh-CN"/>
                    </w:rPr>
                    <w:t>颗粒</w:t>
                  </w:r>
                </w:p>
              </w:tc>
              <w:tc>
                <w:tcPr>
                  <w:tcW w:w="835" w:type="pct"/>
                  <w:noWrap w:val="0"/>
                  <w:vAlign w:val="center"/>
                </w:tcPr>
                <w:p w14:paraId="5587C90F">
                  <w:pPr>
                    <w:wordWrap w:val="0"/>
                    <w:jc w:val="center"/>
                    <w:rPr>
                      <w:rFonts w:hint="eastAsia"/>
                      <w:szCs w:val="21"/>
                    </w:rPr>
                  </w:pPr>
                  <w:r>
                    <w:rPr>
                      <w:rFonts w:hint="eastAsia"/>
                      <w:szCs w:val="21"/>
                    </w:rPr>
                    <w:t>外购</w:t>
                  </w:r>
                </w:p>
              </w:tc>
            </w:tr>
            <w:tr w14:paraId="5EAC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3" w:type="pct"/>
                  <w:noWrap w:val="0"/>
                  <w:vAlign w:val="center"/>
                </w:tcPr>
                <w:p w14:paraId="71F4D577">
                  <w:pPr>
                    <w:widowControl/>
                    <w:numPr>
                      <w:ilvl w:val="0"/>
                      <w:numId w:val="8"/>
                    </w:numPr>
                    <w:wordWrap w:val="0"/>
                    <w:jc w:val="center"/>
                    <w:rPr>
                      <w:bCs/>
                      <w:kern w:val="0"/>
                      <w:szCs w:val="21"/>
                    </w:rPr>
                  </w:pPr>
                </w:p>
              </w:tc>
              <w:tc>
                <w:tcPr>
                  <w:tcW w:w="1429" w:type="pct"/>
                  <w:noWrap w:val="0"/>
                  <w:vAlign w:val="center"/>
                </w:tcPr>
                <w:p w14:paraId="769B0E58">
                  <w:pPr>
                    <w:wordWrap w:val="0"/>
                    <w:jc w:val="center"/>
                    <w:rPr>
                      <w:szCs w:val="21"/>
                      <w:highlight w:val="none"/>
                    </w:rPr>
                  </w:pPr>
                  <w:r>
                    <w:rPr>
                      <w:szCs w:val="21"/>
                      <w:highlight w:val="none"/>
                    </w:rPr>
                    <w:t>水</w:t>
                  </w:r>
                </w:p>
              </w:tc>
              <w:tc>
                <w:tcPr>
                  <w:tcW w:w="1041" w:type="pct"/>
                  <w:noWrap w:val="0"/>
                  <w:vAlign w:val="center"/>
                </w:tcPr>
                <w:p w14:paraId="2EDFF25A">
                  <w:pPr>
                    <w:wordWrap w:val="0"/>
                    <w:jc w:val="center"/>
                    <w:rPr>
                      <w:rFonts w:hint="default" w:eastAsia="宋体"/>
                      <w:color w:val="auto"/>
                      <w:szCs w:val="21"/>
                      <w:highlight w:val="none"/>
                      <w:lang w:val="en-US" w:eastAsia="zh-CN"/>
                    </w:rPr>
                  </w:pPr>
                  <w:r>
                    <w:rPr>
                      <w:rFonts w:hint="eastAsia"/>
                      <w:color w:val="auto"/>
                      <w:szCs w:val="21"/>
                      <w:highlight w:val="none"/>
                      <w:lang w:val="en-US" w:eastAsia="zh-CN"/>
                    </w:rPr>
                    <w:t>141</w:t>
                  </w:r>
                </w:p>
              </w:tc>
              <w:tc>
                <w:tcPr>
                  <w:tcW w:w="1069" w:type="pct"/>
                  <w:gridSpan w:val="2"/>
                  <w:noWrap w:val="0"/>
                  <w:vAlign w:val="center"/>
                </w:tcPr>
                <w:p w14:paraId="6CBDF7BB">
                  <w:pPr>
                    <w:wordWrap w:val="0"/>
                    <w:jc w:val="center"/>
                    <w:rPr>
                      <w:rFonts w:hint="eastAsia"/>
                      <w:szCs w:val="21"/>
                    </w:rPr>
                  </w:pPr>
                  <w:r>
                    <w:rPr>
                      <w:rFonts w:hint="eastAsia"/>
                      <w:szCs w:val="21"/>
                    </w:rPr>
                    <w:t>/</w:t>
                  </w:r>
                </w:p>
              </w:tc>
              <w:tc>
                <w:tcPr>
                  <w:tcW w:w="835" w:type="pct"/>
                  <w:noWrap w:val="0"/>
                  <w:vAlign w:val="center"/>
                </w:tcPr>
                <w:p w14:paraId="02CECBC3">
                  <w:pPr>
                    <w:wordWrap w:val="0"/>
                    <w:jc w:val="center"/>
                    <w:rPr>
                      <w:rFonts w:hint="eastAsia"/>
                      <w:szCs w:val="21"/>
                    </w:rPr>
                  </w:pPr>
                  <w:r>
                    <w:rPr>
                      <w:rFonts w:hint="eastAsia"/>
                      <w:szCs w:val="21"/>
                    </w:rPr>
                    <w:t>自来水</w:t>
                  </w:r>
                </w:p>
              </w:tc>
            </w:tr>
            <w:tr w14:paraId="60B8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3" w:type="pct"/>
                  <w:noWrap w:val="0"/>
                  <w:vAlign w:val="center"/>
                </w:tcPr>
                <w:p w14:paraId="42AEB240">
                  <w:pPr>
                    <w:widowControl/>
                    <w:numPr>
                      <w:ilvl w:val="0"/>
                      <w:numId w:val="8"/>
                    </w:numPr>
                    <w:wordWrap w:val="0"/>
                    <w:jc w:val="center"/>
                    <w:rPr>
                      <w:bCs/>
                      <w:kern w:val="0"/>
                      <w:szCs w:val="21"/>
                    </w:rPr>
                  </w:pPr>
                </w:p>
              </w:tc>
              <w:tc>
                <w:tcPr>
                  <w:tcW w:w="1429" w:type="pct"/>
                  <w:noWrap w:val="0"/>
                  <w:vAlign w:val="center"/>
                </w:tcPr>
                <w:p w14:paraId="72D05024">
                  <w:pPr>
                    <w:wordWrap w:val="0"/>
                    <w:jc w:val="center"/>
                    <w:rPr>
                      <w:szCs w:val="21"/>
                    </w:rPr>
                  </w:pPr>
                  <w:r>
                    <w:rPr>
                      <w:szCs w:val="21"/>
                    </w:rPr>
                    <w:t>电</w:t>
                  </w:r>
                </w:p>
              </w:tc>
              <w:tc>
                <w:tcPr>
                  <w:tcW w:w="1041" w:type="pct"/>
                  <w:noWrap w:val="0"/>
                  <w:vAlign w:val="center"/>
                </w:tcPr>
                <w:p w14:paraId="5BBAA679">
                  <w:pPr>
                    <w:wordWrap w:val="0"/>
                    <w:jc w:val="center"/>
                    <w:rPr>
                      <w:rFonts w:hint="eastAsia"/>
                      <w:szCs w:val="21"/>
                    </w:rPr>
                  </w:pPr>
                  <w:r>
                    <w:rPr>
                      <w:rFonts w:hint="eastAsia"/>
                      <w:szCs w:val="21"/>
                      <w:lang w:val="en-US" w:eastAsia="zh-CN"/>
                    </w:rPr>
                    <w:t>21.64</w:t>
                  </w:r>
                  <w:r>
                    <w:rPr>
                      <w:rFonts w:hint="eastAsia"/>
                      <w:szCs w:val="21"/>
                    </w:rPr>
                    <w:t>万kW</w:t>
                  </w:r>
                  <w:r>
                    <w:rPr>
                      <w:szCs w:val="21"/>
                    </w:rPr>
                    <w:t>·h/a</w:t>
                  </w:r>
                </w:p>
              </w:tc>
              <w:tc>
                <w:tcPr>
                  <w:tcW w:w="1069" w:type="pct"/>
                  <w:gridSpan w:val="2"/>
                  <w:noWrap w:val="0"/>
                  <w:vAlign w:val="center"/>
                </w:tcPr>
                <w:p w14:paraId="266E5EB7">
                  <w:pPr>
                    <w:wordWrap w:val="0"/>
                    <w:jc w:val="center"/>
                    <w:rPr>
                      <w:rFonts w:hint="eastAsia"/>
                      <w:szCs w:val="21"/>
                    </w:rPr>
                  </w:pPr>
                  <w:r>
                    <w:rPr>
                      <w:rFonts w:hint="eastAsia"/>
                      <w:szCs w:val="21"/>
                    </w:rPr>
                    <w:t>/</w:t>
                  </w:r>
                </w:p>
              </w:tc>
              <w:tc>
                <w:tcPr>
                  <w:tcW w:w="835" w:type="pct"/>
                  <w:noWrap w:val="0"/>
                  <w:vAlign w:val="center"/>
                </w:tcPr>
                <w:p w14:paraId="74DFD548">
                  <w:pPr>
                    <w:wordWrap w:val="0"/>
                    <w:jc w:val="center"/>
                    <w:rPr>
                      <w:rFonts w:hint="eastAsia"/>
                      <w:szCs w:val="21"/>
                    </w:rPr>
                  </w:pPr>
                  <w:r>
                    <w:rPr>
                      <w:szCs w:val="21"/>
                    </w:rPr>
                    <w:t>市政供给</w:t>
                  </w:r>
                </w:p>
              </w:tc>
            </w:tr>
            <w:bookmarkEnd w:id="2"/>
          </w:tbl>
          <w:p w14:paraId="6382D6D9">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baseline"/>
              <w:rPr>
                <w:b/>
                <w:kern w:val="0"/>
                <w:sz w:val="24"/>
                <w:u w:val="none" w:color="000000"/>
              </w:rPr>
            </w:pPr>
            <w:r>
              <w:rPr>
                <w:rFonts w:hint="default"/>
                <w:sz w:val="24"/>
                <w:szCs w:val="24"/>
              </w:rPr>
              <w:t>聚乙烯</w:t>
            </w:r>
            <w:r>
              <w:rPr>
                <w:rFonts w:hint="default"/>
                <w:sz w:val="24"/>
                <w:szCs w:val="24"/>
                <w:lang w:eastAsia="zh-CN"/>
              </w:rPr>
              <w:t>，</w:t>
            </w:r>
            <w:r>
              <w:rPr>
                <w:rFonts w:hint="default"/>
                <w:sz w:val="24"/>
                <w:szCs w:val="24"/>
              </w:rPr>
              <w:t>简称PE，是乙烯经聚合制得的一种热塑性树脂</w:t>
            </w:r>
            <w:r>
              <w:rPr>
                <w:rFonts w:hint="eastAsia"/>
                <w:sz w:val="24"/>
                <w:szCs w:val="24"/>
                <w:lang w:eastAsia="zh-CN"/>
              </w:rPr>
              <w:t>，</w:t>
            </w:r>
            <w:r>
              <w:rPr>
                <w:rFonts w:hint="eastAsia"/>
                <w:sz w:val="24"/>
                <w:szCs w:val="24"/>
              </w:rPr>
              <w:t>为无毒、无味的白色粉末或颗粒，外观呈乳白色，有似蜡的手感，吸水率低，小于0.01%</w:t>
            </w:r>
            <w:r>
              <w:rPr>
                <w:rFonts w:hint="eastAsia"/>
                <w:sz w:val="24"/>
                <w:szCs w:val="24"/>
                <w:lang w:eastAsia="zh-CN"/>
              </w:rPr>
              <w:t>，</w:t>
            </w:r>
            <w:r>
              <w:rPr>
                <w:rFonts w:hint="eastAsia"/>
                <w:sz w:val="24"/>
                <w:szCs w:val="24"/>
                <w:lang w:val="en-US" w:eastAsia="zh-CN"/>
              </w:rPr>
              <w:t>密度介于0.91-0.94g/cm</w:t>
            </w:r>
            <w:r>
              <w:rPr>
                <w:rFonts w:hint="eastAsia"/>
                <w:sz w:val="24"/>
                <w:szCs w:val="24"/>
                <w:vertAlign w:val="superscript"/>
                <w:lang w:val="en-US" w:eastAsia="zh-CN"/>
              </w:rPr>
              <w:t>3</w:t>
            </w:r>
            <w:r>
              <w:rPr>
                <w:rFonts w:hint="eastAsia"/>
                <w:sz w:val="24"/>
                <w:szCs w:val="24"/>
                <w:lang w:val="en-US" w:eastAsia="zh-CN"/>
              </w:rPr>
              <w:t>之间。</w:t>
            </w:r>
            <w:r>
              <w:rPr>
                <w:rFonts w:hint="eastAsia"/>
                <w:sz w:val="24"/>
                <w:szCs w:val="24"/>
              </w:rPr>
              <w:t>聚乙烯膜透明，并随结晶度的提高而降低。常温下不溶于任何已知溶剂中，70℃以上可少量溶解于甲苯、乙酸戊酯、三氯乙烯等溶剂中。易燃、氧指数为17.4，燃烧时低烟，有少量熔融落滴，火焰上黄下蓝，有石蜡气味</w:t>
            </w:r>
            <w:r>
              <w:rPr>
                <w:rFonts w:hint="default" w:ascii="Times New Roman" w:hAnsi="Times New Roman" w:cs="Times New Roman"/>
                <w:sz w:val="24"/>
                <w:lang w:eastAsia="zh-CN"/>
              </w:rPr>
              <w:t>。</w:t>
            </w:r>
            <w:r>
              <w:rPr>
                <w:rFonts w:hint="default" w:ascii="Times New Roman" w:hAnsi="Times New Roman" w:cs="Times New Roman"/>
                <w:sz w:val="24"/>
              </w:rPr>
              <w:t>聚乙烯可用一般热塑性塑料的成型方法(见塑料加工)加工。用途十分广泛，主要用来制造薄膜、容器、管道、单丝、电线电缆、日用品等，并可作为电视、雷达等的高频绝缘材料</w:t>
            </w:r>
            <w:r>
              <w:rPr>
                <w:rFonts w:hint="eastAsia" w:ascii="Times New Roman" w:hAnsi="Times New Roman" w:cs="Times New Roman"/>
                <w:sz w:val="24"/>
                <w:lang w:eastAsia="zh-CN"/>
              </w:rPr>
              <w:t>。</w:t>
            </w:r>
          </w:p>
          <w:p w14:paraId="238D2C1D">
            <w:pPr>
              <w:widowControl/>
              <w:spacing w:line="360" w:lineRule="auto"/>
              <w:textAlignment w:val="baseline"/>
              <w:rPr>
                <w:b/>
                <w:kern w:val="0"/>
                <w:sz w:val="24"/>
                <w:u w:val="none" w:color="000000"/>
              </w:rPr>
            </w:pPr>
            <w:r>
              <w:rPr>
                <w:b/>
                <w:kern w:val="0"/>
                <w:sz w:val="24"/>
                <w:u w:val="none" w:color="000000"/>
              </w:rPr>
              <w:t>5、主要生产设备</w:t>
            </w:r>
          </w:p>
          <w:p w14:paraId="6D108A0C">
            <w:pPr>
              <w:snapToGrid w:val="0"/>
              <w:spacing w:line="360" w:lineRule="auto"/>
              <w:ind w:firstLine="480" w:firstLineChars="200"/>
              <w:textAlignment w:val="baseline"/>
              <w:rPr>
                <w:kern w:val="0"/>
                <w:sz w:val="24"/>
                <w:u w:val="none" w:color="000000"/>
              </w:rPr>
            </w:pPr>
            <w:r>
              <w:rPr>
                <w:rFonts w:hint="eastAsia"/>
                <w:sz w:val="24"/>
              </w:rPr>
              <w:t>本项目</w:t>
            </w:r>
            <w:r>
              <w:rPr>
                <w:kern w:val="0"/>
                <w:sz w:val="24"/>
                <w:u w:val="none" w:color="000000"/>
              </w:rPr>
              <w:t>主要设备见下表。</w:t>
            </w:r>
          </w:p>
          <w:p w14:paraId="33972071">
            <w:pPr>
              <w:numPr>
                <w:ilvl w:val="0"/>
                <w:numId w:val="7"/>
              </w:numPr>
              <w:spacing w:line="360" w:lineRule="auto"/>
              <w:ind w:left="0" w:leftChars="0" w:firstLine="0" w:firstLineChars="0"/>
              <w:jc w:val="center"/>
              <w:rPr>
                <w:b/>
                <w:sz w:val="24"/>
              </w:rPr>
            </w:pPr>
            <w:r>
              <w:rPr>
                <w:b/>
                <w:sz w:val="24"/>
              </w:rPr>
              <w:t>主要生产设备一览表</w:t>
            </w:r>
          </w:p>
          <w:tbl>
            <w:tblPr>
              <w:tblStyle w:val="34"/>
              <w:tblW w:w="8418" w:type="dxa"/>
              <w:jc w:val="center"/>
              <w:tblLayout w:type="autofit"/>
              <w:tblCellMar>
                <w:top w:w="0" w:type="dxa"/>
                <w:left w:w="108" w:type="dxa"/>
                <w:bottom w:w="0" w:type="dxa"/>
                <w:right w:w="108" w:type="dxa"/>
              </w:tblCellMar>
            </w:tblPr>
            <w:tblGrid>
              <w:gridCol w:w="1379"/>
              <w:gridCol w:w="2331"/>
              <w:gridCol w:w="2169"/>
              <w:gridCol w:w="1673"/>
              <w:gridCol w:w="866"/>
            </w:tblGrid>
            <w:tr w14:paraId="45BF0EB6">
              <w:tblPrEx>
                <w:tblCellMar>
                  <w:top w:w="0" w:type="dxa"/>
                  <w:left w:w="108" w:type="dxa"/>
                  <w:bottom w:w="0" w:type="dxa"/>
                  <w:right w:w="108" w:type="dxa"/>
                </w:tblCellMar>
              </w:tblPrEx>
              <w:trPr>
                <w:trHeight w:val="614" w:hRule="atLeast"/>
                <w:tblHeader/>
                <w:jc w:val="center"/>
              </w:trPr>
              <w:tc>
                <w:tcPr>
                  <w:tcW w:w="1379" w:type="dxa"/>
                  <w:tcBorders>
                    <w:top w:val="single" w:color="000000" w:sz="4" w:space="0"/>
                    <w:left w:val="single" w:color="000000" w:sz="4" w:space="0"/>
                    <w:bottom w:val="single" w:color="000000" w:sz="4" w:space="0"/>
                    <w:right w:val="single" w:color="000000" w:sz="4" w:space="0"/>
                  </w:tcBorders>
                  <w:noWrap w:val="0"/>
                  <w:vAlign w:val="center"/>
                </w:tcPr>
                <w:p w14:paraId="774B3E53">
                  <w:pPr>
                    <w:bidi w:val="0"/>
                    <w:jc w:val="center"/>
                    <w:rPr>
                      <w:rFonts w:hint="default" w:ascii="Times New Roman" w:hAnsi="Times New Roman" w:cs="Times New Roman"/>
                    </w:rPr>
                  </w:pPr>
                  <w:r>
                    <w:rPr>
                      <w:rFonts w:hint="default" w:ascii="Times New Roman" w:hAnsi="Times New Roman" w:cs="Times New Roman"/>
                    </w:rPr>
                    <w:t>序号</w:t>
                  </w:r>
                </w:p>
              </w:tc>
              <w:tc>
                <w:tcPr>
                  <w:tcW w:w="2331" w:type="dxa"/>
                  <w:tcBorders>
                    <w:top w:val="single" w:color="000000" w:sz="4" w:space="0"/>
                    <w:left w:val="single" w:color="000000" w:sz="4" w:space="0"/>
                    <w:right w:val="single" w:color="000000" w:sz="4" w:space="0"/>
                  </w:tcBorders>
                  <w:noWrap w:val="0"/>
                  <w:vAlign w:val="center"/>
                </w:tcPr>
                <w:p w14:paraId="3BBB62B2">
                  <w:pPr>
                    <w:bidi w:val="0"/>
                    <w:jc w:val="center"/>
                    <w:rPr>
                      <w:rFonts w:hint="default" w:ascii="Times New Roman" w:hAnsi="Times New Roman" w:cs="Times New Roman"/>
                    </w:rPr>
                  </w:pPr>
                  <w:r>
                    <w:rPr>
                      <w:rFonts w:hint="default" w:ascii="Times New Roman" w:hAnsi="Times New Roman" w:cs="Times New Roman"/>
                    </w:rPr>
                    <w:t>设备名称</w:t>
                  </w:r>
                </w:p>
              </w:tc>
              <w:tc>
                <w:tcPr>
                  <w:tcW w:w="2169" w:type="dxa"/>
                  <w:tcBorders>
                    <w:top w:val="single" w:color="000000" w:sz="4" w:space="0"/>
                    <w:left w:val="single" w:color="000000" w:sz="4" w:space="0"/>
                    <w:right w:val="single" w:color="000000" w:sz="4" w:space="0"/>
                  </w:tcBorders>
                  <w:noWrap w:val="0"/>
                  <w:vAlign w:val="center"/>
                </w:tcPr>
                <w:p w14:paraId="13763FF3">
                  <w:pPr>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规格型号</w:t>
                  </w:r>
                </w:p>
              </w:tc>
              <w:tc>
                <w:tcPr>
                  <w:tcW w:w="1673" w:type="dxa"/>
                  <w:tcBorders>
                    <w:top w:val="single" w:color="000000" w:sz="4" w:space="0"/>
                    <w:left w:val="single" w:color="000000" w:sz="4" w:space="0"/>
                    <w:right w:val="single" w:color="000000" w:sz="4" w:space="0"/>
                  </w:tcBorders>
                  <w:noWrap w:val="0"/>
                  <w:vAlign w:val="center"/>
                </w:tcPr>
                <w:p w14:paraId="176DB4EF">
                  <w:pPr>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数量</w:t>
                  </w:r>
                </w:p>
              </w:tc>
              <w:tc>
                <w:tcPr>
                  <w:tcW w:w="866" w:type="dxa"/>
                  <w:tcBorders>
                    <w:top w:val="single" w:color="000000" w:sz="4" w:space="0"/>
                    <w:left w:val="single" w:color="000000" w:sz="4" w:space="0"/>
                    <w:right w:val="single" w:color="000000" w:sz="4" w:space="0"/>
                  </w:tcBorders>
                  <w:noWrap w:val="0"/>
                  <w:vAlign w:val="center"/>
                </w:tcPr>
                <w:p w14:paraId="0EF6E5FB">
                  <w:pPr>
                    <w:bidi w:val="0"/>
                    <w:jc w:val="center"/>
                    <w:rPr>
                      <w:rFonts w:hint="default" w:ascii="Times New Roman" w:hAnsi="Times New Roman" w:cs="Times New Roman"/>
                    </w:rPr>
                  </w:pPr>
                  <w:r>
                    <w:rPr>
                      <w:rFonts w:hint="default" w:ascii="Times New Roman" w:hAnsi="Times New Roman" w:cs="Times New Roman"/>
                    </w:rPr>
                    <w:t>单位</w:t>
                  </w:r>
                </w:p>
              </w:tc>
            </w:tr>
            <w:tr w14:paraId="031CD051">
              <w:tblPrEx>
                <w:tblCellMar>
                  <w:top w:w="0" w:type="dxa"/>
                  <w:left w:w="108" w:type="dxa"/>
                  <w:bottom w:w="0" w:type="dxa"/>
                  <w:right w:w="108" w:type="dxa"/>
                </w:tblCellMar>
              </w:tblPrEx>
              <w:trPr>
                <w:trHeight w:val="169" w:hRule="atLeast"/>
                <w:jc w:val="center"/>
              </w:trPr>
              <w:tc>
                <w:tcPr>
                  <w:tcW w:w="1379" w:type="dxa"/>
                  <w:tcBorders>
                    <w:top w:val="single" w:color="000000" w:sz="4" w:space="0"/>
                    <w:left w:val="single" w:color="000000" w:sz="4" w:space="0"/>
                    <w:bottom w:val="single" w:color="auto" w:sz="4" w:space="0"/>
                    <w:right w:val="single" w:color="auto" w:sz="4" w:space="0"/>
                  </w:tcBorders>
                  <w:noWrap w:val="0"/>
                  <w:vAlign w:val="center"/>
                </w:tcPr>
                <w:p w14:paraId="69D16164">
                  <w:pPr>
                    <w:widowControl/>
                    <w:tabs>
                      <w:tab w:val="left" w:pos="420"/>
                    </w:tabs>
                    <w:jc w:val="center"/>
                    <w:textAlignment w:val="center"/>
                    <w:rPr>
                      <w:rFonts w:hint="default" w:ascii="Times New Roman" w:hAnsi="Times New Roman" w:cs="Times New Roman"/>
                      <w:szCs w:val="21"/>
                    </w:rPr>
                  </w:pPr>
                  <w:r>
                    <w:rPr>
                      <w:rFonts w:hint="default" w:ascii="Times New Roman" w:hAnsi="Times New Roman" w:cs="Times New Roman"/>
                      <w:szCs w:val="21"/>
                    </w:rPr>
                    <w:t>1</w:t>
                  </w:r>
                </w:p>
              </w:tc>
              <w:tc>
                <w:tcPr>
                  <w:tcW w:w="2331" w:type="dxa"/>
                  <w:tcBorders>
                    <w:top w:val="single" w:color="000000" w:sz="4" w:space="0"/>
                    <w:left w:val="single" w:color="auto" w:sz="4" w:space="0"/>
                    <w:bottom w:val="single" w:color="auto" w:sz="4" w:space="0"/>
                    <w:right w:val="single" w:color="000000" w:sz="4" w:space="0"/>
                  </w:tcBorders>
                  <w:noWrap w:val="0"/>
                  <w:vAlign w:val="top"/>
                </w:tcPr>
                <w:p w14:paraId="1CE1708F">
                  <w:pPr>
                    <w:jc w:val="center"/>
                    <w:rPr>
                      <w:rFonts w:hint="eastAsia" w:ascii="Times New Roman" w:hAnsi="Times New Roman" w:eastAsia="宋体" w:cs="Times New Roman"/>
                      <w:color w:val="000000"/>
                      <w:szCs w:val="21"/>
                      <w:lang w:val="en-US" w:eastAsia="zh-CN"/>
                    </w:rPr>
                  </w:pPr>
                  <w:r>
                    <w:rPr>
                      <w:rFonts w:hint="eastAsia"/>
                      <w:lang w:val="en-US" w:eastAsia="zh-CN"/>
                    </w:rPr>
                    <w:t>挤出</w:t>
                  </w:r>
                  <w:r>
                    <w:rPr>
                      <w:rFonts w:hint="eastAsia" w:eastAsia="宋体"/>
                      <w:lang w:val="en-US" w:eastAsia="zh-CN"/>
                    </w:rPr>
                    <w:t>机</w:t>
                  </w:r>
                </w:p>
              </w:tc>
              <w:tc>
                <w:tcPr>
                  <w:tcW w:w="2169" w:type="dxa"/>
                  <w:tcBorders>
                    <w:top w:val="single" w:color="000000" w:sz="4" w:space="0"/>
                    <w:left w:val="single" w:color="000000" w:sz="4" w:space="0"/>
                    <w:right w:val="single" w:color="000000" w:sz="4" w:space="0"/>
                  </w:tcBorders>
                  <w:noWrap/>
                  <w:vAlign w:val="top"/>
                </w:tcPr>
                <w:p w14:paraId="2111E806">
                  <w:pPr>
                    <w:jc w:val="center"/>
                    <w:rPr>
                      <w:rFonts w:hint="default" w:ascii="Times New Roman" w:hAnsi="Times New Roman" w:cs="Times New Roman"/>
                      <w:szCs w:val="21"/>
                    </w:rPr>
                  </w:pPr>
                  <w:r>
                    <w:rPr>
                      <w:rFonts w:hint="eastAsia" w:ascii="Times New Roman" w:hAnsi="Times New Roman" w:eastAsia="宋体" w:cs="Times New Roman"/>
                      <w:color w:val="000000"/>
                      <w:szCs w:val="21"/>
                      <w:lang w:val="en-US" w:eastAsia="zh-CN"/>
                    </w:rPr>
                    <w:t>SD-65</w:t>
                  </w:r>
                </w:p>
              </w:tc>
              <w:tc>
                <w:tcPr>
                  <w:tcW w:w="1673" w:type="dxa"/>
                  <w:tcBorders>
                    <w:top w:val="single" w:color="000000" w:sz="4" w:space="0"/>
                    <w:left w:val="single" w:color="000000" w:sz="4" w:space="0"/>
                    <w:right w:val="single" w:color="000000" w:sz="4" w:space="0"/>
                  </w:tcBorders>
                  <w:noWrap/>
                  <w:vAlign w:val="top"/>
                </w:tcPr>
                <w:p w14:paraId="0A01DCF7">
                  <w:pPr>
                    <w:jc w:val="center"/>
                    <w:rPr>
                      <w:rFonts w:hint="default" w:ascii="Times New Roman" w:hAnsi="Times New Roman" w:eastAsia="宋体" w:cs="Times New Roman"/>
                      <w:szCs w:val="21"/>
                      <w:lang w:val="en-US" w:eastAsia="zh-CN"/>
                    </w:rPr>
                  </w:pPr>
                  <w:r>
                    <w:rPr>
                      <w:rFonts w:hint="eastAsia"/>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5FF6A132">
                  <w:pPr>
                    <w:widowControl/>
                    <w:jc w:val="center"/>
                    <w:textAlignment w:val="center"/>
                    <w:rPr>
                      <w:rFonts w:hint="eastAsia" w:ascii="Times New Roman" w:hAnsi="Times New Roman" w:eastAsia="宋体" w:cs="Times New Roman"/>
                      <w:szCs w:val="21"/>
                      <w:lang w:eastAsia="zh-CN"/>
                    </w:rPr>
                  </w:pPr>
                  <w:r>
                    <w:rPr>
                      <w:rFonts w:hint="eastAsia" w:cs="Times New Roman"/>
                      <w:szCs w:val="21"/>
                      <w:lang w:val="en-US" w:eastAsia="zh-CN"/>
                    </w:rPr>
                    <w:t>台</w:t>
                  </w:r>
                </w:p>
              </w:tc>
            </w:tr>
            <w:tr w14:paraId="6B468FE0">
              <w:tblPrEx>
                <w:tblCellMar>
                  <w:top w:w="0" w:type="dxa"/>
                  <w:left w:w="108" w:type="dxa"/>
                  <w:bottom w:w="0" w:type="dxa"/>
                  <w:right w:w="108" w:type="dxa"/>
                </w:tblCellMar>
              </w:tblPrEx>
              <w:trPr>
                <w:trHeight w:val="169" w:hRule="atLeast"/>
                <w:jc w:val="center"/>
              </w:trPr>
              <w:tc>
                <w:tcPr>
                  <w:tcW w:w="1379" w:type="dxa"/>
                  <w:tcBorders>
                    <w:top w:val="single" w:color="000000" w:sz="4" w:space="0"/>
                    <w:left w:val="single" w:color="000000" w:sz="4" w:space="0"/>
                    <w:bottom w:val="single" w:color="auto" w:sz="4" w:space="0"/>
                    <w:right w:val="single" w:color="auto" w:sz="4" w:space="0"/>
                  </w:tcBorders>
                  <w:noWrap w:val="0"/>
                  <w:vAlign w:val="center"/>
                </w:tcPr>
                <w:p w14:paraId="7903B7D4">
                  <w:pPr>
                    <w:widowControl/>
                    <w:tabs>
                      <w:tab w:val="left" w:pos="420"/>
                    </w:tabs>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2</w:t>
                  </w:r>
                </w:p>
              </w:tc>
              <w:tc>
                <w:tcPr>
                  <w:tcW w:w="2331" w:type="dxa"/>
                  <w:tcBorders>
                    <w:top w:val="single" w:color="000000" w:sz="4" w:space="0"/>
                    <w:left w:val="single" w:color="auto" w:sz="4" w:space="0"/>
                    <w:bottom w:val="single" w:color="auto" w:sz="4" w:space="0"/>
                    <w:right w:val="single" w:color="000000" w:sz="4" w:space="0"/>
                  </w:tcBorders>
                  <w:noWrap w:val="0"/>
                  <w:vAlign w:val="top"/>
                </w:tcPr>
                <w:p w14:paraId="2EC2713A">
                  <w:pPr>
                    <w:jc w:val="center"/>
                    <w:rPr>
                      <w:rFonts w:hint="default" w:eastAsia="宋体"/>
                      <w:lang w:val="en-US" w:eastAsia="zh-CN"/>
                    </w:rPr>
                  </w:pPr>
                  <w:r>
                    <w:rPr>
                      <w:rFonts w:hint="eastAsia"/>
                      <w:lang w:val="en-US" w:eastAsia="zh-CN"/>
                    </w:rPr>
                    <w:t>绕卷机</w:t>
                  </w:r>
                </w:p>
              </w:tc>
              <w:tc>
                <w:tcPr>
                  <w:tcW w:w="2169" w:type="dxa"/>
                  <w:tcBorders>
                    <w:top w:val="single" w:color="000000" w:sz="4" w:space="0"/>
                    <w:left w:val="single" w:color="000000" w:sz="4" w:space="0"/>
                    <w:right w:val="single" w:color="000000" w:sz="4" w:space="0"/>
                  </w:tcBorders>
                  <w:noWrap/>
                  <w:vAlign w:val="top"/>
                </w:tcPr>
                <w:p w14:paraId="36E1A338">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w:t>
                  </w:r>
                </w:p>
              </w:tc>
              <w:tc>
                <w:tcPr>
                  <w:tcW w:w="1673" w:type="dxa"/>
                  <w:tcBorders>
                    <w:top w:val="single" w:color="000000" w:sz="4" w:space="0"/>
                    <w:left w:val="single" w:color="000000" w:sz="4" w:space="0"/>
                    <w:right w:val="single" w:color="000000" w:sz="4" w:space="0"/>
                  </w:tcBorders>
                  <w:noWrap/>
                  <w:vAlign w:val="top"/>
                </w:tcPr>
                <w:p w14:paraId="138FDA18">
                  <w:pPr>
                    <w:jc w:val="center"/>
                    <w:rPr>
                      <w:rFonts w:hint="default"/>
                      <w:szCs w:val="21"/>
                      <w:lang w:val="en-US" w:eastAsia="zh-CN"/>
                    </w:rPr>
                  </w:pPr>
                  <w:r>
                    <w:rPr>
                      <w:rFonts w:hint="eastAsia"/>
                      <w:szCs w:val="21"/>
                      <w:lang w:val="en-US" w:eastAsia="zh-CN"/>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58142DC3">
                  <w:pPr>
                    <w:widowControl/>
                    <w:jc w:val="center"/>
                    <w:textAlignment w:val="center"/>
                    <w:rPr>
                      <w:rFonts w:hint="default" w:ascii="Times New Roman" w:hAnsi="Times New Roman" w:cs="Times New Roman"/>
                      <w:szCs w:val="21"/>
                    </w:rPr>
                  </w:pPr>
                  <w:r>
                    <w:rPr>
                      <w:rFonts w:hint="default" w:ascii="Times New Roman" w:hAnsi="Times New Roman" w:cs="Times New Roman"/>
                      <w:szCs w:val="21"/>
                    </w:rPr>
                    <w:t>台</w:t>
                  </w:r>
                </w:p>
              </w:tc>
            </w:tr>
            <w:tr w14:paraId="50804DFC">
              <w:tblPrEx>
                <w:tblCellMar>
                  <w:top w:w="0" w:type="dxa"/>
                  <w:left w:w="108" w:type="dxa"/>
                  <w:bottom w:w="0" w:type="dxa"/>
                  <w:right w:w="108" w:type="dxa"/>
                </w:tblCellMar>
              </w:tblPrEx>
              <w:trPr>
                <w:trHeight w:val="169" w:hRule="atLeast"/>
                <w:jc w:val="center"/>
              </w:trPr>
              <w:tc>
                <w:tcPr>
                  <w:tcW w:w="1379" w:type="dxa"/>
                  <w:tcBorders>
                    <w:top w:val="single" w:color="auto" w:sz="4" w:space="0"/>
                    <w:left w:val="single" w:color="000000" w:sz="4" w:space="0"/>
                    <w:bottom w:val="single" w:color="000000" w:sz="4" w:space="0"/>
                    <w:right w:val="single" w:color="auto" w:sz="4" w:space="0"/>
                  </w:tcBorders>
                  <w:noWrap w:val="0"/>
                  <w:vAlign w:val="center"/>
                </w:tcPr>
                <w:p w14:paraId="2632604E">
                  <w:pPr>
                    <w:widowControl/>
                    <w:tabs>
                      <w:tab w:val="left" w:pos="420"/>
                    </w:tabs>
                    <w:jc w:val="center"/>
                    <w:textAlignment w:val="center"/>
                    <w:rPr>
                      <w:rFonts w:hint="eastAsia" w:ascii="Times New Roman" w:hAnsi="Times New Roman" w:eastAsia="宋体" w:cs="Times New Roman"/>
                      <w:szCs w:val="21"/>
                      <w:lang w:val="en-US" w:eastAsia="zh-CN"/>
                    </w:rPr>
                  </w:pPr>
                  <w:r>
                    <w:rPr>
                      <w:rFonts w:hint="eastAsia" w:cs="Times New Roman"/>
                      <w:szCs w:val="21"/>
                      <w:lang w:val="en-US" w:eastAsia="zh-CN"/>
                    </w:rPr>
                    <w:t>3</w:t>
                  </w:r>
                </w:p>
              </w:tc>
              <w:tc>
                <w:tcPr>
                  <w:tcW w:w="2331" w:type="dxa"/>
                  <w:tcBorders>
                    <w:top w:val="single" w:color="auto" w:sz="4" w:space="0"/>
                    <w:left w:val="single" w:color="auto" w:sz="4" w:space="0"/>
                    <w:bottom w:val="single" w:color="000000" w:sz="4" w:space="0"/>
                    <w:right w:val="single" w:color="000000" w:sz="4" w:space="0"/>
                  </w:tcBorders>
                  <w:noWrap w:val="0"/>
                  <w:vAlign w:val="top"/>
                </w:tcPr>
                <w:p w14:paraId="28171329">
                  <w:pPr>
                    <w:jc w:val="center"/>
                    <w:rPr>
                      <w:rFonts w:hint="default" w:ascii="Times New Roman" w:hAnsi="Times New Roman" w:eastAsia="宋体" w:cs="Times New Roman"/>
                      <w:color w:val="000000"/>
                      <w:szCs w:val="21"/>
                      <w:lang w:val="en-US" w:eastAsia="zh-CN"/>
                    </w:rPr>
                  </w:pPr>
                  <w:r>
                    <w:rPr>
                      <w:rFonts w:hint="eastAsia"/>
                      <w:lang w:val="en-US" w:eastAsia="zh-CN"/>
                    </w:rPr>
                    <w:t>织网</w:t>
                  </w:r>
                  <w:r>
                    <w:rPr>
                      <w:rFonts w:hint="eastAsia"/>
                    </w:rPr>
                    <w:t>机</w:t>
                  </w:r>
                </w:p>
              </w:tc>
              <w:tc>
                <w:tcPr>
                  <w:tcW w:w="2169" w:type="dxa"/>
                  <w:tcBorders>
                    <w:top w:val="single" w:color="000000" w:sz="4" w:space="0"/>
                    <w:left w:val="single" w:color="000000" w:sz="4" w:space="0"/>
                    <w:bottom w:val="single" w:color="000000" w:sz="4" w:space="0"/>
                    <w:right w:val="single" w:color="000000" w:sz="4" w:space="0"/>
                  </w:tcBorders>
                  <w:noWrap/>
                  <w:vAlign w:val="top"/>
                </w:tcPr>
                <w:p w14:paraId="1093547E">
                  <w:pPr>
                    <w:jc w:val="center"/>
                    <w:rPr>
                      <w:rFonts w:hint="default" w:ascii="Times New Roman" w:hAnsi="Times New Roman" w:eastAsia="宋体" w:cs="Times New Roman"/>
                      <w:kern w:val="0"/>
                      <w:szCs w:val="21"/>
                      <w:lang w:val="en-US" w:eastAsia="zh-CN" w:bidi="ar"/>
                    </w:rPr>
                  </w:pPr>
                  <w:r>
                    <w:rPr>
                      <w:rFonts w:hint="eastAsia" w:cs="Times New Roman"/>
                      <w:kern w:val="0"/>
                      <w:szCs w:val="21"/>
                      <w:lang w:val="en-US" w:eastAsia="zh-CN" w:bidi="ar"/>
                    </w:rPr>
                    <w:t>SJ-80</w:t>
                  </w:r>
                </w:p>
              </w:tc>
              <w:tc>
                <w:tcPr>
                  <w:tcW w:w="1673" w:type="dxa"/>
                  <w:tcBorders>
                    <w:top w:val="single" w:color="000000" w:sz="4" w:space="0"/>
                    <w:left w:val="single" w:color="000000" w:sz="4" w:space="0"/>
                    <w:bottom w:val="single" w:color="000000" w:sz="4" w:space="0"/>
                    <w:right w:val="single" w:color="000000" w:sz="4" w:space="0"/>
                  </w:tcBorders>
                  <w:noWrap/>
                  <w:vAlign w:val="top"/>
                </w:tcPr>
                <w:p w14:paraId="00A6B4AB">
                  <w:pPr>
                    <w:jc w:val="center"/>
                    <w:rPr>
                      <w:rFonts w:hint="default" w:ascii="Times New Roman" w:hAnsi="Times New Roman" w:eastAsia="宋体" w:cs="Times New Roman"/>
                      <w:kern w:val="0"/>
                      <w:szCs w:val="21"/>
                      <w:lang w:val="en-US" w:eastAsia="zh-CN" w:bidi="ar"/>
                    </w:rPr>
                  </w:pPr>
                  <w:r>
                    <w:rPr>
                      <w:rFonts w:hint="eastAsia"/>
                      <w:szCs w:val="21"/>
                      <w:lang w:val="en-US" w:eastAsia="zh-CN"/>
                    </w:rPr>
                    <w:t>5</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2496E42E">
                  <w:pPr>
                    <w:widowControl/>
                    <w:jc w:val="center"/>
                    <w:textAlignment w:val="center"/>
                    <w:rPr>
                      <w:rFonts w:hint="default" w:ascii="Times New Roman" w:hAnsi="Times New Roman" w:cs="Times New Roman"/>
                      <w:kern w:val="0"/>
                      <w:szCs w:val="21"/>
                      <w:lang w:bidi="ar"/>
                    </w:rPr>
                  </w:pPr>
                  <w:r>
                    <w:rPr>
                      <w:rFonts w:hint="default" w:ascii="Times New Roman" w:hAnsi="Times New Roman" w:cs="Times New Roman"/>
                      <w:kern w:val="0"/>
                      <w:szCs w:val="21"/>
                      <w:lang w:bidi="ar"/>
                    </w:rPr>
                    <w:t>台</w:t>
                  </w:r>
                </w:p>
              </w:tc>
            </w:tr>
          </w:tbl>
          <w:p w14:paraId="7946379D">
            <w:pPr>
              <w:spacing w:line="360" w:lineRule="auto"/>
              <w:rPr>
                <w:sz w:val="24"/>
              </w:rPr>
            </w:pPr>
            <w:r>
              <w:rPr>
                <w:rFonts w:hint="eastAsia" w:cs="宋体"/>
                <w:b/>
                <w:bCs/>
                <w:sz w:val="24"/>
                <w:lang w:val="en-US" w:eastAsia="zh-CN"/>
              </w:rPr>
              <w:t>6</w:t>
            </w:r>
            <w:r>
              <w:rPr>
                <w:rFonts w:hint="eastAsia" w:cs="宋体"/>
                <w:b/>
                <w:bCs/>
                <w:sz w:val="24"/>
              </w:rPr>
              <w:t>、公用工程</w:t>
            </w:r>
          </w:p>
          <w:p w14:paraId="7F92D435">
            <w:pPr>
              <w:spacing w:line="360" w:lineRule="auto"/>
              <w:ind w:firstLine="480" w:firstLineChars="200"/>
              <w:rPr>
                <w:sz w:val="24"/>
              </w:rPr>
            </w:pPr>
            <w:r>
              <w:rPr>
                <w:rFonts w:hint="eastAsia" w:cs="宋体"/>
                <w:sz w:val="24"/>
              </w:rPr>
              <w:t>（1）给水：本项目</w:t>
            </w:r>
            <w:r>
              <w:rPr>
                <w:rFonts w:hint="eastAsia" w:cs="宋体"/>
                <w:sz w:val="24"/>
                <w:lang w:val="en-US" w:eastAsia="zh-CN"/>
              </w:rPr>
              <w:t>主要用水为冷却用水和员工生活用水</w:t>
            </w:r>
            <w:r>
              <w:rPr>
                <w:rFonts w:hint="eastAsia" w:cs="宋体"/>
                <w:sz w:val="24"/>
                <w:highlight w:val="none"/>
                <w:lang w:val="en-US" w:eastAsia="zh-CN"/>
              </w:rPr>
              <w:t>，</w:t>
            </w:r>
            <w:r>
              <w:rPr>
                <w:rFonts w:hint="eastAsia" w:cs="宋体"/>
                <w:sz w:val="24"/>
                <w:highlight w:val="none"/>
              </w:rPr>
              <w:t>年用量</w:t>
            </w:r>
            <w:r>
              <w:rPr>
                <w:rFonts w:hint="eastAsia" w:cs="宋体"/>
                <w:sz w:val="24"/>
                <w:highlight w:val="none"/>
                <w:lang w:val="en-US" w:eastAsia="zh-CN"/>
              </w:rPr>
              <w:t>约</w:t>
            </w:r>
            <w:r>
              <w:rPr>
                <w:rFonts w:hint="eastAsia" w:cs="宋体"/>
                <w:sz w:val="24"/>
                <w:highlight w:val="none"/>
              </w:rPr>
              <w:t>为</w:t>
            </w:r>
            <w:r>
              <w:rPr>
                <w:rFonts w:hint="eastAsia" w:cs="宋体"/>
                <w:sz w:val="24"/>
                <w:highlight w:val="none"/>
                <w:lang w:val="en-US" w:eastAsia="zh-CN"/>
              </w:rPr>
              <w:t>141</w:t>
            </w:r>
            <w:r>
              <w:rPr>
                <w:sz w:val="24"/>
                <w:highlight w:val="none"/>
              </w:rPr>
              <w:t>t/a</w:t>
            </w:r>
            <w:r>
              <w:rPr>
                <w:rFonts w:hint="eastAsia" w:cs="宋体"/>
                <w:sz w:val="24"/>
                <w:highlight w:val="none"/>
              </w:rPr>
              <w:t>。</w:t>
            </w:r>
          </w:p>
          <w:p w14:paraId="287AC90F">
            <w:pPr>
              <w:spacing w:line="360" w:lineRule="auto"/>
              <w:ind w:firstLine="480" w:firstLineChars="200"/>
              <w:rPr>
                <w:rFonts w:hint="eastAsia"/>
                <w:color w:val="000000"/>
                <w:sz w:val="24"/>
                <w:lang w:val="en-US" w:eastAsia="zh-CN"/>
              </w:rPr>
            </w:pPr>
            <w:r>
              <w:rPr>
                <w:rFonts w:hint="eastAsia" w:cs="宋体"/>
                <w:sz w:val="24"/>
              </w:rPr>
              <w:t>（2）排水：本项目</w:t>
            </w:r>
            <w:r>
              <w:rPr>
                <w:rFonts w:hint="eastAsia" w:ascii="Times New Roman" w:hAnsi="Times New Roman" w:eastAsia="宋体" w:cs="Times New Roman"/>
                <w:color w:val="auto"/>
                <w:sz w:val="24"/>
                <w:highlight w:val="none"/>
                <w:lang w:val="en-US" w:eastAsia="zh-CN"/>
              </w:rPr>
              <w:t>冷却水循环使用，定期补充</w:t>
            </w:r>
            <w:r>
              <w:rPr>
                <w:rFonts w:hint="eastAsia" w:cs="Times New Roman"/>
                <w:color w:val="auto"/>
                <w:sz w:val="24"/>
                <w:highlight w:val="none"/>
                <w:lang w:val="en-US" w:eastAsia="zh-CN"/>
              </w:rPr>
              <w:t>，不外排；</w:t>
            </w:r>
            <w:r>
              <w:rPr>
                <w:rFonts w:ascii="宋体" w:hAnsi="宋体" w:cs="宋体"/>
                <w:sz w:val="24"/>
              </w:rPr>
              <w:t>生活污水经化粪池预处理后</w:t>
            </w:r>
            <w:r>
              <w:rPr>
                <w:rFonts w:hint="eastAsia" w:ascii="宋体" w:hAnsi="宋体" w:cs="宋体"/>
                <w:sz w:val="24"/>
                <w:lang w:val="en-US" w:eastAsia="zh-CN"/>
              </w:rPr>
              <w:t>委托环卫部门清运处置。</w:t>
            </w:r>
          </w:p>
          <w:p w14:paraId="67FC0D04">
            <w:pPr>
              <w:widowControl w:val="0"/>
              <w:numPr>
                <w:ilvl w:val="0"/>
                <w:numId w:val="9"/>
              </w:numPr>
              <w:adjustRightInd w:val="0"/>
              <w:snapToGrid w:val="0"/>
              <w:spacing w:line="360" w:lineRule="auto"/>
              <w:ind w:left="380" w:firstLine="40"/>
              <w:textAlignment w:val="baseline"/>
              <w:rPr>
                <w:rFonts w:ascii="Times New Roman" w:hAnsi="Times New Roman" w:eastAsia="宋体" w:cs="宋体"/>
                <w:b w:val="0"/>
                <w:bCs w:val="0"/>
                <w:color w:val="auto"/>
                <w:sz w:val="24"/>
                <w:lang w:val="en-US" w:eastAsia="zh-CN" w:bidi="ar-SA"/>
              </w:rPr>
            </w:pPr>
            <w:r>
              <w:rPr>
                <w:rFonts w:hint="eastAsia" w:ascii="Times New Roman" w:hAnsi="Times New Roman" w:eastAsia="宋体" w:cs="宋体"/>
                <w:b w:val="0"/>
                <w:bCs w:val="0"/>
                <w:color w:val="auto"/>
                <w:sz w:val="24"/>
                <w:lang w:val="en-US" w:eastAsia="zh-CN" w:bidi="ar-SA"/>
              </w:rPr>
              <w:t>循环冷却水</w:t>
            </w:r>
          </w:p>
          <w:p w14:paraId="733D1435">
            <w:pPr>
              <w:tabs>
                <w:tab w:val="left" w:pos="2678"/>
              </w:tabs>
              <w:spacing w:line="360" w:lineRule="auto"/>
              <w:ind w:firstLine="480" w:firstLineChars="200"/>
              <w:rPr>
                <w:rFonts w:ascii="Times New Roman" w:hAnsi="Times New Roman" w:eastAsia="宋体" w:cs="Times New Roman"/>
                <w:color w:val="auto"/>
                <w:sz w:val="24"/>
              </w:rPr>
            </w:pPr>
            <w:r>
              <w:rPr>
                <w:rFonts w:hint="eastAsia" w:cs="Times New Roman"/>
                <w:color w:val="auto"/>
                <w:sz w:val="24"/>
                <w:highlight w:val="none"/>
                <w:lang w:val="en-US" w:eastAsia="zh-CN"/>
              </w:rPr>
              <w:t>捆草网生产冷</w:t>
            </w:r>
            <w:r>
              <w:rPr>
                <w:rFonts w:hint="eastAsia" w:ascii="Times New Roman" w:hAnsi="Times New Roman" w:eastAsia="宋体" w:cs="Times New Roman"/>
                <w:color w:val="auto"/>
                <w:sz w:val="24"/>
                <w:highlight w:val="none"/>
                <w:lang w:val="en-US" w:eastAsia="zh-CN"/>
              </w:rPr>
              <w:t>却工序使用到冷却水，冷却水循环使用，定期补充</w:t>
            </w:r>
            <w:r>
              <w:rPr>
                <w:rFonts w:hint="eastAsia" w:cs="Times New Roman"/>
                <w:color w:val="auto"/>
                <w:sz w:val="24"/>
                <w:highlight w:val="none"/>
                <w:lang w:val="en-US" w:eastAsia="zh-CN"/>
              </w:rPr>
              <w:t>，不外排</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szCs w:val="32"/>
                <w:highlight w:val="none"/>
              </w:rPr>
              <w:t>项目设置</w:t>
            </w:r>
            <w:r>
              <w:rPr>
                <w:rFonts w:hint="eastAsia" w:ascii="Times New Roman" w:hAnsi="Times New Roman" w:eastAsia="宋体" w:cs="Times New Roman"/>
                <w:color w:val="auto"/>
                <w:sz w:val="24"/>
                <w:szCs w:val="32"/>
                <w:highlight w:val="none"/>
                <w:lang w:val="en-US" w:eastAsia="zh-CN"/>
              </w:rPr>
              <w:t>1</w:t>
            </w:r>
            <w:r>
              <w:rPr>
                <w:rFonts w:hint="eastAsia" w:ascii="Times New Roman" w:hAnsi="Times New Roman" w:eastAsia="宋体" w:cs="Times New Roman"/>
                <w:color w:val="auto"/>
                <w:sz w:val="24"/>
                <w:szCs w:val="32"/>
                <w:highlight w:val="none"/>
              </w:rPr>
              <w:t>台</w:t>
            </w:r>
            <w:r>
              <w:rPr>
                <w:rFonts w:hint="eastAsia" w:cs="Times New Roman"/>
                <w:color w:val="auto"/>
                <w:sz w:val="24"/>
                <w:szCs w:val="32"/>
                <w:highlight w:val="none"/>
                <w:lang w:val="en-US" w:eastAsia="zh-CN"/>
              </w:rPr>
              <w:t>挤出</w:t>
            </w:r>
            <w:r>
              <w:rPr>
                <w:rFonts w:hint="eastAsia" w:ascii="Times New Roman" w:hAnsi="Times New Roman" w:eastAsia="宋体" w:cs="Times New Roman"/>
                <w:color w:val="auto"/>
                <w:sz w:val="24"/>
                <w:szCs w:val="32"/>
                <w:highlight w:val="none"/>
              </w:rPr>
              <w:t>机</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挤出</w:t>
            </w:r>
            <w:r>
              <w:rPr>
                <w:rFonts w:hint="eastAsia" w:cs="Times New Roman"/>
                <w:color w:val="auto"/>
                <w:sz w:val="24"/>
                <w:szCs w:val="32"/>
                <w:highlight w:val="none"/>
                <w:lang w:eastAsia="zh-CN"/>
              </w:rPr>
              <w:t>机自带冷却水槽，</w:t>
            </w:r>
            <w:r>
              <w:rPr>
                <w:rFonts w:hint="eastAsia" w:cs="Times New Roman"/>
                <w:color w:val="auto"/>
                <w:sz w:val="24"/>
                <w:szCs w:val="32"/>
                <w:highlight w:val="none"/>
                <w:lang w:val="en-US" w:eastAsia="zh-CN"/>
              </w:rPr>
              <w:t>日常蒸发量</w:t>
            </w:r>
            <w:r>
              <w:rPr>
                <w:rFonts w:hint="eastAsia" w:cs="Times New Roman"/>
                <w:color w:val="auto"/>
                <w:sz w:val="24"/>
                <w:szCs w:val="32"/>
                <w:highlight w:val="none"/>
                <w:lang w:eastAsia="zh-CN"/>
              </w:rPr>
              <w:t>约为0.</w:t>
            </w:r>
            <w:r>
              <w:rPr>
                <w:rFonts w:hint="eastAsia" w:cs="Times New Roman"/>
                <w:color w:val="auto"/>
                <w:sz w:val="24"/>
                <w:szCs w:val="32"/>
                <w:highlight w:val="none"/>
                <w:lang w:val="en-US" w:eastAsia="zh-CN"/>
              </w:rPr>
              <w:t>02</w:t>
            </w:r>
            <w:r>
              <w:rPr>
                <w:rFonts w:hint="eastAsia" w:cs="Times New Roman"/>
                <w:color w:val="auto"/>
                <w:sz w:val="24"/>
                <w:szCs w:val="32"/>
                <w:highlight w:val="none"/>
                <w:lang w:eastAsia="zh-CN"/>
              </w:rPr>
              <w:t>m</w:t>
            </w:r>
            <w:r>
              <w:rPr>
                <w:rFonts w:hint="eastAsia" w:cs="Times New Roman"/>
                <w:color w:val="auto"/>
                <w:sz w:val="24"/>
                <w:szCs w:val="32"/>
                <w:highlight w:val="none"/>
                <w:vertAlign w:val="superscript"/>
                <w:lang w:eastAsia="zh-CN"/>
              </w:rPr>
              <w:t>3</w:t>
            </w:r>
            <w:r>
              <w:rPr>
                <w:rFonts w:hint="eastAsia" w:cs="Times New Roman"/>
                <w:color w:val="auto"/>
                <w:sz w:val="24"/>
                <w:szCs w:val="32"/>
                <w:highlight w:val="none"/>
                <w:lang w:eastAsia="zh-CN"/>
              </w:rPr>
              <w:t>/d。</w:t>
            </w:r>
          </w:p>
          <w:p w14:paraId="48774AF9">
            <w:pPr>
              <w:widowControl w:val="0"/>
              <w:numPr>
                <w:ilvl w:val="0"/>
                <w:numId w:val="9"/>
              </w:numPr>
              <w:adjustRightInd w:val="0"/>
              <w:snapToGrid w:val="0"/>
              <w:spacing w:line="360" w:lineRule="auto"/>
              <w:ind w:left="380" w:firstLine="40"/>
              <w:textAlignment w:val="baseline"/>
              <w:rPr>
                <w:rFonts w:hint="eastAsia"/>
                <w:color w:val="000000"/>
                <w:sz w:val="24"/>
                <w:lang w:val="en-US" w:eastAsia="zh-CN"/>
              </w:rPr>
            </w:pPr>
            <w:r>
              <w:rPr>
                <w:rFonts w:ascii="Times New Roman" w:hAnsi="Times New Roman" w:eastAsia="宋体" w:cs="宋体"/>
                <w:b w:val="0"/>
                <w:bCs w:val="0"/>
                <w:color w:val="auto"/>
                <w:sz w:val="24"/>
                <w:lang w:val="en-US" w:eastAsia="zh-CN" w:bidi="ar-SA"/>
              </w:rPr>
              <w:t>生活用水</w:t>
            </w:r>
          </w:p>
          <w:p w14:paraId="0C4A655C">
            <w:pPr>
              <w:pStyle w:val="103"/>
              <w:ind w:firstLine="48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rPr>
              <w:t>本项目劳动定员</w:t>
            </w:r>
            <w:r>
              <w:rPr>
                <w:rFonts w:hint="eastAsia"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人</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不提供食宿</w:t>
            </w:r>
            <w:r>
              <w:rPr>
                <w:rFonts w:hint="eastAsia" w:ascii="Times New Roman" w:hAnsi="Times New Roman" w:eastAsia="宋体" w:cs="Times New Roman"/>
                <w:sz w:val="24"/>
                <w:szCs w:val="24"/>
                <w:lang w:eastAsia="zh-CN"/>
              </w:rPr>
              <w:t>，</w:t>
            </w:r>
            <w:r>
              <w:rPr>
                <w:rFonts w:ascii="Times New Roman" w:hAnsi="Times New Roman" w:eastAsia="宋体" w:cs="Times New Roman"/>
                <w:color w:val="auto"/>
                <w:sz w:val="24"/>
                <w:szCs w:val="24"/>
              </w:rPr>
              <w:t>用水标准参考</w:t>
            </w:r>
            <w:r>
              <w:rPr>
                <w:rFonts w:hint="eastAsia" w:ascii="Times New Roman" w:hAnsi="Times New Roman" w:eastAsia="宋体" w:cs="宋体"/>
                <w:color w:val="auto"/>
                <w:sz w:val="24"/>
              </w:rPr>
              <w:t>《宿州市城市行业用水定额》（DB 3413/T 0001-2020）</w:t>
            </w:r>
            <w:r>
              <w:rPr>
                <w:rFonts w:ascii="Times New Roman" w:hAnsi="Times New Roman" w:eastAsia="宋体" w:cs="Times New Roman"/>
                <w:color w:val="auto"/>
                <w:sz w:val="24"/>
                <w:szCs w:val="24"/>
              </w:rPr>
              <w:t>，人均用水量按50L/d计，</w:t>
            </w:r>
            <w:r>
              <w:rPr>
                <w:rFonts w:hint="eastAsia" w:ascii="Times New Roman" w:hAnsi="Times New Roman" w:eastAsia="宋体" w:cs="Times New Roman"/>
                <w:color w:val="auto"/>
                <w:sz w:val="24"/>
                <w:szCs w:val="24"/>
                <w:lang w:val="en-US" w:eastAsia="zh-CN"/>
              </w:rPr>
              <w:t>年工作300天，</w:t>
            </w:r>
            <w:r>
              <w:rPr>
                <w:rFonts w:ascii="Times New Roman" w:hAnsi="Times New Roman" w:eastAsia="宋体" w:cs="Times New Roman"/>
                <w:color w:val="auto"/>
                <w:sz w:val="24"/>
                <w:szCs w:val="24"/>
              </w:rPr>
              <w:t>则用水量为</w:t>
            </w:r>
            <w:r>
              <w:rPr>
                <w:rFonts w:hint="eastAsia" w:ascii="Times New Roman" w:hAnsi="Times New Roman" w:eastAsia="宋体" w:cs="Times New Roman"/>
                <w:color w:val="auto"/>
                <w:sz w:val="24"/>
                <w:szCs w:val="24"/>
                <w:lang w:val="en-US" w:eastAsia="zh-CN"/>
              </w:rPr>
              <w:t>0.45</w:t>
            </w:r>
            <w:r>
              <w:rPr>
                <w:rFonts w:ascii="Times New Roman" w:hAnsi="Times New Roman" w:eastAsia="宋体" w:cs="Times New Roman"/>
                <w:color w:val="auto"/>
                <w:sz w:val="24"/>
                <w:szCs w:val="24"/>
              </w:rPr>
              <w:t>t/d，年用水量为</w:t>
            </w:r>
            <w:r>
              <w:rPr>
                <w:rFonts w:hint="eastAsia" w:ascii="Times New Roman" w:hAnsi="Times New Roman" w:eastAsia="宋体" w:cs="Times New Roman"/>
                <w:color w:val="auto"/>
                <w:sz w:val="24"/>
                <w:szCs w:val="24"/>
                <w:lang w:val="en-US" w:eastAsia="zh-CN"/>
              </w:rPr>
              <w:t>135</w:t>
            </w:r>
            <w:r>
              <w:rPr>
                <w:rFonts w:ascii="Times New Roman" w:hAnsi="Times New Roman" w:eastAsia="宋体" w:cs="Times New Roman"/>
                <w:color w:val="auto"/>
                <w:sz w:val="24"/>
                <w:szCs w:val="24"/>
              </w:rPr>
              <w:t>t/a，废水产生系数取0.8，则废水产生量为</w:t>
            </w:r>
            <w:r>
              <w:rPr>
                <w:rFonts w:hint="eastAsia" w:ascii="Times New Roman" w:hAnsi="Times New Roman" w:eastAsia="宋体" w:cs="Times New Roman"/>
                <w:color w:val="auto"/>
                <w:sz w:val="24"/>
                <w:szCs w:val="24"/>
                <w:lang w:val="en-US" w:eastAsia="zh-CN"/>
              </w:rPr>
              <w:t>0.36</w:t>
            </w:r>
            <w:r>
              <w:rPr>
                <w:rFonts w:ascii="Times New Roman" w:hAnsi="Times New Roman" w:eastAsia="宋体" w:cs="Times New Roman"/>
                <w:color w:val="auto"/>
                <w:sz w:val="24"/>
                <w:szCs w:val="24"/>
              </w:rPr>
              <w:t>t/d，</w:t>
            </w:r>
            <w:r>
              <w:rPr>
                <w:rFonts w:hint="eastAsia" w:ascii="Times New Roman" w:hAnsi="Times New Roman" w:eastAsia="宋体" w:cs="Times New Roman"/>
                <w:color w:val="auto"/>
                <w:sz w:val="24"/>
                <w:szCs w:val="24"/>
                <w:lang w:val="en-US" w:eastAsia="zh-CN"/>
              </w:rPr>
              <w:t>108</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14:paraId="7A71D762">
            <w:pPr>
              <w:spacing w:line="360" w:lineRule="auto"/>
              <w:ind w:firstLine="480" w:firstLineChars="200"/>
              <w:rPr>
                <w:rFonts w:hint="default"/>
                <w:color w:val="000000"/>
                <w:sz w:val="24"/>
                <w:lang w:val="en-US" w:eastAsia="zh-CN"/>
              </w:rPr>
            </w:pPr>
            <w:r>
              <w:rPr>
                <w:rFonts w:hint="default"/>
                <w:color w:val="000000"/>
                <w:sz w:val="24"/>
                <w:lang w:val="en-US" w:eastAsia="zh-CN"/>
              </w:rPr>
              <w:t>本项目水平衡图见下：</w:t>
            </w:r>
          </w:p>
          <w:p w14:paraId="6FEDAEFB">
            <w:pPr>
              <w:spacing w:line="360" w:lineRule="auto"/>
              <w:ind w:firstLine="420" w:firstLineChars="200"/>
              <w:rPr>
                <w:rFonts w:hint="default"/>
                <w:color w:val="000000"/>
                <w:sz w:val="24"/>
                <w:lang w:val="en-US" w:eastAsia="zh-CN"/>
              </w:rPr>
            </w:pPr>
            <w:r>
              <w:rPr>
                <w:rFonts w:ascii="Times New Roman" w:cs="Times New Roman"/>
                <w:color w:val="auto"/>
              </w:rPr>
              <w:object>
                <v:shape id="_x0000_i1025" o:spt="75" type="#_x0000_t75" style="height:168.6pt;width:380.85pt;" o:ole="t" filled="f" o:preferrelative="t" stroked="f" coordsize="21600,21600">
                  <v:path/>
                  <v:fill on="f" focussize="0,0"/>
                  <v:stroke on="f"/>
                  <v:imagedata r:id="rId12" o:title=""/>
                  <o:lock v:ext="edit" aspectratio="t"/>
                  <w10:wrap type="none"/>
                  <w10:anchorlock/>
                </v:shape>
                <o:OLEObject Type="Embed" ProgID="RFFlow4" ShapeID="_x0000_i1025" DrawAspect="Content" ObjectID="_1468075725" r:id="rId11">
                  <o:LockedField>false</o:LockedField>
                </o:OLEObject>
              </w:object>
            </w:r>
          </w:p>
          <w:p w14:paraId="65549EF1">
            <w:pPr>
              <w:numPr>
                <w:ilvl w:val="0"/>
                <w:numId w:val="10"/>
              </w:numPr>
              <w:spacing w:line="360" w:lineRule="auto"/>
              <w:ind w:left="0" w:leftChars="0" w:firstLine="0" w:firstLineChars="0"/>
              <w:jc w:val="center"/>
              <w:rPr>
                <w:rFonts w:hint="default"/>
                <w:b/>
                <w:bCs/>
                <w:color w:val="000000"/>
                <w:sz w:val="24"/>
                <w:lang w:val="en-US" w:eastAsia="zh-CN"/>
              </w:rPr>
            </w:pPr>
            <w:r>
              <w:rPr>
                <w:rFonts w:hint="default"/>
                <w:b/>
                <w:bCs/>
                <w:color w:val="000000"/>
                <w:sz w:val="24"/>
                <w:lang w:val="en-US" w:eastAsia="zh-CN"/>
              </w:rPr>
              <w:t>本项目水平衡图</w:t>
            </w:r>
            <w:r>
              <w:rPr>
                <w:b/>
                <w:bCs/>
                <w:color w:val="auto"/>
                <w:highlight w:val="none"/>
              </w:rPr>
              <w:t>（m</w:t>
            </w:r>
            <w:r>
              <w:rPr>
                <w:b/>
                <w:bCs/>
                <w:color w:val="auto"/>
                <w:highlight w:val="none"/>
                <w:vertAlign w:val="superscript"/>
              </w:rPr>
              <w:t>3</w:t>
            </w:r>
            <w:r>
              <w:rPr>
                <w:b/>
                <w:bCs/>
                <w:color w:val="auto"/>
                <w:highlight w:val="none"/>
              </w:rPr>
              <w:t>/d）</w:t>
            </w:r>
          </w:p>
          <w:p w14:paraId="18A1B846">
            <w:pPr>
              <w:spacing w:line="360" w:lineRule="auto"/>
              <w:ind w:firstLine="480" w:firstLineChars="200"/>
              <w:rPr>
                <w:sz w:val="24"/>
              </w:rPr>
            </w:pPr>
            <w:r>
              <w:rPr>
                <w:rFonts w:hint="eastAsia" w:cs="宋体"/>
                <w:sz w:val="24"/>
              </w:rPr>
              <w:t>（3）供电：项目用电由区域供电系统提供。</w:t>
            </w:r>
          </w:p>
          <w:p w14:paraId="4ADB0EEC">
            <w:pPr>
              <w:spacing w:line="360" w:lineRule="auto"/>
              <w:ind w:firstLine="480" w:firstLineChars="200"/>
              <w:rPr>
                <w:sz w:val="24"/>
              </w:rPr>
            </w:pPr>
            <w:r>
              <w:rPr>
                <w:rFonts w:hint="eastAsia" w:cs="宋体"/>
                <w:sz w:val="24"/>
              </w:rPr>
              <w:t>（4）消防：项目消防按《建筑设计防火规范》（</w:t>
            </w:r>
            <w:r>
              <w:rPr>
                <w:sz w:val="24"/>
              </w:rPr>
              <w:t>GB50016-2014</w:t>
            </w:r>
            <w:r>
              <w:rPr>
                <w:rFonts w:hint="eastAsia" w:cs="宋体"/>
                <w:sz w:val="24"/>
              </w:rPr>
              <w:t>）有关规定实施。室外设置消火栓，火灾时市政消防车从室外消火栓取水灭火；室内</w:t>
            </w:r>
            <w:r>
              <w:rPr>
                <w:rFonts w:hint="eastAsia" w:cs="宋体"/>
                <w:sz w:val="24"/>
                <w:lang w:val="en-US" w:eastAsia="zh-CN"/>
              </w:rPr>
              <w:t>设有干粉式灭火器</w:t>
            </w:r>
            <w:r>
              <w:rPr>
                <w:rFonts w:hint="eastAsia" w:cs="宋体"/>
                <w:sz w:val="24"/>
              </w:rPr>
              <w:t>。</w:t>
            </w:r>
          </w:p>
          <w:p w14:paraId="2491DC1A">
            <w:pPr>
              <w:spacing w:line="360" w:lineRule="auto"/>
              <w:ind w:firstLine="480" w:firstLineChars="200"/>
              <w:rPr>
                <w:sz w:val="24"/>
              </w:rPr>
            </w:pPr>
            <w:r>
              <w:rPr>
                <w:rFonts w:hint="eastAsia" w:cs="宋体"/>
                <w:sz w:val="24"/>
              </w:rPr>
              <w:t>（5）厂内运输：厂内运输主要为原料及成品从生产场所到堆存场所之间的运输，项目原料和产品主要采用人力运输。</w:t>
            </w:r>
          </w:p>
          <w:p w14:paraId="66BFEF8F">
            <w:pPr>
              <w:adjustRightInd w:val="0"/>
              <w:snapToGrid w:val="0"/>
              <w:spacing w:line="360" w:lineRule="auto"/>
              <w:ind w:firstLine="480" w:firstLineChars="200"/>
              <w:rPr>
                <w:rFonts w:hint="eastAsia" w:cs="宋体"/>
                <w:sz w:val="24"/>
              </w:rPr>
            </w:pPr>
            <w:r>
              <w:rPr>
                <w:rFonts w:hint="eastAsia" w:cs="宋体"/>
                <w:sz w:val="24"/>
              </w:rPr>
              <w:t>（6）厂外运输：主要为原材料及成品的进出厂运输。项目原辅料由供货单位送货上门，通过公路运输的方法解决。成品运出主要依托社会运输力量承担。</w:t>
            </w:r>
          </w:p>
          <w:p w14:paraId="5273392F">
            <w:pPr>
              <w:spacing w:line="360" w:lineRule="auto"/>
              <w:rPr>
                <w:b/>
                <w:sz w:val="24"/>
              </w:rPr>
            </w:pPr>
            <w:r>
              <w:rPr>
                <w:rFonts w:hint="eastAsia"/>
                <w:b/>
                <w:sz w:val="24"/>
                <w:lang w:val="en-US" w:eastAsia="zh-CN"/>
              </w:rPr>
              <w:t>7</w:t>
            </w:r>
            <w:r>
              <w:rPr>
                <w:b/>
                <w:sz w:val="24"/>
              </w:rPr>
              <w:t>、劳动定员及工作制度</w:t>
            </w:r>
          </w:p>
          <w:p w14:paraId="61EAEA86">
            <w:pPr>
              <w:spacing w:line="360" w:lineRule="auto"/>
              <w:ind w:firstLine="480" w:firstLineChars="200"/>
              <w:rPr>
                <w:rFonts w:hint="default" w:eastAsia="宋体"/>
                <w:b/>
                <w:sz w:val="24"/>
                <w:lang w:val="en-US" w:eastAsia="zh-CN"/>
              </w:rPr>
            </w:pPr>
            <w:r>
              <w:rPr>
                <w:rFonts w:hint="eastAsia"/>
                <w:sz w:val="24"/>
              </w:rPr>
              <w:t>本项目拟定劳动定员</w:t>
            </w:r>
            <w:r>
              <w:rPr>
                <w:rFonts w:hint="eastAsia"/>
                <w:sz w:val="24"/>
                <w:lang w:val="en-US" w:eastAsia="zh-CN"/>
              </w:rPr>
              <w:t>9</w:t>
            </w:r>
            <w:r>
              <w:rPr>
                <w:rFonts w:hint="eastAsia"/>
                <w:sz w:val="24"/>
              </w:rPr>
              <w:t>人</w:t>
            </w:r>
            <w:r>
              <w:rPr>
                <w:sz w:val="24"/>
              </w:rPr>
              <w:t>，每</w:t>
            </w:r>
            <w:r>
              <w:rPr>
                <w:rFonts w:hint="eastAsia"/>
                <w:sz w:val="24"/>
                <w:lang w:val="en-US" w:eastAsia="zh-CN"/>
              </w:rPr>
              <w:t>天8</w:t>
            </w:r>
            <w:r>
              <w:rPr>
                <w:sz w:val="24"/>
              </w:rPr>
              <w:t>小时，年生产</w:t>
            </w:r>
            <w:r>
              <w:rPr>
                <w:rFonts w:hint="eastAsia"/>
                <w:sz w:val="24"/>
                <w:lang w:val="en-US" w:eastAsia="zh-CN"/>
              </w:rPr>
              <w:t>300</w:t>
            </w:r>
            <w:r>
              <w:rPr>
                <w:sz w:val="24"/>
              </w:rPr>
              <w:t>天</w:t>
            </w:r>
            <w:r>
              <w:rPr>
                <w:rFonts w:hint="eastAsia"/>
                <w:sz w:val="24"/>
                <w:lang w:eastAsia="zh-CN"/>
              </w:rPr>
              <w:t>，</w:t>
            </w:r>
            <w:r>
              <w:rPr>
                <w:rFonts w:hint="eastAsia"/>
                <w:sz w:val="24"/>
                <w:lang w:val="en-US" w:eastAsia="zh-CN"/>
              </w:rPr>
              <w:t>厂区不提供食宿。</w:t>
            </w:r>
          </w:p>
          <w:p w14:paraId="5C48DEDF">
            <w:pPr>
              <w:spacing w:line="360" w:lineRule="auto"/>
              <w:rPr>
                <w:rFonts w:hint="eastAsia"/>
                <w:b/>
                <w:sz w:val="24"/>
              </w:rPr>
            </w:pPr>
            <w:r>
              <w:rPr>
                <w:rFonts w:hint="eastAsia"/>
                <w:b/>
                <w:sz w:val="24"/>
                <w:lang w:val="en-US" w:eastAsia="zh-CN"/>
              </w:rPr>
              <w:t>8</w:t>
            </w:r>
            <w:r>
              <w:rPr>
                <w:b/>
                <w:sz w:val="24"/>
              </w:rPr>
              <w:t>、项目总平面布置</w:t>
            </w:r>
            <w:r>
              <w:rPr>
                <w:rFonts w:hint="eastAsia"/>
                <w:b/>
                <w:sz w:val="24"/>
              </w:rPr>
              <w:t>及合理性分析</w:t>
            </w:r>
          </w:p>
          <w:p w14:paraId="56D585B1">
            <w:pPr>
              <w:spacing w:line="360" w:lineRule="auto"/>
              <w:ind w:firstLine="480" w:firstLineChars="200"/>
              <w:textAlignment w:val="baseline"/>
              <w:rPr>
                <w:rFonts w:hint="eastAsia"/>
                <w:lang w:val="en-US" w:eastAsia="zh-CN"/>
              </w:rPr>
            </w:pPr>
            <w:r>
              <w:rPr>
                <w:rFonts w:hint="eastAsia"/>
                <w:sz w:val="24"/>
              </w:rPr>
              <w:t>本项目位于</w:t>
            </w:r>
            <w:r>
              <w:rPr>
                <w:rFonts w:hint="eastAsia"/>
                <w:sz w:val="24"/>
                <w:lang w:val="en-US" w:eastAsia="zh-CN"/>
              </w:rPr>
              <w:t>宿州市桃园镇桃园村寨东组进矿路北侧，项目总建筑面积为6050平方米，包括</w:t>
            </w:r>
            <w:r>
              <w:rPr>
                <w:rFonts w:hint="eastAsia"/>
                <w:sz w:val="24"/>
                <w:vertAlign w:val="baseline"/>
                <w:lang w:val="en-US" w:eastAsia="zh-CN"/>
              </w:rPr>
              <w:t>2栋生产厂房</w:t>
            </w:r>
            <w:r>
              <w:rPr>
                <w:rFonts w:hint="eastAsia"/>
                <w:sz w:val="24"/>
                <w:lang w:val="en-US" w:eastAsia="zh-CN"/>
              </w:rPr>
              <w:t>。1#</w:t>
            </w:r>
            <w:r>
              <w:rPr>
                <w:color w:val="auto"/>
                <w:sz w:val="24"/>
                <w:highlight w:val="none"/>
              </w:rPr>
              <w:t>厂</w:t>
            </w:r>
            <w:r>
              <w:rPr>
                <w:rFonts w:hint="eastAsia"/>
                <w:color w:val="auto"/>
                <w:sz w:val="24"/>
                <w:highlight w:val="none"/>
                <w:lang w:eastAsia="zh-CN"/>
              </w:rPr>
              <w:t>房</w:t>
            </w:r>
            <w:r>
              <w:rPr>
                <w:rFonts w:hint="eastAsia"/>
                <w:color w:val="auto"/>
                <w:sz w:val="24"/>
                <w:highlight w:val="none"/>
              </w:rPr>
              <w:t>内</w:t>
            </w:r>
            <w:r>
              <w:rPr>
                <w:color w:val="auto"/>
                <w:sz w:val="24"/>
                <w:highlight w:val="none"/>
              </w:rPr>
              <w:t>布置</w:t>
            </w:r>
            <w:r>
              <w:rPr>
                <w:rFonts w:hint="eastAsia"/>
                <w:color w:val="auto"/>
                <w:sz w:val="24"/>
                <w:highlight w:val="none"/>
                <w:lang w:val="en-US" w:eastAsia="zh-CN"/>
              </w:rPr>
              <w:t>原料区</w:t>
            </w:r>
            <w:r>
              <w:rPr>
                <w:rFonts w:hint="eastAsia"/>
                <w:color w:val="auto"/>
                <w:sz w:val="24"/>
                <w:highlight w:val="none"/>
                <w:lang w:eastAsia="zh-CN"/>
              </w:rPr>
              <w:t>、</w:t>
            </w:r>
            <w:r>
              <w:rPr>
                <w:rFonts w:hint="eastAsia"/>
                <w:color w:val="auto"/>
                <w:sz w:val="24"/>
                <w:highlight w:val="none"/>
                <w:lang w:val="en-US" w:eastAsia="zh-CN"/>
              </w:rPr>
              <w:t>挤出</w:t>
            </w:r>
            <w:r>
              <w:rPr>
                <w:rFonts w:hint="eastAsia"/>
                <w:color w:val="auto"/>
                <w:sz w:val="24"/>
                <w:highlight w:val="none"/>
                <w:lang w:eastAsia="zh-CN"/>
              </w:rPr>
              <w:t>区、</w:t>
            </w:r>
            <w:r>
              <w:rPr>
                <w:rFonts w:hint="eastAsia"/>
                <w:color w:val="auto"/>
                <w:sz w:val="24"/>
                <w:highlight w:val="none"/>
                <w:lang w:val="en-US" w:eastAsia="zh-CN"/>
              </w:rPr>
              <w:t>半成品区</w:t>
            </w:r>
            <w:r>
              <w:rPr>
                <w:rFonts w:hint="eastAsia"/>
                <w:color w:val="auto"/>
                <w:sz w:val="24"/>
                <w:highlight w:val="none"/>
                <w:lang w:eastAsia="zh-CN"/>
              </w:rPr>
              <w:t>、</w:t>
            </w:r>
            <w:r>
              <w:rPr>
                <w:rFonts w:hint="eastAsia"/>
                <w:color w:val="auto"/>
                <w:sz w:val="24"/>
                <w:highlight w:val="none"/>
                <w:lang w:val="en-US" w:eastAsia="zh-CN"/>
              </w:rPr>
              <w:t>绕卷区，</w:t>
            </w:r>
            <w:r>
              <w:rPr>
                <w:rFonts w:hint="eastAsia"/>
                <w:sz w:val="24"/>
                <w:lang w:val="en-US" w:eastAsia="zh-CN"/>
              </w:rPr>
              <w:t>2#厂房</w:t>
            </w:r>
            <w:r>
              <w:rPr>
                <w:color w:val="auto"/>
                <w:sz w:val="24"/>
                <w:highlight w:val="none"/>
              </w:rPr>
              <w:t>布置</w:t>
            </w:r>
            <w:r>
              <w:rPr>
                <w:rFonts w:hint="eastAsia"/>
                <w:color w:val="auto"/>
                <w:sz w:val="24"/>
                <w:highlight w:val="none"/>
                <w:lang w:val="en-US" w:eastAsia="zh-CN"/>
              </w:rPr>
              <w:t>织网区、包装区、成品区。</w:t>
            </w:r>
            <w:r>
              <w:rPr>
                <w:rFonts w:hint="eastAsia"/>
                <w:color w:val="auto"/>
                <w:sz w:val="24"/>
              </w:rPr>
              <w:t>本项目</w:t>
            </w:r>
            <w:r>
              <w:rPr>
                <w:color w:val="auto"/>
                <w:sz w:val="24"/>
              </w:rPr>
              <w:t>生产车间内的生产设备按照生产流程合理布置，各种设备之间保持有一定的安全距离，生产布局合理，能满足生产、卫生、安全等需求。</w:t>
            </w:r>
            <w:r>
              <w:rPr>
                <w:rFonts w:hint="eastAsia"/>
                <w:color w:val="auto"/>
                <w:sz w:val="24"/>
                <w:lang w:val="en-US" w:eastAsia="zh-CN"/>
              </w:rPr>
              <w:t>本项目</w:t>
            </w:r>
            <w:r>
              <w:rPr>
                <w:rFonts w:hint="eastAsia"/>
                <w:color w:val="auto"/>
                <w:sz w:val="24"/>
              </w:rPr>
              <w:t>厂区平面布局见附图</w:t>
            </w:r>
            <w:r>
              <w:rPr>
                <w:rFonts w:hint="eastAsia"/>
                <w:color w:val="auto"/>
                <w:sz w:val="24"/>
                <w:lang w:val="en-US" w:eastAsia="zh-CN"/>
              </w:rPr>
              <w:t>5。</w:t>
            </w:r>
          </w:p>
        </w:tc>
      </w:tr>
      <w:tr w14:paraId="56F60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7" w:type="dxa"/>
            <w:noWrap w:val="0"/>
            <w:vAlign w:val="center"/>
          </w:tcPr>
          <w:p w14:paraId="6F93C549">
            <w:pPr>
              <w:pStyle w:val="31"/>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工艺流程和产排污环节</w:t>
            </w:r>
          </w:p>
        </w:tc>
        <w:tc>
          <w:tcPr>
            <w:tcW w:w="8903" w:type="dxa"/>
            <w:noWrap w:val="0"/>
            <w:vAlign w:val="top"/>
          </w:tcPr>
          <w:p w14:paraId="041E48C1">
            <w:pPr>
              <w:spacing w:line="360" w:lineRule="auto"/>
              <w:ind w:firstLine="422" w:firstLineChars="200"/>
              <w:rPr>
                <w:b/>
                <w:bCs/>
                <w:sz w:val="24"/>
              </w:rPr>
            </w:pPr>
            <w:r>
              <w:rPr>
                <w:rFonts w:hint="eastAsia" w:ascii="Times New Roman" w:hAnsi="Times New Roman" w:eastAsia="宋体"/>
                <w:b/>
              </w:rPr>
              <w:t>1、</w:t>
            </w:r>
            <w:r>
              <w:rPr>
                <w:b/>
                <w:bCs/>
                <w:sz w:val="24"/>
              </w:rPr>
              <w:t>运营期主要工艺流程和产污环节</w:t>
            </w:r>
          </w:p>
          <w:p w14:paraId="4A9EF5CB">
            <w:pPr>
              <w:pStyle w:val="54"/>
              <w:jc w:val="center"/>
              <w:rPr>
                <w:b/>
                <w:bCs/>
                <w:sz w:val="24"/>
              </w:rPr>
            </w:pPr>
            <w:r>
              <w:rPr>
                <w:rFonts w:ascii="Times New Roman" w:hAnsi="Times New Roman" w:cs="Times New Roman"/>
                <w:color w:val="FF0000"/>
                <w:sz w:val="24"/>
                <w:szCs w:val="24"/>
                <w:lang w:val="en-US"/>
              </w:rPr>
              <w:object>
                <v:shape id="_x0000_i1026" o:spt="75" type="#_x0000_t75" style="height:338.6pt;width:174.2pt;" o:ole="t" filled="f" o:preferrelative="t" stroked="f" coordsize="21600,21600">
                  <v:path/>
                  <v:fill on="f" focussize="0,0"/>
                  <v:stroke on="f"/>
                  <v:imagedata r:id="rId14" o:title=""/>
                  <o:lock v:ext="edit" aspectratio="f"/>
                  <w10:wrap type="none"/>
                  <w10:anchorlock/>
                </v:shape>
                <o:OLEObject Type="Embed" ProgID="RFFlow4" ShapeID="_x0000_i1026" DrawAspect="Content" ObjectID="_1468075726" r:id="rId13">
                  <o:LockedField>false</o:LockedField>
                </o:OLEObject>
              </w:object>
            </w:r>
          </w:p>
          <w:p w14:paraId="405A680B">
            <w:pPr>
              <w:numPr>
                <w:ilvl w:val="0"/>
                <w:numId w:val="10"/>
              </w:numPr>
              <w:spacing w:line="360" w:lineRule="auto"/>
              <w:ind w:left="0" w:leftChars="0" w:firstLine="0" w:firstLineChars="0"/>
              <w:jc w:val="center"/>
              <w:rPr>
                <w:b/>
                <w:bCs/>
                <w:sz w:val="24"/>
              </w:rPr>
            </w:pPr>
            <w:r>
              <w:rPr>
                <w:b/>
                <w:bCs/>
                <w:sz w:val="24"/>
              </w:rPr>
              <w:t>项目营运期工艺流程及产污环节图</w:t>
            </w:r>
          </w:p>
          <w:p w14:paraId="604B53DD">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ascii="Times New Roman" w:hAnsi="Times New Roman"/>
                <w:color w:val="000000"/>
                <w:sz w:val="24"/>
                <w:szCs w:val="24"/>
                <w:lang w:val="en-US" w:eastAsia="zh-CN"/>
              </w:rPr>
              <w:t>上料</w:t>
            </w:r>
            <w:r>
              <w:rPr>
                <w:rFonts w:ascii="Times New Roman" w:hAnsi="Times New Roman"/>
                <w:color w:val="000000"/>
                <w:sz w:val="24"/>
                <w:szCs w:val="24"/>
              </w:rPr>
              <w:t>：</w:t>
            </w:r>
            <w:r>
              <w:rPr>
                <w:rFonts w:hint="eastAsia" w:ascii="Times New Roman" w:hAnsi="Times New Roman"/>
                <w:color w:val="000000"/>
                <w:sz w:val="24"/>
                <w:szCs w:val="24"/>
                <w:lang w:val="en-US" w:eastAsia="zh-CN"/>
              </w:rPr>
              <w:t>外购的聚乙烯原料由塑封包装入厂，由人工拆袋上料，原料为颗粒状</w:t>
            </w:r>
            <w:r>
              <w:rPr>
                <w:rFonts w:hint="eastAsia"/>
                <w:color w:val="000000"/>
                <w:sz w:val="24"/>
                <w:szCs w:val="24"/>
                <w:lang w:val="en-US" w:eastAsia="zh-CN"/>
              </w:rPr>
              <w:t>，</w:t>
            </w:r>
            <w:r>
              <w:rPr>
                <w:rFonts w:hint="eastAsia" w:ascii="Times New Roman" w:hAnsi="Times New Roman"/>
                <w:color w:val="000000"/>
                <w:sz w:val="24"/>
                <w:szCs w:val="24"/>
                <w:lang w:val="en-US" w:eastAsia="zh-CN"/>
              </w:rPr>
              <w:t>故上料过程不产生粉尘。</w:t>
            </w:r>
          </w:p>
          <w:p w14:paraId="74F14E73">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sz w:val="24"/>
                <w:szCs w:val="24"/>
                <w:lang w:val="en-US" w:eastAsia="zh-CN"/>
              </w:rPr>
              <w:t>熔融挤出</w:t>
            </w:r>
            <w:r>
              <w:rPr>
                <w:rFonts w:ascii="Times New Roman" w:hAnsi="Times New Roman"/>
                <w:color w:val="000000"/>
                <w:sz w:val="24"/>
                <w:szCs w:val="24"/>
              </w:rPr>
              <w:t>：</w:t>
            </w:r>
            <w:r>
              <w:rPr>
                <w:rFonts w:hint="eastAsia" w:ascii="Times New Roman" w:hAnsi="Times New Roman"/>
                <w:color w:val="000000"/>
                <w:sz w:val="24"/>
                <w:szCs w:val="24"/>
                <w:lang w:val="en-US" w:eastAsia="zh-CN"/>
              </w:rPr>
              <w:t>将原料送入挤出机料仓内，</w:t>
            </w:r>
            <w:r>
              <w:rPr>
                <w:color w:val="auto"/>
                <w:sz w:val="24"/>
                <w:szCs w:val="24"/>
              </w:rPr>
              <w:t>原材料在</w:t>
            </w:r>
            <w:r>
              <w:rPr>
                <w:rFonts w:hint="eastAsia" w:ascii="Times New Roman" w:hAnsi="Times New Roman"/>
                <w:color w:val="000000"/>
                <w:sz w:val="24"/>
                <w:szCs w:val="24"/>
                <w:lang w:val="en-US" w:eastAsia="zh-CN"/>
              </w:rPr>
              <w:t>挤出</w:t>
            </w:r>
            <w:r>
              <w:rPr>
                <w:rFonts w:hint="eastAsia"/>
                <w:color w:val="auto"/>
                <w:sz w:val="24"/>
                <w:szCs w:val="24"/>
                <w:lang w:val="en-US" w:eastAsia="zh-CN"/>
              </w:rPr>
              <w:t>机</w:t>
            </w:r>
            <w:r>
              <w:rPr>
                <w:color w:val="auto"/>
                <w:sz w:val="24"/>
                <w:szCs w:val="24"/>
              </w:rPr>
              <w:t>的热熔挤出机筒内完成加热、熔融，采用自带的全自动电脑温控电加热设施进行加温熔融，熔融温度</w:t>
            </w:r>
            <w:r>
              <w:rPr>
                <w:rFonts w:hint="eastAsia"/>
                <w:color w:val="auto"/>
                <w:sz w:val="24"/>
                <w:szCs w:val="24"/>
                <w:lang w:val="en-US" w:eastAsia="zh-CN"/>
              </w:rPr>
              <w:t>控制在</w:t>
            </w:r>
            <w:r>
              <w:rPr>
                <w:rFonts w:hint="default" w:ascii="Times New Roman" w:hAnsi="Times New Roman" w:cs="Times New Roman"/>
                <w:color w:val="auto"/>
                <w:sz w:val="24"/>
                <w:szCs w:val="24"/>
                <w:lang w:val="en-US" w:eastAsia="zh-CN"/>
              </w:rPr>
              <w:t>190℃</w:t>
            </w:r>
            <w:r>
              <w:rPr>
                <w:rFonts w:hint="eastAsia"/>
                <w:color w:val="auto"/>
                <w:sz w:val="24"/>
                <w:szCs w:val="24"/>
                <w:lang w:val="en-US" w:eastAsia="zh-CN"/>
              </w:rPr>
              <w:t>-</w:t>
            </w:r>
            <w:r>
              <w:rPr>
                <w:color w:val="auto"/>
                <w:sz w:val="24"/>
                <w:szCs w:val="24"/>
              </w:rPr>
              <w:t>210℃</w:t>
            </w:r>
            <w:r>
              <w:rPr>
                <w:rFonts w:hint="eastAsia"/>
                <w:color w:val="auto"/>
                <w:sz w:val="24"/>
                <w:szCs w:val="24"/>
                <w:lang w:eastAsia="zh-CN"/>
              </w:rPr>
              <w:t>。</w:t>
            </w:r>
            <w:r>
              <w:rPr>
                <w:color w:val="auto"/>
                <w:sz w:val="24"/>
                <w:szCs w:val="24"/>
              </w:rPr>
              <w:t>加热、熔融后的原料经过螺杆的旋转，使塑料由固体颗粒状变成</w:t>
            </w:r>
            <w:r>
              <w:rPr>
                <w:rFonts w:hint="eastAsia"/>
                <w:color w:val="auto"/>
                <w:sz w:val="24"/>
                <w:szCs w:val="24"/>
                <w:lang w:val="en-US" w:eastAsia="zh-CN"/>
              </w:rPr>
              <w:t>熔融状的薄膜</w:t>
            </w:r>
            <w:r>
              <w:rPr>
                <w:rFonts w:hint="eastAsia"/>
                <w:color w:val="auto"/>
                <w:lang w:val="en-US" w:eastAsia="zh-CN"/>
              </w:rPr>
              <w:t>。</w:t>
            </w:r>
            <w:r>
              <w:rPr>
                <w:rFonts w:hint="eastAsia"/>
                <w:color w:val="auto"/>
                <w:sz w:val="24"/>
                <w:szCs w:val="24"/>
                <w:lang w:val="en-US" w:eastAsia="zh-CN"/>
              </w:rPr>
              <w:t>此过程会产生G1非甲烷总烃、S1熔融残渣、N噪声</w:t>
            </w:r>
            <w:r>
              <w:rPr>
                <w:rFonts w:hint="eastAsia"/>
                <w:color w:val="auto"/>
                <w:lang w:val="en-US" w:eastAsia="zh-CN"/>
              </w:rPr>
              <w:t>。</w:t>
            </w:r>
          </w:p>
          <w:p w14:paraId="56BB006D">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eastAsia="宋体"/>
                <w:sz w:val="24"/>
                <w:szCs w:val="24"/>
                <w:lang w:val="en-US" w:eastAsia="zh-CN"/>
              </w:rPr>
              <w:t>冷却</w:t>
            </w:r>
            <w:r>
              <w:rPr>
                <w:rFonts w:hint="default" w:eastAsia="宋体"/>
                <w:sz w:val="24"/>
                <w:szCs w:val="24"/>
                <w:lang w:val="en-US" w:eastAsia="zh-CN"/>
              </w:rPr>
              <w:t>：挤出后产品经冷却水槽直接冷却，水槽内用水循环使用、</w:t>
            </w:r>
            <w:r>
              <w:rPr>
                <w:rFonts w:hint="eastAsia" w:eastAsia="宋体"/>
                <w:sz w:val="24"/>
                <w:szCs w:val="24"/>
                <w:lang w:val="en-US" w:eastAsia="zh-CN"/>
              </w:rPr>
              <w:t>不</w:t>
            </w:r>
            <w:r>
              <w:rPr>
                <w:rFonts w:hint="default" w:eastAsia="宋体"/>
                <w:sz w:val="24"/>
                <w:szCs w:val="24"/>
                <w:lang w:val="en-US" w:eastAsia="zh-CN"/>
              </w:rPr>
              <w:t>外排</w:t>
            </w:r>
            <w:r>
              <w:rPr>
                <w:rFonts w:hint="eastAsia" w:eastAsia="宋体"/>
                <w:sz w:val="24"/>
                <w:szCs w:val="24"/>
                <w:lang w:val="en-US" w:eastAsia="zh-CN"/>
              </w:rPr>
              <w:t>。</w:t>
            </w:r>
          </w:p>
          <w:p w14:paraId="227BF4FE">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eastAsia="宋体"/>
                <w:sz w:val="24"/>
                <w:szCs w:val="24"/>
                <w:lang w:val="en-US" w:eastAsia="zh-CN"/>
              </w:rPr>
              <w:t>切割拉丝：冷却后的塑料薄膜通过高速旋转的刀组切割成特定宽度的塑料扁丝（纤维丝），切割过程中通过张力控制器保持丝线均匀。</w:t>
            </w:r>
            <w:r>
              <w:rPr>
                <w:rFonts w:hint="eastAsia"/>
                <w:color w:val="auto"/>
                <w:sz w:val="24"/>
                <w:szCs w:val="24"/>
                <w:lang w:val="en-US" w:eastAsia="zh-CN"/>
              </w:rPr>
              <w:t>此过程会产生S2边角料、N噪声</w:t>
            </w:r>
            <w:r>
              <w:rPr>
                <w:rFonts w:hint="eastAsia"/>
                <w:color w:val="auto"/>
                <w:lang w:val="en-US" w:eastAsia="zh-CN"/>
              </w:rPr>
              <w:t>。</w:t>
            </w:r>
          </w:p>
          <w:p w14:paraId="38D340CF">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ascii="Times New Roman" w:hAnsi="Times New Roman" w:eastAsia="宋体" w:cs="Times New Roman"/>
                <w:color w:val="auto"/>
                <w:sz w:val="24"/>
                <w:szCs w:val="24"/>
                <w:lang w:val="en-US" w:eastAsia="zh-CN"/>
              </w:rPr>
              <w:t>绕卷：</w:t>
            </w:r>
            <w:r>
              <w:rPr>
                <w:rFonts w:hint="default" w:ascii="Times New Roman" w:hAnsi="Times New Roman" w:eastAsia="宋体" w:cs="Times New Roman"/>
                <w:color w:val="auto"/>
                <w:sz w:val="24"/>
                <w:szCs w:val="24"/>
                <w:lang w:val="en-US" w:eastAsia="zh-CN"/>
              </w:rPr>
              <w:t>切割拉丝后的丝材进入绕卷工序，通过绕卷设备将丝材规整绕卷，便于后续编织，该过程产生噪声（N）</w:t>
            </w:r>
            <w:r>
              <w:rPr>
                <w:rFonts w:hint="eastAsia" w:ascii="Times New Roman" w:hAnsi="Times New Roman" w:eastAsia="宋体" w:cs="Times New Roman"/>
                <w:color w:val="auto"/>
                <w:sz w:val="24"/>
                <w:szCs w:val="24"/>
                <w:lang w:val="en-US" w:eastAsia="zh-CN"/>
              </w:rPr>
              <w:t>。</w:t>
            </w:r>
          </w:p>
          <w:p w14:paraId="1211FDAD">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eastAsia="宋体"/>
                <w:color w:val="auto"/>
                <w:sz w:val="24"/>
                <w:szCs w:val="24"/>
                <w:lang w:val="en-US" w:eastAsia="zh-CN"/>
              </w:rPr>
              <w:t>编织成</w:t>
            </w:r>
            <w:r>
              <w:rPr>
                <w:rFonts w:hint="eastAsia"/>
                <w:color w:val="auto"/>
                <w:sz w:val="24"/>
                <w:szCs w:val="24"/>
                <w:lang w:val="en-US" w:eastAsia="zh-CN"/>
              </w:rPr>
              <w:t>网</w:t>
            </w:r>
            <w:r>
              <w:rPr>
                <w:rFonts w:hint="eastAsia" w:eastAsia="宋体"/>
                <w:color w:val="auto"/>
                <w:sz w:val="24"/>
                <w:szCs w:val="24"/>
                <w:lang w:val="en-US" w:eastAsia="zh-CN"/>
              </w:rPr>
              <w:t>：</w:t>
            </w:r>
            <w:r>
              <w:rPr>
                <w:rFonts w:hint="eastAsia"/>
                <w:color w:val="auto"/>
                <w:sz w:val="24"/>
                <w:szCs w:val="24"/>
                <w:lang w:val="en-US" w:eastAsia="zh-CN"/>
              </w:rPr>
              <w:t>绕卷的塑料丝</w:t>
            </w:r>
            <w:r>
              <w:rPr>
                <w:rFonts w:hint="eastAsia" w:eastAsia="宋体"/>
                <w:color w:val="auto"/>
                <w:sz w:val="24"/>
                <w:szCs w:val="24"/>
                <w:lang w:val="en-US" w:eastAsia="zh-CN"/>
              </w:rPr>
              <w:t>通过编织机编织成网状结构，</w:t>
            </w:r>
            <w:r>
              <w:rPr>
                <w:rFonts w:ascii="Segoe UI" w:hAnsi="Segoe UI" w:eastAsia="Segoe UI" w:cs="Segoe UI"/>
                <w:i w:val="0"/>
                <w:iCs w:val="0"/>
                <w:caps w:val="0"/>
                <w:color w:val="auto"/>
                <w:spacing w:val="0"/>
                <w:sz w:val="24"/>
                <w:szCs w:val="24"/>
                <w:shd w:val="clear" w:color="auto" w:fill="FFFFFF"/>
              </w:rPr>
              <w:t>成品定型后收卷，收卷速度与编织同步。</w:t>
            </w:r>
            <w:r>
              <w:rPr>
                <w:rFonts w:hint="eastAsia"/>
                <w:color w:val="auto"/>
                <w:sz w:val="24"/>
                <w:szCs w:val="24"/>
                <w:lang w:val="en-US" w:eastAsia="zh-CN"/>
              </w:rPr>
              <w:t>此过程会产生S3不合格品、N噪声</w:t>
            </w:r>
            <w:r>
              <w:rPr>
                <w:rFonts w:hint="eastAsia"/>
                <w:color w:val="auto"/>
                <w:lang w:val="en-US" w:eastAsia="zh-CN"/>
              </w:rPr>
              <w:t>。</w:t>
            </w:r>
          </w:p>
          <w:p w14:paraId="142F9FB2">
            <w:pPr>
              <w:numPr>
                <w:ilvl w:val="0"/>
                <w:numId w:val="11"/>
              </w:numPr>
              <w:autoSpaceDE/>
              <w:autoSpaceDN/>
              <w:spacing w:line="360" w:lineRule="auto"/>
              <w:ind w:firstLine="480" w:firstLineChars="200"/>
              <w:jc w:val="both"/>
              <w:rPr>
                <w:rFonts w:hint="default" w:eastAsia="宋体"/>
                <w:sz w:val="24"/>
                <w:szCs w:val="24"/>
                <w:lang w:val="en-US" w:eastAsia="zh-CN"/>
              </w:rPr>
            </w:pPr>
            <w:r>
              <w:rPr>
                <w:rFonts w:hint="eastAsia"/>
                <w:sz w:val="24"/>
                <w:szCs w:val="24"/>
                <w:lang w:val="en-US" w:eastAsia="zh-CN"/>
              </w:rPr>
              <w:t>成品出库</w:t>
            </w:r>
            <w:r>
              <w:rPr>
                <w:sz w:val="24"/>
                <w:szCs w:val="24"/>
              </w:rPr>
              <w:t>：</w:t>
            </w:r>
            <w:r>
              <w:rPr>
                <w:rFonts w:hint="eastAsia" w:eastAsia="宋体"/>
                <w:bCs/>
                <w:sz w:val="24"/>
                <w:szCs w:val="21"/>
                <w:lang w:val="en-US" w:eastAsia="zh-CN"/>
              </w:rPr>
              <w:t>包装后的圆筒型物即为成品，打包出库。包装过程有S</w:t>
            </w:r>
            <w:r>
              <w:rPr>
                <w:rFonts w:hint="eastAsia"/>
                <w:bCs/>
                <w:sz w:val="24"/>
                <w:szCs w:val="21"/>
                <w:lang w:val="en-US" w:eastAsia="zh-CN"/>
              </w:rPr>
              <w:t>4</w:t>
            </w:r>
            <w:r>
              <w:rPr>
                <w:rFonts w:hint="eastAsia" w:eastAsia="宋体"/>
                <w:bCs/>
                <w:sz w:val="24"/>
                <w:szCs w:val="21"/>
                <w:lang w:val="en-US" w:eastAsia="zh-CN"/>
              </w:rPr>
              <w:t>废包装材料产生。</w:t>
            </w:r>
          </w:p>
          <w:p w14:paraId="0FD28505">
            <w:pPr>
              <w:pStyle w:val="16"/>
              <w:adjustRightInd w:val="0"/>
              <w:spacing w:after="0" w:line="360" w:lineRule="auto"/>
              <w:ind w:left="-73" w:leftChars="-35" w:firstLine="482" w:firstLineChars="200"/>
              <w:rPr>
                <w:b/>
                <w:szCs w:val="24"/>
              </w:rPr>
            </w:pPr>
            <w:r>
              <w:rPr>
                <w:rFonts w:hint="eastAsia"/>
                <w:b/>
                <w:szCs w:val="24"/>
              </w:rPr>
              <w:t>2</w:t>
            </w:r>
            <w:r>
              <w:rPr>
                <w:b/>
                <w:szCs w:val="24"/>
              </w:rPr>
              <w:t>、产污环节分析</w:t>
            </w:r>
          </w:p>
          <w:p w14:paraId="1EA7DA22">
            <w:pPr>
              <w:spacing w:line="360" w:lineRule="auto"/>
              <w:ind w:firstLine="480" w:firstLineChars="200"/>
              <w:rPr>
                <w:rFonts w:hint="eastAsia"/>
                <w:kern w:val="0"/>
                <w:sz w:val="24"/>
              </w:rPr>
            </w:pPr>
            <w:r>
              <w:rPr>
                <w:kern w:val="0"/>
                <w:sz w:val="24"/>
              </w:rPr>
              <w:t>本项目产污情况详见下表</w:t>
            </w:r>
            <w:r>
              <w:rPr>
                <w:rFonts w:hint="eastAsia"/>
                <w:kern w:val="0"/>
                <w:sz w:val="24"/>
              </w:rPr>
              <w:t>：</w:t>
            </w:r>
          </w:p>
          <w:p w14:paraId="71FE4ECE">
            <w:pPr>
              <w:numPr>
                <w:ilvl w:val="0"/>
                <w:numId w:val="7"/>
              </w:numPr>
              <w:spacing w:line="360" w:lineRule="auto"/>
              <w:ind w:left="0" w:leftChars="0" w:firstLine="0" w:firstLineChars="0"/>
              <w:jc w:val="center"/>
              <w:rPr>
                <w:b/>
                <w:sz w:val="24"/>
              </w:rPr>
            </w:pPr>
            <w:r>
              <w:rPr>
                <w:b/>
                <w:sz w:val="24"/>
              </w:rPr>
              <w:t>项目产污情况一览表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2131"/>
              <w:gridCol w:w="1822"/>
              <w:gridCol w:w="3810"/>
            </w:tblGrid>
            <w:tr w14:paraId="7A58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noWrap w:val="0"/>
                  <w:vAlign w:val="center"/>
                </w:tcPr>
                <w:p w14:paraId="704E74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val="0"/>
                      <w:sz w:val="21"/>
                      <w:szCs w:val="21"/>
                      <w:vertAlign w:val="baseline"/>
                      <w:lang w:val="en-US" w:eastAsia="zh-CN"/>
                    </w:rPr>
                  </w:pPr>
                  <w:r>
                    <w:rPr>
                      <w:rFonts w:hint="eastAsia" w:ascii="Times New Roman" w:hAnsi="Times New Roman" w:eastAsia="宋体"/>
                      <w:b/>
                      <w:bCs w:val="0"/>
                      <w:sz w:val="21"/>
                      <w:szCs w:val="21"/>
                      <w:vertAlign w:val="baseline"/>
                      <w:lang w:val="en-US" w:eastAsia="zh-CN"/>
                    </w:rPr>
                    <w:t>类别</w:t>
                  </w:r>
                </w:p>
              </w:tc>
              <w:tc>
                <w:tcPr>
                  <w:tcW w:w="1228" w:type="pct"/>
                  <w:noWrap w:val="0"/>
                  <w:vAlign w:val="center"/>
                </w:tcPr>
                <w:p w14:paraId="1F328F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val="0"/>
                      <w:sz w:val="21"/>
                      <w:szCs w:val="21"/>
                      <w:vertAlign w:val="baseline"/>
                      <w:lang w:val="en-US" w:eastAsia="zh-CN"/>
                    </w:rPr>
                  </w:pPr>
                  <w:r>
                    <w:rPr>
                      <w:rFonts w:hint="eastAsia" w:ascii="Times New Roman" w:hAnsi="Times New Roman" w:eastAsia="宋体"/>
                      <w:b/>
                      <w:bCs w:val="0"/>
                      <w:sz w:val="21"/>
                      <w:szCs w:val="21"/>
                      <w:vertAlign w:val="baseline"/>
                      <w:lang w:val="en-US" w:eastAsia="zh-CN"/>
                    </w:rPr>
                    <w:t>产污环节</w:t>
                  </w:r>
                </w:p>
              </w:tc>
              <w:tc>
                <w:tcPr>
                  <w:tcW w:w="1050" w:type="pct"/>
                  <w:noWrap w:val="0"/>
                  <w:vAlign w:val="center"/>
                </w:tcPr>
                <w:p w14:paraId="05CFF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val="0"/>
                      <w:sz w:val="21"/>
                      <w:szCs w:val="21"/>
                      <w:vertAlign w:val="baseline"/>
                      <w:lang w:val="en-US" w:eastAsia="zh-CN"/>
                    </w:rPr>
                  </w:pPr>
                  <w:r>
                    <w:rPr>
                      <w:rFonts w:hint="eastAsia" w:ascii="Times New Roman" w:hAnsi="Times New Roman" w:eastAsia="宋体"/>
                      <w:b/>
                      <w:bCs w:val="0"/>
                      <w:sz w:val="21"/>
                      <w:szCs w:val="21"/>
                      <w:vertAlign w:val="baseline"/>
                      <w:lang w:val="en-US" w:eastAsia="zh-CN"/>
                    </w:rPr>
                    <w:t>污染物</w:t>
                  </w:r>
                </w:p>
              </w:tc>
              <w:tc>
                <w:tcPr>
                  <w:tcW w:w="2196" w:type="pct"/>
                  <w:noWrap w:val="0"/>
                  <w:vAlign w:val="center"/>
                </w:tcPr>
                <w:p w14:paraId="6AB58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
                      <w:bCs w:val="0"/>
                      <w:sz w:val="21"/>
                      <w:szCs w:val="21"/>
                      <w:vertAlign w:val="baseline"/>
                      <w:lang w:val="en-US" w:eastAsia="zh-CN"/>
                    </w:rPr>
                  </w:pPr>
                  <w:r>
                    <w:rPr>
                      <w:rFonts w:hint="eastAsia" w:ascii="Times New Roman" w:hAnsi="Times New Roman" w:eastAsia="宋体"/>
                      <w:b/>
                      <w:bCs w:val="0"/>
                      <w:sz w:val="21"/>
                      <w:szCs w:val="21"/>
                      <w:vertAlign w:val="baseline"/>
                      <w:lang w:val="en-US" w:eastAsia="zh-CN"/>
                    </w:rPr>
                    <w:t>治理措施</w:t>
                  </w:r>
                </w:p>
              </w:tc>
            </w:tr>
            <w:tr w14:paraId="55A1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25" w:type="pct"/>
                  <w:noWrap w:val="0"/>
                  <w:vAlign w:val="center"/>
                </w:tcPr>
                <w:p w14:paraId="21E78E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废气</w:t>
                  </w:r>
                </w:p>
              </w:tc>
              <w:tc>
                <w:tcPr>
                  <w:tcW w:w="1228" w:type="pct"/>
                  <w:noWrap w:val="0"/>
                  <w:vAlign w:val="center"/>
                </w:tcPr>
                <w:p w14:paraId="4E8711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熔融挤出废气G1</w:t>
                  </w:r>
                </w:p>
              </w:tc>
              <w:tc>
                <w:tcPr>
                  <w:tcW w:w="1050" w:type="pct"/>
                  <w:noWrap w:val="0"/>
                  <w:vAlign w:val="center"/>
                </w:tcPr>
                <w:p w14:paraId="2DEA5C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非甲烷总烃</w:t>
                  </w:r>
                </w:p>
              </w:tc>
              <w:tc>
                <w:tcPr>
                  <w:tcW w:w="2196" w:type="pct"/>
                  <w:noWrap w:val="0"/>
                  <w:vAlign w:val="center"/>
                </w:tcPr>
                <w:p w14:paraId="57AD37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集气罩+二级活性炭吸附装置+15m高排气筒</w:t>
                  </w:r>
                </w:p>
              </w:tc>
            </w:tr>
            <w:tr w14:paraId="0C48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noWrap w:val="0"/>
                  <w:vAlign w:val="center"/>
                </w:tcPr>
                <w:p w14:paraId="15440B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废水</w:t>
                  </w:r>
                </w:p>
              </w:tc>
              <w:tc>
                <w:tcPr>
                  <w:tcW w:w="1228" w:type="pct"/>
                  <w:noWrap w:val="0"/>
                  <w:vAlign w:val="center"/>
                </w:tcPr>
                <w:p w14:paraId="4E288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职工生活、办公</w:t>
                  </w:r>
                </w:p>
              </w:tc>
              <w:tc>
                <w:tcPr>
                  <w:tcW w:w="1050" w:type="pct"/>
                  <w:noWrap w:val="0"/>
                  <w:vAlign w:val="center"/>
                </w:tcPr>
                <w:p w14:paraId="56CBD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生活污水</w:t>
                  </w:r>
                </w:p>
              </w:tc>
              <w:tc>
                <w:tcPr>
                  <w:tcW w:w="2196" w:type="pct"/>
                  <w:noWrap w:val="0"/>
                  <w:vAlign w:val="center"/>
                </w:tcPr>
                <w:p w14:paraId="64C15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化粪池预处理后委托环卫部门清运处置</w:t>
                  </w:r>
                </w:p>
              </w:tc>
            </w:tr>
            <w:tr w14:paraId="01BB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noWrap w:val="0"/>
                  <w:vAlign w:val="center"/>
                </w:tcPr>
                <w:p w14:paraId="4E7EA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噪声</w:t>
                  </w:r>
                </w:p>
              </w:tc>
              <w:tc>
                <w:tcPr>
                  <w:tcW w:w="1228" w:type="pct"/>
                  <w:noWrap w:val="0"/>
                  <w:vAlign w:val="center"/>
                </w:tcPr>
                <w:p w14:paraId="0B630A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机械设备</w:t>
                  </w:r>
                </w:p>
              </w:tc>
              <w:tc>
                <w:tcPr>
                  <w:tcW w:w="1050" w:type="pct"/>
                  <w:noWrap w:val="0"/>
                  <w:vAlign w:val="center"/>
                </w:tcPr>
                <w:p w14:paraId="4643FE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噪声</w:t>
                  </w:r>
                </w:p>
              </w:tc>
              <w:tc>
                <w:tcPr>
                  <w:tcW w:w="2196" w:type="pct"/>
                  <w:noWrap w:val="0"/>
                  <w:vAlign w:val="center"/>
                </w:tcPr>
                <w:p w14:paraId="42131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color w:val="auto"/>
                      <w:sz w:val="21"/>
                      <w:szCs w:val="21"/>
                    </w:rPr>
                    <w:t>选用低噪声设备</w:t>
                  </w:r>
                  <w:r>
                    <w:rPr>
                      <w:rFonts w:hint="eastAsia"/>
                      <w:color w:val="auto"/>
                      <w:sz w:val="21"/>
                      <w:szCs w:val="21"/>
                      <w:lang w:eastAsia="zh-CN"/>
                    </w:rPr>
                    <w:t>、</w:t>
                  </w:r>
                  <w:r>
                    <w:rPr>
                      <w:rFonts w:hint="eastAsia"/>
                      <w:bCs/>
                      <w:sz w:val="21"/>
                      <w:szCs w:val="21"/>
                      <w:vertAlign w:val="baseline"/>
                      <w:lang w:val="en-US" w:eastAsia="zh-CN"/>
                    </w:rPr>
                    <w:t>减振、隔声</w:t>
                  </w:r>
                </w:p>
              </w:tc>
            </w:tr>
            <w:tr w14:paraId="2CBC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restart"/>
                  <w:noWrap w:val="0"/>
                  <w:vAlign w:val="center"/>
                </w:tcPr>
                <w:p w14:paraId="3C1B3A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固废</w:t>
                  </w:r>
                </w:p>
              </w:tc>
              <w:tc>
                <w:tcPr>
                  <w:tcW w:w="1228" w:type="pct"/>
                  <w:noWrap w:val="0"/>
                  <w:vAlign w:val="center"/>
                </w:tcPr>
                <w:p w14:paraId="1A4126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包装</w:t>
                  </w:r>
                </w:p>
              </w:tc>
              <w:tc>
                <w:tcPr>
                  <w:tcW w:w="1050" w:type="pct"/>
                  <w:noWrap w:val="0"/>
                  <w:vAlign w:val="center"/>
                </w:tcPr>
                <w:p w14:paraId="2AC74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废包装材料</w:t>
                  </w:r>
                </w:p>
              </w:tc>
              <w:tc>
                <w:tcPr>
                  <w:tcW w:w="2196" w:type="pct"/>
                  <w:vMerge w:val="restart"/>
                  <w:noWrap w:val="0"/>
                  <w:vAlign w:val="center"/>
                </w:tcPr>
                <w:p w14:paraId="66F132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集中收集，综合外售利用</w:t>
                  </w:r>
                </w:p>
              </w:tc>
            </w:tr>
            <w:tr w14:paraId="2413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14:paraId="55C36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Cs/>
                      <w:sz w:val="21"/>
                      <w:szCs w:val="21"/>
                      <w:vertAlign w:val="baseline"/>
                      <w:lang w:val="en-US" w:eastAsia="zh-CN"/>
                    </w:rPr>
                  </w:pPr>
                </w:p>
              </w:tc>
              <w:tc>
                <w:tcPr>
                  <w:tcW w:w="1228" w:type="pct"/>
                  <w:noWrap w:val="0"/>
                  <w:vAlign w:val="center"/>
                </w:tcPr>
                <w:p w14:paraId="243F8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熔融挤出</w:t>
                  </w:r>
                </w:p>
              </w:tc>
              <w:tc>
                <w:tcPr>
                  <w:tcW w:w="1050" w:type="pct"/>
                  <w:noWrap w:val="0"/>
                  <w:vAlign w:val="center"/>
                </w:tcPr>
                <w:p w14:paraId="148618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熔融残渣</w:t>
                  </w:r>
                </w:p>
              </w:tc>
              <w:tc>
                <w:tcPr>
                  <w:tcW w:w="2196" w:type="pct"/>
                  <w:vMerge w:val="continue"/>
                  <w:noWrap w:val="0"/>
                  <w:vAlign w:val="center"/>
                </w:tcPr>
                <w:p w14:paraId="117309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lang w:val="en-US" w:eastAsia="zh-CN"/>
                    </w:rPr>
                  </w:pPr>
                </w:p>
              </w:tc>
            </w:tr>
            <w:tr w14:paraId="4AF3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14:paraId="424EF0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Cs/>
                      <w:sz w:val="21"/>
                      <w:szCs w:val="21"/>
                      <w:vertAlign w:val="baseline"/>
                      <w:lang w:val="en-US" w:eastAsia="zh-CN"/>
                    </w:rPr>
                  </w:pPr>
                </w:p>
              </w:tc>
              <w:tc>
                <w:tcPr>
                  <w:tcW w:w="1228" w:type="pct"/>
                  <w:noWrap w:val="0"/>
                  <w:vAlign w:val="center"/>
                </w:tcPr>
                <w:p w14:paraId="3D6E08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裁剪</w:t>
                  </w:r>
                </w:p>
              </w:tc>
              <w:tc>
                <w:tcPr>
                  <w:tcW w:w="1050" w:type="pct"/>
                  <w:noWrap w:val="0"/>
                  <w:vAlign w:val="center"/>
                </w:tcPr>
                <w:p w14:paraId="54D0A8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边角料、不合格品</w:t>
                  </w:r>
                </w:p>
              </w:tc>
              <w:tc>
                <w:tcPr>
                  <w:tcW w:w="2196" w:type="pct"/>
                  <w:vMerge w:val="continue"/>
                  <w:noWrap w:val="0"/>
                  <w:vAlign w:val="center"/>
                </w:tcPr>
                <w:p w14:paraId="09DBDD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lang w:val="en-US" w:eastAsia="zh-CN"/>
                    </w:rPr>
                  </w:pPr>
                </w:p>
              </w:tc>
            </w:tr>
            <w:tr w14:paraId="2BFA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14:paraId="00EF35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Cs/>
                      <w:sz w:val="21"/>
                      <w:szCs w:val="21"/>
                      <w:vertAlign w:val="baseline"/>
                      <w:lang w:val="en-US" w:eastAsia="zh-CN"/>
                    </w:rPr>
                  </w:pPr>
                </w:p>
              </w:tc>
              <w:tc>
                <w:tcPr>
                  <w:tcW w:w="1228" w:type="pct"/>
                  <w:noWrap w:val="0"/>
                  <w:vAlign w:val="center"/>
                </w:tcPr>
                <w:p w14:paraId="01A59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废气处理</w:t>
                  </w:r>
                </w:p>
              </w:tc>
              <w:tc>
                <w:tcPr>
                  <w:tcW w:w="1050" w:type="pct"/>
                  <w:noWrap w:val="0"/>
                  <w:vAlign w:val="center"/>
                </w:tcPr>
                <w:p w14:paraId="6324C6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废活性炭</w:t>
                  </w:r>
                </w:p>
              </w:tc>
              <w:tc>
                <w:tcPr>
                  <w:tcW w:w="2196" w:type="pct"/>
                  <w:vMerge w:val="restart"/>
                  <w:noWrap w:val="0"/>
                  <w:vAlign w:val="center"/>
                </w:tcPr>
                <w:p w14:paraId="7AB93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集中收集后暂存于危废暂存间，定期交由有资质单位处理</w:t>
                  </w:r>
                </w:p>
              </w:tc>
            </w:tr>
            <w:tr w14:paraId="482B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14:paraId="4CF8F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Cs/>
                      <w:sz w:val="21"/>
                      <w:szCs w:val="21"/>
                      <w:vertAlign w:val="baseline"/>
                      <w:lang w:val="en-US" w:eastAsia="zh-CN"/>
                    </w:rPr>
                  </w:pPr>
                </w:p>
              </w:tc>
              <w:tc>
                <w:tcPr>
                  <w:tcW w:w="1228" w:type="pct"/>
                  <w:noWrap w:val="0"/>
                  <w:vAlign w:val="center"/>
                </w:tcPr>
                <w:p w14:paraId="5E62A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机械设备运营</w:t>
                  </w:r>
                </w:p>
              </w:tc>
              <w:tc>
                <w:tcPr>
                  <w:tcW w:w="1050" w:type="pct"/>
                  <w:noWrap w:val="0"/>
                  <w:vAlign w:val="center"/>
                </w:tcPr>
                <w:p w14:paraId="4C84F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废机油</w:t>
                  </w:r>
                </w:p>
              </w:tc>
              <w:tc>
                <w:tcPr>
                  <w:tcW w:w="2196" w:type="pct"/>
                  <w:vMerge w:val="continue"/>
                  <w:noWrap w:val="0"/>
                  <w:vAlign w:val="center"/>
                </w:tcPr>
                <w:p w14:paraId="1D5AEE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lang w:val="en-US" w:eastAsia="zh-CN"/>
                    </w:rPr>
                  </w:pPr>
                </w:p>
              </w:tc>
            </w:tr>
            <w:tr w14:paraId="4F06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noWrap w:val="0"/>
                  <w:vAlign w:val="center"/>
                </w:tcPr>
                <w:p w14:paraId="64A2CF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bCs/>
                      <w:sz w:val="21"/>
                      <w:szCs w:val="21"/>
                      <w:vertAlign w:val="baseline"/>
                      <w:lang w:val="en-US" w:eastAsia="zh-CN"/>
                    </w:rPr>
                  </w:pPr>
                </w:p>
              </w:tc>
              <w:tc>
                <w:tcPr>
                  <w:tcW w:w="1228" w:type="pct"/>
                  <w:noWrap w:val="0"/>
                  <w:vAlign w:val="center"/>
                </w:tcPr>
                <w:p w14:paraId="5B746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职工生活、办公</w:t>
                  </w:r>
                </w:p>
              </w:tc>
              <w:tc>
                <w:tcPr>
                  <w:tcW w:w="1050" w:type="pct"/>
                  <w:noWrap w:val="0"/>
                  <w:vAlign w:val="center"/>
                </w:tcPr>
                <w:p w14:paraId="325AD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ascii="Times New Roman" w:hAnsi="Times New Roman" w:eastAsia="宋体"/>
                      <w:bCs/>
                      <w:sz w:val="21"/>
                      <w:szCs w:val="21"/>
                      <w:vertAlign w:val="baseline"/>
                      <w:lang w:val="en-US" w:eastAsia="zh-CN"/>
                    </w:rPr>
                    <w:t>生活垃圾</w:t>
                  </w:r>
                </w:p>
              </w:tc>
              <w:tc>
                <w:tcPr>
                  <w:tcW w:w="2196" w:type="pct"/>
                  <w:noWrap w:val="0"/>
                  <w:vAlign w:val="center"/>
                </w:tcPr>
                <w:p w14:paraId="3B48C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bCs/>
                      <w:sz w:val="21"/>
                      <w:szCs w:val="21"/>
                      <w:vertAlign w:val="baseline"/>
                      <w:lang w:val="en-US" w:eastAsia="zh-CN"/>
                    </w:rPr>
                  </w:pPr>
                  <w:r>
                    <w:rPr>
                      <w:rFonts w:hint="eastAsia"/>
                      <w:bCs/>
                      <w:sz w:val="21"/>
                      <w:szCs w:val="21"/>
                      <w:vertAlign w:val="baseline"/>
                      <w:lang w:val="en-US" w:eastAsia="zh-CN"/>
                    </w:rPr>
                    <w:t>集中收集后由环卫部门清运</w:t>
                  </w:r>
                </w:p>
              </w:tc>
            </w:tr>
          </w:tbl>
          <w:p w14:paraId="1AE79D78">
            <w:pPr>
              <w:adjustRightInd w:val="0"/>
              <w:snapToGrid w:val="0"/>
              <w:spacing w:line="360" w:lineRule="auto"/>
              <w:rPr>
                <w:rFonts w:hint="eastAsia" w:eastAsia="宋体"/>
                <w:b/>
                <w:szCs w:val="21"/>
                <w:lang w:eastAsia="zh-CN"/>
              </w:rPr>
            </w:pPr>
            <w:r>
              <w:rPr>
                <w:rFonts w:hint="eastAsia"/>
                <w:b/>
                <w:szCs w:val="21"/>
                <w:lang w:eastAsia="zh-CN"/>
              </w:rPr>
              <w:t xml:space="preserve"> </w:t>
            </w:r>
          </w:p>
        </w:tc>
      </w:tr>
      <w:tr w14:paraId="39706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2" w:hRule="atLeast"/>
          <w:jc w:val="center"/>
        </w:trPr>
        <w:tc>
          <w:tcPr>
            <w:tcW w:w="647" w:type="dxa"/>
            <w:noWrap w:val="0"/>
            <w:vAlign w:val="center"/>
          </w:tcPr>
          <w:p w14:paraId="5CA5ECEA">
            <w:pPr>
              <w:pStyle w:val="31"/>
              <w:adjustRightInd w:val="0"/>
              <w:snapToGrid w:val="0"/>
              <w:spacing w:before="0" w:beforeAutospacing="0" w:after="0" w:afterAutospacing="0"/>
              <w:jc w:val="center"/>
              <w:rPr>
                <w:rFonts w:ascii="Times New Roman" w:hAnsi="Times New Roman"/>
                <w:b/>
                <w:sz w:val="21"/>
                <w:szCs w:val="21"/>
              </w:rPr>
            </w:pPr>
            <w:r>
              <w:rPr>
                <w:rFonts w:ascii="Times New Roman" w:hAnsi="Times New Roman"/>
                <w:b/>
                <w:bCs/>
                <w:kern w:val="2"/>
                <w:sz w:val="21"/>
                <w:szCs w:val="21"/>
              </w:rPr>
              <w:t>与项目有关的原有环境污染问题</w:t>
            </w:r>
          </w:p>
        </w:tc>
        <w:tc>
          <w:tcPr>
            <w:tcW w:w="8903" w:type="dxa"/>
            <w:noWrap w:val="0"/>
            <w:vAlign w:val="center"/>
          </w:tcPr>
          <w:p w14:paraId="1FE51286">
            <w:pPr>
              <w:adjustRightInd w:val="0"/>
              <w:snapToGrid w:val="0"/>
              <w:spacing w:line="360" w:lineRule="auto"/>
              <w:ind w:firstLine="480" w:firstLineChars="200"/>
              <w:jc w:val="left"/>
              <w:rPr>
                <w:rFonts w:hint="default" w:eastAsia="宋体"/>
                <w:bCs/>
                <w:szCs w:val="21"/>
                <w:lang w:val="en-US" w:eastAsia="zh-CN"/>
              </w:rPr>
            </w:pPr>
            <w:r>
              <w:rPr>
                <w:rFonts w:hint="eastAsia"/>
                <w:color w:val="auto"/>
                <w:sz w:val="24"/>
                <w:lang w:val="en-US" w:eastAsia="zh-CN"/>
              </w:rPr>
              <w:t>项目用地建设前一直为空地，无工业活动历史，不存在历史遗留污染问题；本项目设备安装前，厂区一直处于空置状态，未用于任何生产活动，无环境污染。因此，项目用地环境本底状况良好，无原有环境污染问题。</w:t>
            </w:r>
          </w:p>
        </w:tc>
      </w:tr>
    </w:tbl>
    <w:p w14:paraId="538434B1">
      <w:pPr>
        <w:pStyle w:val="31"/>
        <w:jc w:val="center"/>
        <w:rPr>
          <w:rFonts w:ascii="Times New Roman" w:hAnsi="Times New Roman"/>
          <w:snapToGrid w:val="0"/>
          <w:sz w:val="36"/>
          <w:szCs w:val="36"/>
        </w:rPr>
        <w:sectPr>
          <w:headerReference r:id="rId7" w:type="default"/>
          <w:footerReference r:id="rId8" w:type="default"/>
          <w:pgSz w:w="11906" w:h="16838"/>
          <w:pgMar w:top="1417" w:right="1134" w:bottom="1587" w:left="1247" w:header="851" w:footer="851" w:gutter="0"/>
          <w:cols w:space="720" w:num="1"/>
          <w:docGrid w:linePitch="312" w:charSpace="0"/>
        </w:sectPr>
      </w:pPr>
    </w:p>
    <w:p w14:paraId="7BCFD955">
      <w:pPr>
        <w:pStyle w:val="31"/>
        <w:adjustRightInd w:val="0"/>
        <w:snapToGrid w:val="0"/>
        <w:spacing w:before="0" w:beforeAutospacing="0" w:after="0" w:afterAutospacing="0" w:line="15" w:lineRule="auto"/>
        <w:jc w:val="center"/>
        <w:rPr>
          <w:rFonts w:ascii="Times New Roman" w:hAnsi="Times New Roman"/>
          <w:snapToGrid w:val="0"/>
          <w:sz w:val="30"/>
          <w:szCs w:val="30"/>
        </w:rPr>
      </w:pPr>
    </w:p>
    <w:p w14:paraId="2324220C">
      <w:pPr>
        <w:pStyle w:val="31"/>
        <w:jc w:val="center"/>
        <w:outlineLvl w:val="0"/>
        <w:rPr>
          <w:rFonts w:ascii="Times New Roman" w:hAnsi="Times New Roman"/>
          <w:b/>
          <w:snapToGrid w:val="0"/>
          <w:sz w:val="30"/>
          <w:szCs w:val="30"/>
        </w:rPr>
      </w:pPr>
      <w:r>
        <w:rPr>
          <w:rFonts w:ascii="Times New Roman" w:hAnsi="Times New Roman"/>
          <w:b/>
          <w:snapToGrid w:val="0"/>
          <w:sz w:val="30"/>
          <w:szCs w:val="30"/>
        </w:rPr>
        <w:t>三、区域环境质量现状、环境保护目标及评价标准</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051"/>
      </w:tblGrid>
      <w:tr w14:paraId="45403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noWrap w:val="0"/>
            <w:vAlign w:val="center"/>
          </w:tcPr>
          <w:p w14:paraId="02798368">
            <w:pPr>
              <w:adjustRightInd w:val="0"/>
              <w:snapToGrid w:val="0"/>
              <w:jc w:val="center"/>
              <w:rPr>
                <w:b/>
                <w:kern w:val="0"/>
                <w:szCs w:val="21"/>
              </w:rPr>
            </w:pPr>
            <w:r>
              <w:rPr>
                <w:b/>
                <w:kern w:val="0"/>
                <w:szCs w:val="21"/>
              </w:rPr>
              <w:t>区域</w:t>
            </w:r>
          </w:p>
          <w:p w14:paraId="0CB6C9DB">
            <w:pPr>
              <w:adjustRightInd w:val="0"/>
              <w:snapToGrid w:val="0"/>
              <w:jc w:val="center"/>
              <w:rPr>
                <w:b/>
                <w:kern w:val="0"/>
                <w:szCs w:val="21"/>
              </w:rPr>
            </w:pPr>
            <w:r>
              <w:rPr>
                <w:b/>
                <w:kern w:val="0"/>
                <w:szCs w:val="21"/>
              </w:rPr>
              <w:t>环境</w:t>
            </w:r>
          </w:p>
          <w:p w14:paraId="747FCB72">
            <w:pPr>
              <w:adjustRightInd w:val="0"/>
              <w:snapToGrid w:val="0"/>
              <w:jc w:val="center"/>
              <w:rPr>
                <w:b/>
                <w:kern w:val="0"/>
                <w:szCs w:val="21"/>
              </w:rPr>
            </w:pPr>
            <w:r>
              <w:rPr>
                <w:b/>
                <w:kern w:val="0"/>
                <w:szCs w:val="21"/>
              </w:rPr>
              <w:t>质量</w:t>
            </w:r>
          </w:p>
          <w:p w14:paraId="542565B3">
            <w:pPr>
              <w:adjustRightInd w:val="0"/>
              <w:snapToGrid w:val="0"/>
              <w:jc w:val="center"/>
              <w:rPr>
                <w:kern w:val="0"/>
                <w:szCs w:val="21"/>
              </w:rPr>
            </w:pPr>
            <w:r>
              <w:rPr>
                <w:b/>
                <w:kern w:val="0"/>
                <w:szCs w:val="21"/>
              </w:rPr>
              <w:t>现状</w:t>
            </w:r>
          </w:p>
        </w:tc>
        <w:tc>
          <w:tcPr>
            <w:tcW w:w="9051" w:type="dxa"/>
            <w:noWrap w:val="0"/>
            <w:vAlign w:val="top"/>
          </w:tcPr>
          <w:p w14:paraId="3CCC70A7">
            <w:pPr>
              <w:spacing w:line="360" w:lineRule="auto"/>
              <w:ind w:firstLine="482" w:firstLineChars="200"/>
              <w:jc w:val="left"/>
              <w:rPr>
                <w:b/>
                <w:bCs/>
                <w:sz w:val="24"/>
                <w:szCs w:val="32"/>
              </w:rPr>
            </w:pPr>
            <w:bookmarkStart w:id="3" w:name="_Toc16819358"/>
            <w:bookmarkStart w:id="4" w:name="_Toc17555435"/>
            <w:r>
              <w:rPr>
                <w:b/>
                <w:bCs/>
                <w:sz w:val="24"/>
                <w:szCs w:val="32"/>
              </w:rPr>
              <w:t>1、大气环境质量状况</w:t>
            </w:r>
            <w:bookmarkEnd w:id="3"/>
            <w:bookmarkEnd w:id="4"/>
          </w:p>
          <w:p w14:paraId="088D46B2">
            <w:pPr>
              <w:pStyle w:val="97"/>
              <w:spacing w:beforeLines="0"/>
              <w:ind w:firstLine="480"/>
              <w:jc w:val="left"/>
              <w:rPr>
                <w:rFonts w:ascii="Times New Roman" w:hAnsi="Times New Roman"/>
                <w:color w:val="auto"/>
                <w:sz w:val="24"/>
                <w:szCs w:val="32"/>
              </w:rPr>
            </w:pPr>
            <w:bookmarkStart w:id="5" w:name="OLE_LINK5"/>
            <w:r>
              <w:rPr>
                <w:rFonts w:ascii="Times New Roman" w:hAnsi="Times New Roman"/>
                <w:color w:val="auto"/>
                <w:sz w:val="24"/>
                <w:szCs w:val="32"/>
              </w:rPr>
              <w:t>（1）项目所在区域达标判断</w:t>
            </w:r>
          </w:p>
          <w:p w14:paraId="0D6BDD34">
            <w:pPr>
              <w:pStyle w:val="97"/>
              <w:spacing w:beforeLines="0"/>
              <w:ind w:firstLine="480"/>
              <w:jc w:val="left"/>
              <w:rPr>
                <w:rFonts w:ascii="Times New Roman" w:hAnsi="Times New Roman"/>
                <w:color w:val="auto"/>
                <w:sz w:val="24"/>
                <w:szCs w:val="32"/>
                <w:highlight w:val="none"/>
              </w:rPr>
            </w:pPr>
            <w:r>
              <w:rPr>
                <w:rFonts w:ascii="Times New Roman" w:hAnsi="Times New Roman"/>
                <w:color w:val="auto"/>
                <w:sz w:val="24"/>
                <w:szCs w:val="32"/>
                <w:highlight w:val="none"/>
              </w:rPr>
              <w:t>根据《环境影响评价技术导则</w:t>
            </w:r>
            <w:r>
              <w:rPr>
                <w:rFonts w:hint="eastAsia" w:ascii="Times New Roman" w:hAnsi="Times New Roman"/>
                <w:color w:val="auto"/>
                <w:sz w:val="24"/>
                <w:szCs w:val="32"/>
                <w:highlight w:val="none"/>
              </w:rPr>
              <w:t xml:space="preserve"> </w:t>
            </w:r>
            <w:r>
              <w:rPr>
                <w:rFonts w:ascii="Times New Roman" w:hAnsi="Times New Roman"/>
                <w:color w:val="auto"/>
                <w:sz w:val="24"/>
                <w:szCs w:val="32"/>
                <w:highlight w:val="none"/>
              </w:rPr>
              <w:t>大气环境》（HJ2.2-2018），项目所在区域达标情况判定优先采用国家或地方生态环境主管部门公开发布的环境质量公告或环境质量报告中的数据或结论。</w:t>
            </w:r>
          </w:p>
          <w:p w14:paraId="4A4A2883">
            <w:pPr>
              <w:pStyle w:val="31"/>
              <w:spacing w:before="0" w:beforeAutospacing="0" w:after="0" w:afterAutospacing="0" w:line="360" w:lineRule="auto"/>
              <w:ind w:firstLine="480" w:firstLineChars="200"/>
              <w:rPr>
                <w:rFonts w:ascii="Times New Roman" w:hAnsi="Times New Roman"/>
                <w:b/>
                <w:bCs/>
                <w:kern w:val="2"/>
                <w:szCs w:val="24"/>
              </w:rPr>
            </w:pPr>
            <w:r>
              <w:rPr>
                <w:rFonts w:ascii="Times New Roman" w:hAnsi="Times New Roman"/>
                <w:color w:val="auto"/>
                <w:sz w:val="24"/>
                <w:szCs w:val="32"/>
                <w:highlight w:val="none"/>
              </w:rPr>
              <w:t>根据</w:t>
            </w:r>
            <w:r>
              <w:rPr>
                <w:rFonts w:hint="eastAsia" w:ascii="Times New Roman" w:hAnsi="Times New Roman"/>
                <w:color w:val="auto"/>
                <w:sz w:val="24"/>
                <w:szCs w:val="32"/>
                <w:highlight w:val="none"/>
              </w:rPr>
              <w:t>宿州市生态环境局发布的《宿州市202</w:t>
            </w:r>
            <w:r>
              <w:rPr>
                <w:rFonts w:hint="eastAsia" w:ascii="Times New Roman" w:hAnsi="Times New Roman"/>
                <w:color w:val="auto"/>
                <w:sz w:val="24"/>
                <w:szCs w:val="32"/>
                <w:highlight w:val="none"/>
                <w:lang w:val="en-US" w:eastAsia="zh-CN"/>
              </w:rPr>
              <w:t>4</w:t>
            </w:r>
            <w:r>
              <w:rPr>
                <w:rFonts w:hint="eastAsia" w:ascii="Times New Roman" w:hAnsi="Times New Roman"/>
                <w:color w:val="auto"/>
                <w:sz w:val="24"/>
                <w:szCs w:val="32"/>
                <w:highlight w:val="none"/>
              </w:rPr>
              <w:t>年环境质量状况报告》及“基于互联网的环境影响评价技术服务平台”发布的信息</w:t>
            </w:r>
            <w:r>
              <w:rPr>
                <w:rFonts w:ascii="Times New Roman" w:hAnsi="Times New Roman"/>
                <w:color w:val="auto"/>
                <w:sz w:val="24"/>
                <w:szCs w:val="32"/>
                <w:highlight w:val="none"/>
              </w:rPr>
              <w:t>，宿州市202</w:t>
            </w:r>
            <w:r>
              <w:rPr>
                <w:rFonts w:hint="eastAsia" w:ascii="Times New Roman" w:hAnsi="Times New Roman"/>
                <w:color w:val="auto"/>
                <w:sz w:val="24"/>
                <w:szCs w:val="32"/>
                <w:highlight w:val="none"/>
                <w:lang w:val="en-US" w:eastAsia="zh-CN"/>
              </w:rPr>
              <w:t>4</w:t>
            </w:r>
            <w:r>
              <w:rPr>
                <w:rFonts w:ascii="Times New Roman" w:hAnsi="Times New Roman"/>
                <w:color w:val="auto"/>
                <w:sz w:val="24"/>
                <w:szCs w:val="32"/>
                <w:highlight w:val="none"/>
              </w:rPr>
              <w:t>年环境空气质量基础污染物监测浓度见下表</w:t>
            </w:r>
            <w:r>
              <w:rPr>
                <w:rFonts w:ascii="Times New Roman" w:hAnsi="Times New Roman"/>
                <w:kern w:val="2"/>
                <w:szCs w:val="24"/>
              </w:rPr>
              <w:t>。</w:t>
            </w:r>
          </w:p>
          <w:p w14:paraId="3105CC41">
            <w:pPr>
              <w:widowControl/>
              <w:numPr>
                <w:ilvl w:val="0"/>
                <w:numId w:val="12"/>
              </w:numPr>
              <w:spacing w:line="360" w:lineRule="auto"/>
              <w:ind w:left="0" w:leftChars="0" w:firstLine="0" w:firstLineChars="0"/>
              <w:jc w:val="center"/>
              <w:rPr>
                <w:b/>
                <w:sz w:val="24"/>
              </w:rPr>
            </w:pPr>
            <w:r>
              <w:rPr>
                <w:b/>
                <w:sz w:val="24"/>
              </w:rPr>
              <w:t>区域空气质量现状评价表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3261"/>
              <w:gridCol w:w="1235"/>
              <w:gridCol w:w="1106"/>
              <w:gridCol w:w="1141"/>
              <w:gridCol w:w="1072"/>
            </w:tblGrid>
            <w:tr w14:paraId="5B55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noWrap w:val="0"/>
                  <w:vAlign w:val="center"/>
                </w:tcPr>
                <w:p w14:paraId="5AB29519">
                  <w:pPr>
                    <w:widowControl/>
                    <w:adjustRightInd w:val="0"/>
                    <w:snapToGrid w:val="0"/>
                    <w:jc w:val="center"/>
                    <w:rPr>
                      <w:color w:val="auto"/>
                      <w:szCs w:val="21"/>
                      <w:highlight w:val="none"/>
                    </w:rPr>
                  </w:pPr>
                  <w:r>
                    <w:rPr>
                      <w:color w:val="auto"/>
                      <w:szCs w:val="21"/>
                      <w:highlight w:val="none"/>
                    </w:rPr>
                    <w:t>污染物</w:t>
                  </w:r>
                </w:p>
              </w:tc>
              <w:tc>
                <w:tcPr>
                  <w:tcW w:w="1846" w:type="pct"/>
                  <w:tcBorders>
                    <w:top w:val="single" w:color="auto" w:sz="4" w:space="0"/>
                    <w:left w:val="single" w:color="auto" w:sz="4" w:space="0"/>
                    <w:bottom w:val="single" w:color="auto" w:sz="4" w:space="0"/>
                    <w:right w:val="single" w:color="auto" w:sz="4" w:space="0"/>
                  </w:tcBorders>
                  <w:noWrap w:val="0"/>
                  <w:vAlign w:val="center"/>
                </w:tcPr>
                <w:p w14:paraId="1660EA44">
                  <w:pPr>
                    <w:widowControl/>
                    <w:adjustRightInd w:val="0"/>
                    <w:snapToGrid w:val="0"/>
                    <w:jc w:val="center"/>
                    <w:rPr>
                      <w:color w:val="auto"/>
                      <w:szCs w:val="21"/>
                      <w:highlight w:val="none"/>
                    </w:rPr>
                  </w:pPr>
                  <w:r>
                    <w:rPr>
                      <w:color w:val="auto"/>
                      <w:szCs w:val="21"/>
                      <w:highlight w:val="none"/>
                    </w:rPr>
                    <w:t>年评价指标</w:t>
                  </w:r>
                </w:p>
              </w:tc>
              <w:tc>
                <w:tcPr>
                  <w:tcW w:w="699" w:type="pct"/>
                  <w:tcBorders>
                    <w:top w:val="single" w:color="auto" w:sz="4" w:space="0"/>
                    <w:left w:val="single" w:color="auto" w:sz="4" w:space="0"/>
                    <w:bottom w:val="single" w:color="auto" w:sz="4" w:space="0"/>
                    <w:right w:val="single" w:color="auto" w:sz="4" w:space="0"/>
                  </w:tcBorders>
                  <w:noWrap w:val="0"/>
                  <w:vAlign w:val="center"/>
                </w:tcPr>
                <w:p w14:paraId="521A3C93">
                  <w:pPr>
                    <w:widowControl/>
                    <w:adjustRightInd w:val="0"/>
                    <w:snapToGrid w:val="0"/>
                    <w:jc w:val="center"/>
                    <w:rPr>
                      <w:color w:val="auto"/>
                      <w:szCs w:val="21"/>
                      <w:highlight w:val="none"/>
                    </w:rPr>
                  </w:pPr>
                  <w:r>
                    <w:rPr>
                      <w:color w:val="auto"/>
                      <w:szCs w:val="21"/>
                      <w:highlight w:val="none"/>
                    </w:rPr>
                    <w:t>现状浓度</w:t>
                  </w:r>
                </w:p>
                <w:p w14:paraId="05007D97">
                  <w:pPr>
                    <w:widowControl/>
                    <w:adjustRightInd w:val="0"/>
                    <w:snapToGrid w:val="0"/>
                    <w:jc w:val="center"/>
                    <w:rPr>
                      <w:color w:val="auto"/>
                      <w:szCs w:val="21"/>
                      <w:highlight w:val="none"/>
                    </w:rPr>
                  </w:pPr>
                  <w:r>
                    <w:rPr>
                      <w:color w:val="auto"/>
                      <w:szCs w:val="21"/>
                      <w:highlight w:val="none"/>
                    </w:rPr>
                    <w:t>（ug/m</w:t>
                  </w:r>
                  <w:r>
                    <w:rPr>
                      <w:color w:val="auto"/>
                      <w:szCs w:val="21"/>
                      <w:highlight w:val="none"/>
                      <w:vertAlign w:val="superscript"/>
                    </w:rPr>
                    <w:t>3</w:t>
                  </w:r>
                  <w:r>
                    <w:rPr>
                      <w:color w:val="auto"/>
                      <w:szCs w:val="21"/>
                      <w:highlight w:val="none"/>
                    </w:rPr>
                    <w:t>）</w:t>
                  </w:r>
                </w:p>
              </w:tc>
              <w:tc>
                <w:tcPr>
                  <w:tcW w:w="626" w:type="pct"/>
                  <w:tcBorders>
                    <w:top w:val="single" w:color="auto" w:sz="4" w:space="0"/>
                    <w:left w:val="single" w:color="auto" w:sz="4" w:space="0"/>
                    <w:bottom w:val="single" w:color="auto" w:sz="4" w:space="0"/>
                    <w:right w:val="single" w:color="auto" w:sz="4" w:space="0"/>
                  </w:tcBorders>
                  <w:noWrap w:val="0"/>
                  <w:vAlign w:val="center"/>
                </w:tcPr>
                <w:p w14:paraId="5D24FF7F">
                  <w:pPr>
                    <w:widowControl/>
                    <w:adjustRightInd w:val="0"/>
                    <w:snapToGrid w:val="0"/>
                    <w:jc w:val="center"/>
                    <w:rPr>
                      <w:color w:val="auto"/>
                      <w:szCs w:val="21"/>
                      <w:highlight w:val="none"/>
                    </w:rPr>
                  </w:pPr>
                  <w:r>
                    <w:rPr>
                      <w:color w:val="auto"/>
                      <w:szCs w:val="21"/>
                      <w:highlight w:val="none"/>
                    </w:rPr>
                    <w:t>标准值</w:t>
                  </w:r>
                </w:p>
                <w:p w14:paraId="718C6D58">
                  <w:pPr>
                    <w:widowControl/>
                    <w:adjustRightInd w:val="0"/>
                    <w:snapToGrid w:val="0"/>
                    <w:jc w:val="center"/>
                    <w:rPr>
                      <w:color w:val="auto"/>
                      <w:szCs w:val="21"/>
                      <w:highlight w:val="none"/>
                    </w:rPr>
                  </w:pPr>
                  <w:r>
                    <w:rPr>
                      <w:color w:val="auto"/>
                      <w:szCs w:val="21"/>
                      <w:highlight w:val="none"/>
                    </w:rPr>
                    <w:t>（ug/m</w:t>
                  </w:r>
                  <w:r>
                    <w:rPr>
                      <w:color w:val="auto"/>
                      <w:szCs w:val="21"/>
                      <w:highlight w:val="none"/>
                      <w:vertAlign w:val="superscript"/>
                    </w:rPr>
                    <w:t>3</w:t>
                  </w:r>
                  <w:r>
                    <w:rPr>
                      <w:color w:val="auto"/>
                      <w:szCs w:val="21"/>
                      <w:highlight w:val="none"/>
                    </w:rPr>
                    <w:t>）</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05644BB6">
                  <w:pPr>
                    <w:widowControl/>
                    <w:adjustRightInd w:val="0"/>
                    <w:snapToGrid w:val="0"/>
                    <w:jc w:val="center"/>
                    <w:rPr>
                      <w:color w:val="auto"/>
                      <w:szCs w:val="21"/>
                      <w:highlight w:val="none"/>
                    </w:rPr>
                  </w:pPr>
                  <w:r>
                    <w:rPr>
                      <w:color w:val="auto"/>
                      <w:szCs w:val="21"/>
                      <w:highlight w:val="none"/>
                    </w:rPr>
                    <w:t>占标率</w:t>
                  </w:r>
                </w:p>
                <w:p w14:paraId="0F717F08">
                  <w:pPr>
                    <w:widowControl/>
                    <w:adjustRightInd w:val="0"/>
                    <w:snapToGrid w:val="0"/>
                    <w:jc w:val="center"/>
                    <w:rPr>
                      <w:color w:val="auto"/>
                      <w:szCs w:val="21"/>
                      <w:highlight w:val="none"/>
                    </w:rPr>
                  </w:pPr>
                  <w:r>
                    <w:rPr>
                      <w:color w:val="auto"/>
                      <w:szCs w:val="21"/>
                      <w:highlight w:val="none"/>
                    </w:rPr>
                    <w:t>(%)</w:t>
                  </w:r>
                </w:p>
              </w:tc>
              <w:tc>
                <w:tcPr>
                  <w:tcW w:w="607" w:type="pct"/>
                  <w:tcBorders>
                    <w:top w:val="single" w:color="auto" w:sz="4" w:space="0"/>
                    <w:left w:val="single" w:color="auto" w:sz="4" w:space="0"/>
                    <w:bottom w:val="single" w:color="auto" w:sz="4" w:space="0"/>
                    <w:right w:val="single" w:color="auto" w:sz="4" w:space="0"/>
                  </w:tcBorders>
                  <w:noWrap w:val="0"/>
                  <w:vAlign w:val="center"/>
                </w:tcPr>
                <w:p w14:paraId="4A1D2CBE">
                  <w:pPr>
                    <w:widowControl/>
                    <w:adjustRightInd w:val="0"/>
                    <w:snapToGrid w:val="0"/>
                    <w:jc w:val="center"/>
                    <w:rPr>
                      <w:color w:val="auto"/>
                      <w:szCs w:val="21"/>
                      <w:highlight w:val="none"/>
                    </w:rPr>
                  </w:pPr>
                  <w:r>
                    <w:rPr>
                      <w:color w:val="auto"/>
                      <w:szCs w:val="21"/>
                      <w:highlight w:val="none"/>
                    </w:rPr>
                    <w:t>达标情况</w:t>
                  </w:r>
                </w:p>
              </w:tc>
            </w:tr>
            <w:tr w14:paraId="0194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noWrap w:val="0"/>
                  <w:vAlign w:val="center"/>
                </w:tcPr>
                <w:p w14:paraId="266EF3AE">
                  <w:pPr>
                    <w:widowControl/>
                    <w:adjustRightInd w:val="0"/>
                    <w:snapToGrid w:val="0"/>
                    <w:jc w:val="center"/>
                    <w:rPr>
                      <w:color w:val="auto"/>
                      <w:szCs w:val="21"/>
                      <w:highlight w:val="none"/>
                    </w:rPr>
                  </w:pPr>
                  <w:r>
                    <w:rPr>
                      <w:color w:val="auto"/>
                      <w:szCs w:val="21"/>
                      <w:highlight w:val="none"/>
                    </w:rPr>
                    <w:t>SO</w:t>
                  </w:r>
                  <w:r>
                    <w:rPr>
                      <w:color w:val="auto"/>
                      <w:szCs w:val="21"/>
                      <w:highlight w:val="none"/>
                      <w:vertAlign w:val="subscript"/>
                    </w:rPr>
                    <w:t>2</w:t>
                  </w:r>
                </w:p>
              </w:tc>
              <w:tc>
                <w:tcPr>
                  <w:tcW w:w="1846" w:type="pct"/>
                  <w:tcBorders>
                    <w:top w:val="single" w:color="auto" w:sz="4" w:space="0"/>
                    <w:left w:val="single" w:color="auto" w:sz="4" w:space="0"/>
                    <w:bottom w:val="single" w:color="auto" w:sz="4" w:space="0"/>
                    <w:right w:val="single" w:color="auto" w:sz="4" w:space="0"/>
                  </w:tcBorders>
                  <w:noWrap w:val="0"/>
                  <w:vAlign w:val="center"/>
                </w:tcPr>
                <w:p w14:paraId="15684CE4">
                  <w:pPr>
                    <w:widowControl/>
                    <w:adjustRightInd w:val="0"/>
                    <w:snapToGrid w:val="0"/>
                    <w:jc w:val="center"/>
                    <w:rPr>
                      <w:color w:val="auto"/>
                      <w:szCs w:val="21"/>
                      <w:highlight w:val="none"/>
                    </w:rPr>
                  </w:pPr>
                  <w:r>
                    <w:rPr>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noWrap w:val="0"/>
                  <w:vAlign w:val="center"/>
                </w:tcPr>
                <w:p w14:paraId="6BD7FB84">
                  <w:pPr>
                    <w:widowControl/>
                    <w:adjustRightInd w:val="0"/>
                    <w:snapToGrid w:val="0"/>
                    <w:jc w:val="center"/>
                    <w:rPr>
                      <w:rFonts w:hint="eastAsia"/>
                      <w:color w:val="auto"/>
                      <w:szCs w:val="21"/>
                      <w:highlight w:val="none"/>
                    </w:rPr>
                  </w:pPr>
                  <w:r>
                    <w:rPr>
                      <w:rFonts w:hint="eastAsia"/>
                      <w:color w:val="auto"/>
                      <w:szCs w:val="21"/>
                      <w:lang w:val="en-US" w:eastAsia="zh-CN"/>
                    </w:rPr>
                    <w:t>6</w:t>
                  </w:r>
                </w:p>
              </w:tc>
              <w:tc>
                <w:tcPr>
                  <w:tcW w:w="1098" w:type="dxa"/>
                  <w:tcBorders>
                    <w:top w:val="single" w:color="auto" w:sz="4" w:space="0"/>
                    <w:left w:val="single" w:color="auto" w:sz="4" w:space="0"/>
                    <w:bottom w:val="single" w:color="auto" w:sz="4" w:space="0"/>
                    <w:right w:val="single" w:color="auto" w:sz="4" w:space="0"/>
                  </w:tcBorders>
                  <w:noWrap w:val="0"/>
                  <w:vAlign w:val="center"/>
                </w:tcPr>
                <w:p w14:paraId="4B65D6D6">
                  <w:pPr>
                    <w:widowControl/>
                    <w:adjustRightInd w:val="0"/>
                    <w:snapToGrid w:val="0"/>
                    <w:jc w:val="center"/>
                    <w:rPr>
                      <w:color w:val="auto"/>
                      <w:szCs w:val="21"/>
                      <w:highlight w:val="none"/>
                    </w:rPr>
                  </w:pPr>
                  <w:r>
                    <w:rPr>
                      <w:color w:val="auto"/>
                      <w:szCs w:val="21"/>
                    </w:rPr>
                    <w:t>60</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87CDF0E">
                  <w:pPr>
                    <w:widowControl/>
                    <w:adjustRightInd w:val="0"/>
                    <w:snapToGrid w:val="0"/>
                    <w:jc w:val="center"/>
                    <w:rPr>
                      <w:rFonts w:hint="eastAsia"/>
                      <w:color w:val="auto"/>
                      <w:szCs w:val="21"/>
                      <w:highlight w:val="none"/>
                    </w:rPr>
                  </w:pPr>
                  <w:r>
                    <w:rPr>
                      <w:rFonts w:hint="eastAsia"/>
                      <w:color w:val="auto"/>
                      <w:szCs w:val="21"/>
                      <w:lang w:val="en-US" w:eastAsia="zh-CN"/>
                    </w:rPr>
                    <w:t>10</w:t>
                  </w:r>
                </w:p>
              </w:tc>
              <w:tc>
                <w:tcPr>
                  <w:tcW w:w="1064" w:type="dxa"/>
                  <w:tcBorders>
                    <w:top w:val="single" w:color="auto" w:sz="4" w:space="0"/>
                    <w:left w:val="single" w:color="auto" w:sz="4" w:space="0"/>
                    <w:bottom w:val="single" w:color="auto" w:sz="4" w:space="0"/>
                    <w:right w:val="single" w:color="auto" w:sz="4" w:space="0"/>
                  </w:tcBorders>
                  <w:noWrap w:val="0"/>
                  <w:vAlign w:val="center"/>
                </w:tcPr>
                <w:p w14:paraId="59F80282">
                  <w:pPr>
                    <w:widowControl/>
                    <w:adjustRightInd w:val="0"/>
                    <w:snapToGrid w:val="0"/>
                    <w:jc w:val="center"/>
                    <w:rPr>
                      <w:color w:val="auto"/>
                      <w:szCs w:val="21"/>
                      <w:highlight w:val="none"/>
                    </w:rPr>
                  </w:pPr>
                  <w:r>
                    <w:rPr>
                      <w:color w:val="auto"/>
                      <w:szCs w:val="21"/>
                    </w:rPr>
                    <w:t>达标</w:t>
                  </w:r>
                </w:p>
              </w:tc>
            </w:tr>
            <w:tr w14:paraId="374F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8F9C024">
                  <w:pPr>
                    <w:widowControl/>
                    <w:adjustRightInd w:val="0"/>
                    <w:snapToGrid w:val="0"/>
                    <w:jc w:val="center"/>
                    <w:rPr>
                      <w:color w:val="auto"/>
                      <w:szCs w:val="21"/>
                      <w:highlight w:val="none"/>
                    </w:rPr>
                  </w:pPr>
                  <w:r>
                    <w:rPr>
                      <w:color w:val="auto"/>
                      <w:szCs w:val="21"/>
                      <w:highlight w:val="none"/>
                    </w:rPr>
                    <w:t>NO</w:t>
                  </w:r>
                  <w:r>
                    <w:rPr>
                      <w:color w:val="auto"/>
                      <w:szCs w:val="21"/>
                      <w:highlight w:val="none"/>
                      <w:vertAlign w:val="subscript"/>
                    </w:rPr>
                    <w:t>2</w:t>
                  </w:r>
                </w:p>
              </w:tc>
              <w:tc>
                <w:tcPr>
                  <w:tcW w:w="18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0D4E49A">
                  <w:pPr>
                    <w:widowControl/>
                    <w:adjustRightInd w:val="0"/>
                    <w:snapToGrid w:val="0"/>
                    <w:jc w:val="center"/>
                    <w:rPr>
                      <w:color w:val="auto"/>
                      <w:szCs w:val="21"/>
                      <w:highlight w:val="none"/>
                    </w:rPr>
                  </w:pPr>
                  <w:r>
                    <w:rPr>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071BE37">
                  <w:pPr>
                    <w:widowControl/>
                    <w:adjustRightInd w:val="0"/>
                    <w:snapToGrid w:val="0"/>
                    <w:jc w:val="center"/>
                    <w:rPr>
                      <w:color w:val="auto"/>
                      <w:szCs w:val="21"/>
                      <w:highlight w:val="none"/>
                    </w:rPr>
                  </w:pPr>
                  <w:r>
                    <w:rPr>
                      <w:rFonts w:hint="eastAsia"/>
                      <w:color w:val="auto"/>
                      <w:szCs w:val="21"/>
                      <w:lang w:val="en-US" w:eastAsia="zh-CN"/>
                    </w:rPr>
                    <w:t>18</w:t>
                  </w:r>
                </w:p>
              </w:tc>
              <w:tc>
                <w:tcPr>
                  <w:tcW w:w="10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0EC17A4">
                  <w:pPr>
                    <w:widowControl/>
                    <w:adjustRightInd w:val="0"/>
                    <w:snapToGrid w:val="0"/>
                    <w:jc w:val="center"/>
                    <w:rPr>
                      <w:color w:val="auto"/>
                      <w:szCs w:val="21"/>
                      <w:highlight w:val="none"/>
                    </w:rPr>
                  </w:pPr>
                  <w:r>
                    <w:rPr>
                      <w:color w:val="auto"/>
                      <w:szCs w:val="21"/>
                    </w:rPr>
                    <w:t>40</w:t>
                  </w:r>
                </w:p>
              </w:tc>
              <w:tc>
                <w:tcPr>
                  <w:tcW w:w="114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C7F8F23">
                  <w:pPr>
                    <w:widowControl/>
                    <w:adjustRightInd w:val="0"/>
                    <w:snapToGrid w:val="0"/>
                    <w:jc w:val="center"/>
                    <w:rPr>
                      <w:rFonts w:hint="default"/>
                      <w:color w:val="auto"/>
                      <w:szCs w:val="21"/>
                      <w:highlight w:val="none"/>
                      <w:lang w:val="en-US"/>
                    </w:rPr>
                  </w:pPr>
                  <w:r>
                    <w:rPr>
                      <w:rFonts w:hint="eastAsia"/>
                      <w:color w:val="auto"/>
                      <w:szCs w:val="21"/>
                      <w:lang w:val="en-US" w:eastAsia="zh-CN"/>
                    </w:rPr>
                    <w:t>45</w:t>
                  </w:r>
                </w:p>
              </w:tc>
              <w:tc>
                <w:tcPr>
                  <w:tcW w:w="106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B381062">
                  <w:pPr>
                    <w:widowControl/>
                    <w:adjustRightInd w:val="0"/>
                    <w:snapToGrid w:val="0"/>
                    <w:jc w:val="center"/>
                    <w:rPr>
                      <w:color w:val="auto"/>
                      <w:szCs w:val="21"/>
                      <w:highlight w:val="none"/>
                    </w:rPr>
                  </w:pPr>
                  <w:r>
                    <w:rPr>
                      <w:color w:val="auto"/>
                      <w:szCs w:val="21"/>
                    </w:rPr>
                    <w:t>达标</w:t>
                  </w:r>
                </w:p>
              </w:tc>
            </w:tr>
            <w:tr w14:paraId="33D2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57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EFC95E6">
                  <w:pPr>
                    <w:widowControl/>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10</w:t>
                  </w:r>
                </w:p>
              </w:tc>
              <w:tc>
                <w:tcPr>
                  <w:tcW w:w="18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8FABB2E">
                  <w:pPr>
                    <w:widowControl/>
                    <w:adjustRightInd w:val="0"/>
                    <w:snapToGrid w:val="0"/>
                    <w:jc w:val="center"/>
                    <w:rPr>
                      <w:color w:val="auto"/>
                      <w:szCs w:val="21"/>
                      <w:highlight w:val="none"/>
                    </w:rPr>
                  </w:pPr>
                  <w:r>
                    <w:rPr>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1356CAC">
                  <w:pPr>
                    <w:widowControl/>
                    <w:adjustRightInd w:val="0"/>
                    <w:snapToGrid w:val="0"/>
                    <w:jc w:val="center"/>
                    <w:rPr>
                      <w:color w:val="auto"/>
                      <w:szCs w:val="21"/>
                      <w:highlight w:val="none"/>
                    </w:rPr>
                  </w:pPr>
                  <w:r>
                    <w:rPr>
                      <w:color w:val="auto"/>
                      <w:szCs w:val="21"/>
                    </w:rPr>
                    <w:t>7</w:t>
                  </w:r>
                  <w:r>
                    <w:rPr>
                      <w:rFonts w:hint="eastAsia"/>
                      <w:color w:val="auto"/>
                      <w:szCs w:val="21"/>
                      <w:lang w:val="en-US" w:eastAsia="zh-CN"/>
                    </w:rPr>
                    <w:t>1</w:t>
                  </w:r>
                </w:p>
              </w:tc>
              <w:tc>
                <w:tcPr>
                  <w:tcW w:w="10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BEAFFB2">
                  <w:pPr>
                    <w:widowControl/>
                    <w:adjustRightInd w:val="0"/>
                    <w:snapToGrid w:val="0"/>
                    <w:jc w:val="center"/>
                    <w:rPr>
                      <w:color w:val="auto"/>
                      <w:szCs w:val="21"/>
                      <w:highlight w:val="none"/>
                    </w:rPr>
                  </w:pPr>
                  <w:r>
                    <w:rPr>
                      <w:color w:val="auto"/>
                      <w:szCs w:val="21"/>
                    </w:rPr>
                    <w:t>70</w:t>
                  </w:r>
                </w:p>
              </w:tc>
              <w:tc>
                <w:tcPr>
                  <w:tcW w:w="114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4741AB3">
                  <w:pPr>
                    <w:widowControl/>
                    <w:adjustRightInd w:val="0"/>
                    <w:snapToGrid w:val="0"/>
                    <w:jc w:val="center"/>
                    <w:rPr>
                      <w:rFonts w:hint="default"/>
                      <w:color w:val="auto"/>
                      <w:szCs w:val="21"/>
                      <w:highlight w:val="none"/>
                      <w:lang w:val="en-US"/>
                    </w:rPr>
                  </w:pPr>
                  <w:r>
                    <w:rPr>
                      <w:rFonts w:hint="eastAsia"/>
                      <w:color w:val="auto"/>
                      <w:szCs w:val="21"/>
                      <w:lang w:val="en-US" w:eastAsia="zh-CN"/>
                    </w:rPr>
                    <w:t>101.4</w:t>
                  </w:r>
                </w:p>
              </w:tc>
              <w:tc>
                <w:tcPr>
                  <w:tcW w:w="106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604486B">
                  <w:pPr>
                    <w:widowControl/>
                    <w:adjustRightInd w:val="0"/>
                    <w:snapToGrid w:val="0"/>
                    <w:jc w:val="center"/>
                    <w:rPr>
                      <w:color w:val="auto"/>
                      <w:szCs w:val="21"/>
                      <w:highlight w:val="none"/>
                    </w:rPr>
                  </w:pPr>
                  <w:r>
                    <w:rPr>
                      <w:rFonts w:hint="eastAsia"/>
                      <w:color w:val="auto"/>
                      <w:szCs w:val="21"/>
                      <w:lang w:val="en-US" w:eastAsia="zh-CN"/>
                    </w:rPr>
                    <w:t>不</w:t>
                  </w:r>
                  <w:r>
                    <w:rPr>
                      <w:color w:val="auto"/>
                      <w:szCs w:val="21"/>
                    </w:rPr>
                    <w:t>达标</w:t>
                  </w:r>
                </w:p>
              </w:tc>
            </w:tr>
            <w:tr w14:paraId="67B2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F643267">
                  <w:pPr>
                    <w:widowControl/>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2.5</w:t>
                  </w:r>
                </w:p>
              </w:tc>
              <w:tc>
                <w:tcPr>
                  <w:tcW w:w="18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F313A75">
                  <w:pPr>
                    <w:widowControl/>
                    <w:adjustRightInd w:val="0"/>
                    <w:snapToGrid w:val="0"/>
                    <w:jc w:val="center"/>
                    <w:rPr>
                      <w:color w:val="auto"/>
                      <w:szCs w:val="21"/>
                      <w:highlight w:val="none"/>
                    </w:rPr>
                  </w:pPr>
                  <w:r>
                    <w:rPr>
                      <w:color w:val="auto"/>
                      <w:szCs w:val="21"/>
                      <w:highlight w:val="none"/>
                    </w:rPr>
                    <w:t>年平均质量浓度</w:t>
                  </w:r>
                </w:p>
              </w:tc>
              <w:tc>
                <w:tcPr>
                  <w:tcW w:w="122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B4DBE2F">
                  <w:pPr>
                    <w:widowControl/>
                    <w:adjustRightInd w:val="0"/>
                    <w:snapToGrid w:val="0"/>
                    <w:jc w:val="center"/>
                    <w:rPr>
                      <w:color w:val="auto"/>
                      <w:szCs w:val="21"/>
                      <w:highlight w:val="none"/>
                    </w:rPr>
                  </w:pPr>
                  <w:r>
                    <w:rPr>
                      <w:color w:val="auto"/>
                      <w:szCs w:val="21"/>
                    </w:rPr>
                    <w:t>4</w:t>
                  </w:r>
                  <w:r>
                    <w:rPr>
                      <w:rFonts w:hint="eastAsia"/>
                      <w:color w:val="auto"/>
                      <w:szCs w:val="21"/>
                      <w:lang w:val="en-US" w:eastAsia="zh-CN"/>
                    </w:rPr>
                    <w:t>3</w:t>
                  </w:r>
                </w:p>
              </w:tc>
              <w:tc>
                <w:tcPr>
                  <w:tcW w:w="10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9CE6652">
                  <w:pPr>
                    <w:widowControl/>
                    <w:adjustRightInd w:val="0"/>
                    <w:snapToGrid w:val="0"/>
                    <w:jc w:val="center"/>
                    <w:rPr>
                      <w:color w:val="auto"/>
                      <w:szCs w:val="21"/>
                      <w:highlight w:val="none"/>
                    </w:rPr>
                  </w:pPr>
                  <w:r>
                    <w:rPr>
                      <w:color w:val="auto"/>
                      <w:szCs w:val="21"/>
                    </w:rPr>
                    <w:t>35</w:t>
                  </w:r>
                </w:p>
              </w:tc>
              <w:tc>
                <w:tcPr>
                  <w:tcW w:w="114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7D5FC44">
                  <w:pPr>
                    <w:widowControl/>
                    <w:adjustRightInd w:val="0"/>
                    <w:snapToGrid w:val="0"/>
                    <w:jc w:val="center"/>
                    <w:rPr>
                      <w:rFonts w:hint="default"/>
                      <w:color w:val="auto"/>
                      <w:szCs w:val="21"/>
                      <w:highlight w:val="none"/>
                      <w:lang w:val="en-US"/>
                    </w:rPr>
                  </w:pPr>
                  <w:r>
                    <w:rPr>
                      <w:rFonts w:hint="eastAsia"/>
                      <w:color w:val="auto"/>
                      <w:szCs w:val="21"/>
                      <w:lang w:val="en-US" w:eastAsia="zh-CN"/>
                    </w:rPr>
                    <w:t>123</w:t>
                  </w:r>
                </w:p>
              </w:tc>
              <w:tc>
                <w:tcPr>
                  <w:tcW w:w="106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04487E6">
                  <w:pPr>
                    <w:widowControl/>
                    <w:adjustRightInd w:val="0"/>
                    <w:snapToGrid w:val="0"/>
                    <w:jc w:val="center"/>
                    <w:rPr>
                      <w:color w:val="auto"/>
                      <w:szCs w:val="21"/>
                      <w:highlight w:val="none"/>
                    </w:rPr>
                  </w:pPr>
                  <w:r>
                    <w:rPr>
                      <w:color w:val="auto"/>
                      <w:szCs w:val="21"/>
                    </w:rPr>
                    <w:t>不达标</w:t>
                  </w:r>
                </w:p>
              </w:tc>
            </w:tr>
            <w:tr w14:paraId="709E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F137D4D">
                  <w:pPr>
                    <w:widowControl/>
                    <w:adjustRightInd w:val="0"/>
                    <w:snapToGrid w:val="0"/>
                    <w:jc w:val="center"/>
                    <w:rPr>
                      <w:color w:val="auto"/>
                      <w:szCs w:val="21"/>
                      <w:highlight w:val="none"/>
                    </w:rPr>
                  </w:pPr>
                  <w:r>
                    <w:rPr>
                      <w:color w:val="auto"/>
                      <w:szCs w:val="21"/>
                      <w:highlight w:val="none"/>
                    </w:rPr>
                    <w:t>CO</w:t>
                  </w:r>
                </w:p>
              </w:tc>
              <w:tc>
                <w:tcPr>
                  <w:tcW w:w="18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08A9DD8">
                  <w:pPr>
                    <w:widowControl/>
                    <w:adjustRightInd w:val="0"/>
                    <w:snapToGrid w:val="0"/>
                    <w:jc w:val="center"/>
                    <w:rPr>
                      <w:color w:val="auto"/>
                      <w:szCs w:val="21"/>
                      <w:highlight w:val="none"/>
                    </w:rPr>
                  </w:pPr>
                  <w:r>
                    <w:rPr>
                      <w:color w:val="auto"/>
                      <w:szCs w:val="21"/>
                      <w:highlight w:val="none"/>
                    </w:rPr>
                    <w:t>24小时平均第95百分位数</w:t>
                  </w:r>
                </w:p>
              </w:tc>
              <w:tc>
                <w:tcPr>
                  <w:tcW w:w="122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2BCF246">
                  <w:pPr>
                    <w:widowControl/>
                    <w:adjustRightInd w:val="0"/>
                    <w:snapToGrid w:val="0"/>
                    <w:jc w:val="center"/>
                    <w:rPr>
                      <w:rFonts w:hint="default"/>
                      <w:color w:val="auto"/>
                      <w:szCs w:val="21"/>
                      <w:highlight w:val="none"/>
                      <w:lang w:val="en-US"/>
                    </w:rPr>
                  </w:pPr>
                  <w:r>
                    <w:rPr>
                      <w:rFonts w:hint="eastAsia"/>
                      <w:color w:val="auto"/>
                      <w:szCs w:val="21"/>
                      <w:lang w:val="en-US" w:eastAsia="zh-CN"/>
                    </w:rPr>
                    <w:t>900</w:t>
                  </w:r>
                </w:p>
              </w:tc>
              <w:tc>
                <w:tcPr>
                  <w:tcW w:w="10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D85C45C">
                  <w:pPr>
                    <w:widowControl/>
                    <w:adjustRightInd w:val="0"/>
                    <w:snapToGrid w:val="0"/>
                    <w:jc w:val="center"/>
                    <w:rPr>
                      <w:color w:val="auto"/>
                      <w:szCs w:val="21"/>
                      <w:highlight w:val="none"/>
                    </w:rPr>
                  </w:pPr>
                  <w:r>
                    <w:rPr>
                      <w:color w:val="auto"/>
                      <w:szCs w:val="21"/>
                    </w:rPr>
                    <w:t>4000</w:t>
                  </w:r>
                </w:p>
              </w:tc>
              <w:tc>
                <w:tcPr>
                  <w:tcW w:w="114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9889E3A">
                  <w:pPr>
                    <w:widowControl/>
                    <w:adjustRightInd w:val="0"/>
                    <w:snapToGrid w:val="0"/>
                    <w:jc w:val="center"/>
                    <w:rPr>
                      <w:rFonts w:hint="eastAsia"/>
                      <w:color w:val="auto"/>
                      <w:szCs w:val="21"/>
                      <w:highlight w:val="none"/>
                    </w:rPr>
                  </w:pPr>
                  <w:r>
                    <w:rPr>
                      <w:rFonts w:hint="eastAsia"/>
                      <w:color w:val="auto"/>
                      <w:szCs w:val="21"/>
                      <w:lang w:val="en-US" w:eastAsia="zh-CN"/>
                    </w:rPr>
                    <w:t>22.5</w:t>
                  </w:r>
                </w:p>
              </w:tc>
              <w:tc>
                <w:tcPr>
                  <w:tcW w:w="106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277CAF6">
                  <w:pPr>
                    <w:widowControl/>
                    <w:adjustRightInd w:val="0"/>
                    <w:snapToGrid w:val="0"/>
                    <w:jc w:val="center"/>
                    <w:rPr>
                      <w:color w:val="auto"/>
                      <w:szCs w:val="21"/>
                      <w:highlight w:val="none"/>
                    </w:rPr>
                  </w:pPr>
                  <w:r>
                    <w:rPr>
                      <w:color w:val="auto"/>
                      <w:szCs w:val="21"/>
                    </w:rPr>
                    <w:t>达标</w:t>
                  </w:r>
                </w:p>
              </w:tc>
            </w:tr>
            <w:tr w14:paraId="3051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A1F793">
                  <w:pPr>
                    <w:widowControl/>
                    <w:adjustRightInd w:val="0"/>
                    <w:snapToGrid w:val="0"/>
                    <w:jc w:val="center"/>
                    <w:rPr>
                      <w:color w:val="auto"/>
                      <w:szCs w:val="21"/>
                      <w:highlight w:val="none"/>
                    </w:rPr>
                  </w:pPr>
                  <w:r>
                    <w:rPr>
                      <w:color w:val="auto"/>
                      <w:szCs w:val="21"/>
                      <w:highlight w:val="none"/>
                    </w:rPr>
                    <w:t>O</w:t>
                  </w:r>
                  <w:r>
                    <w:rPr>
                      <w:color w:val="auto"/>
                      <w:szCs w:val="21"/>
                      <w:highlight w:val="none"/>
                      <w:vertAlign w:val="subscript"/>
                    </w:rPr>
                    <w:t>3</w:t>
                  </w:r>
                </w:p>
              </w:tc>
              <w:tc>
                <w:tcPr>
                  <w:tcW w:w="184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D18C41">
                  <w:pPr>
                    <w:widowControl/>
                    <w:adjustRightInd w:val="0"/>
                    <w:snapToGrid w:val="0"/>
                    <w:jc w:val="center"/>
                    <w:rPr>
                      <w:color w:val="auto"/>
                      <w:szCs w:val="21"/>
                      <w:highlight w:val="none"/>
                    </w:rPr>
                  </w:pPr>
                  <w:r>
                    <w:rPr>
                      <w:color w:val="auto"/>
                      <w:szCs w:val="21"/>
                      <w:highlight w:val="none"/>
                    </w:rPr>
                    <w:t>日最大8小时平均第90百分位数</w:t>
                  </w:r>
                </w:p>
              </w:tc>
              <w:tc>
                <w:tcPr>
                  <w:tcW w:w="122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68307A">
                  <w:pPr>
                    <w:widowControl/>
                    <w:adjustRightInd w:val="0"/>
                    <w:snapToGrid w:val="0"/>
                    <w:jc w:val="center"/>
                    <w:rPr>
                      <w:rFonts w:hint="default" w:eastAsia="宋体"/>
                      <w:color w:val="auto"/>
                      <w:szCs w:val="21"/>
                      <w:highlight w:val="none"/>
                      <w:lang w:val="en-US" w:eastAsia="zh-CN"/>
                    </w:rPr>
                  </w:pPr>
                  <w:r>
                    <w:rPr>
                      <w:color w:val="auto"/>
                      <w:szCs w:val="21"/>
                    </w:rPr>
                    <w:t>1</w:t>
                  </w:r>
                  <w:r>
                    <w:rPr>
                      <w:rFonts w:hint="eastAsia"/>
                      <w:color w:val="auto"/>
                      <w:szCs w:val="21"/>
                      <w:lang w:val="en-US" w:eastAsia="zh-CN"/>
                    </w:rPr>
                    <w:t>70</w:t>
                  </w:r>
                </w:p>
              </w:tc>
              <w:tc>
                <w:tcPr>
                  <w:tcW w:w="109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9A16910">
                  <w:pPr>
                    <w:widowControl/>
                    <w:adjustRightInd w:val="0"/>
                    <w:snapToGrid w:val="0"/>
                    <w:jc w:val="center"/>
                    <w:rPr>
                      <w:color w:val="auto"/>
                      <w:szCs w:val="21"/>
                      <w:highlight w:val="none"/>
                    </w:rPr>
                  </w:pPr>
                  <w:r>
                    <w:rPr>
                      <w:color w:val="auto"/>
                      <w:szCs w:val="21"/>
                    </w:rPr>
                    <w:t>160</w:t>
                  </w:r>
                </w:p>
              </w:tc>
              <w:tc>
                <w:tcPr>
                  <w:tcW w:w="114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1D40DE1">
                  <w:pPr>
                    <w:widowControl/>
                    <w:adjustRightInd w:val="0"/>
                    <w:snapToGrid w:val="0"/>
                    <w:jc w:val="center"/>
                    <w:rPr>
                      <w:rFonts w:hint="eastAsia"/>
                      <w:color w:val="auto"/>
                      <w:szCs w:val="21"/>
                      <w:highlight w:val="none"/>
                    </w:rPr>
                  </w:pPr>
                  <w:r>
                    <w:rPr>
                      <w:rFonts w:hint="eastAsia"/>
                      <w:color w:val="auto"/>
                      <w:szCs w:val="21"/>
                      <w:lang w:val="en-US" w:eastAsia="zh-CN"/>
                    </w:rPr>
                    <w:t>106</w:t>
                  </w:r>
                </w:p>
              </w:tc>
              <w:tc>
                <w:tcPr>
                  <w:tcW w:w="106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0344FBF">
                  <w:pPr>
                    <w:widowControl/>
                    <w:adjustRightInd w:val="0"/>
                    <w:snapToGrid w:val="0"/>
                    <w:jc w:val="center"/>
                    <w:rPr>
                      <w:color w:val="auto"/>
                      <w:szCs w:val="21"/>
                      <w:highlight w:val="none"/>
                    </w:rPr>
                  </w:pPr>
                  <w:r>
                    <w:rPr>
                      <w:color w:val="auto"/>
                      <w:szCs w:val="21"/>
                    </w:rPr>
                    <w:t>不达标</w:t>
                  </w:r>
                </w:p>
              </w:tc>
            </w:tr>
          </w:tbl>
          <w:p w14:paraId="0519F800">
            <w:pPr>
              <w:pStyle w:val="31"/>
              <w:spacing w:before="0" w:beforeAutospacing="0" w:after="0" w:afterAutospacing="0" w:line="360" w:lineRule="auto"/>
              <w:ind w:firstLine="480" w:firstLineChars="200"/>
              <w:rPr>
                <w:rFonts w:hint="eastAsia" w:ascii="Times New Roman" w:hAnsi="Times New Roman"/>
                <w:kern w:val="2"/>
                <w:szCs w:val="24"/>
              </w:rPr>
            </w:pPr>
            <w:r>
              <w:rPr>
                <w:rFonts w:ascii="Times New Roman" w:hAnsi="Times New Roman"/>
                <w:kern w:val="2"/>
                <w:szCs w:val="24"/>
              </w:rPr>
              <w:t>由上表可知，宿州市</w:t>
            </w:r>
            <w:r>
              <w:rPr>
                <w:rFonts w:hint="eastAsia" w:ascii="Times New Roman" w:hAnsi="Times New Roman"/>
                <w:kern w:val="2"/>
                <w:szCs w:val="24"/>
                <w:lang w:val="en-US" w:eastAsia="zh-CN"/>
              </w:rPr>
              <w:t>2024年PM</w:t>
            </w:r>
            <w:r>
              <w:rPr>
                <w:rFonts w:hint="eastAsia" w:ascii="Times New Roman" w:hAnsi="Times New Roman"/>
                <w:kern w:val="2"/>
                <w:szCs w:val="24"/>
                <w:vertAlign w:val="subscript"/>
                <w:lang w:val="en-US" w:eastAsia="zh-CN"/>
              </w:rPr>
              <w:t>10</w:t>
            </w:r>
            <w:r>
              <w:rPr>
                <w:rFonts w:hint="eastAsia" w:ascii="Times New Roman" w:hAnsi="Times New Roman"/>
                <w:kern w:val="2"/>
                <w:szCs w:val="24"/>
                <w:lang w:val="en-US" w:eastAsia="zh-CN"/>
              </w:rPr>
              <w:t>、</w:t>
            </w:r>
            <w:r>
              <w:rPr>
                <w:rFonts w:ascii="Times New Roman" w:hAnsi="Times New Roman"/>
                <w:kern w:val="2"/>
                <w:szCs w:val="24"/>
              </w:rPr>
              <w:t>PM</w:t>
            </w:r>
            <w:r>
              <w:rPr>
                <w:rFonts w:ascii="Times New Roman" w:hAnsi="Times New Roman"/>
                <w:kern w:val="2"/>
                <w:szCs w:val="24"/>
                <w:vertAlign w:val="subscript"/>
              </w:rPr>
              <w:t>2.5</w:t>
            </w:r>
            <w:r>
              <w:rPr>
                <w:rFonts w:ascii="Times New Roman" w:hAnsi="Times New Roman"/>
                <w:kern w:val="2"/>
                <w:szCs w:val="24"/>
              </w:rPr>
              <w:t>、O</w:t>
            </w:r>
            <w:r>
              <w:rPr>
                <w:rFonts w:ascii="Times New Roman" w:hAnsi="Times New Roman"/>
                <w:kern w:val="2"/>
                <w:szCs w:val="24"/>
                <w:vertAlign w:val="subscript"/>
              </w:rPr>
              <w:t>3</w:t>
            </w:r>
            <w:r>
              <w:rPr>
                <w:rFonts w:ascii="Times New Roman" w:hAnsi="Times New Roman"/>
                <w:kern w:val="2"/>
                <w:szCs w:val="24"/>
              </w:rPr>
              <w:t>浓度超过了《环境空气质量标准》（GB3095-2012）中二级标准限值。因此，宿州市环境空气质量不达标，项目所在区域属于不达标区。</w:t>
            </w:r>
          </w:p>
          <w:p w14:paraId="4048FB80">
            <w:pPr>
              <w:widowControl/>
              <w:spacing w:line="360" w:lineRule="auto"/>
              <w:ind w:firstLine="480" w:firstLineChars="200"/>
              <w:rPr>
                <w:sz w:val="24"/>
                <w:szCs w:val="32"/>
              </w:rPr>
            </w:pPr>
            <w:r>
              <w:rPr>
                <w:rFonts w:hint="eastAsia" w:ascii="Times New Roman" w:hAnsi="Times New Roman" w:eastAsia="宋体" w:cs="Times New Roman"/>
                <w:color w:val="auto"/>
                <w:kern w:val="2"/>
                <w:sz w:val="24"/>
                <w:szCs w:val="24"/>
                <w:lang w:val="en-US" w:eastAsia="zh-CN" w:bidi="ar-SA"/>
              </w:rPr>
              <w:t>针对基本污染物不达标问题，宿州市人民政府采取了以下措施以改善区域环境现状</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加快传统产业改造提升</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全面推进水泥行业及生物质发电行业生物质锅炉超低排放改造。强化挥发性有机物深度治理</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大力推动家具制造、板材加工、化工等涉挥发性有机物工业源重点行业全过程治理。加强秸秆禁烧</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实行全年全时段全区域禁止在人口集中地区、机场周围、交通干线附近以及政府划定的区域露天焚烧秸秆、落叶、垃圾等产生烟尘污染的物质，确保实现零火点，推进全市空气质量持续改善。通过采取以上措施，宿州市区域环境控制质量可得到有效改善</w:t>
            </w:r>
            <w:r>
              <w:rPr>
                <w:sz w:val="24"/>
                <w:szCs w:val="32"/>
              </w:rPr>
              <w:t>。</w:t>
            </w:r>
          </w:p>
          <w:bookmarkEnd w:id="5"/>
          <w:p w14:paraId="37DBF96E">
            <w:pPr>
              <w:widowControl/>
              <w:spacing w:line="360" w:lineRule="auto"/>
              <w:ind w:firstLine="480" w:firstLineChars="200"/>
              <w:rPr>
                <w:kern w:val="1"/>
                <w:sz w:val="24"/>
              </w:rPr>
            </w:pPr>
            <w:r>
              <w:rPr>
                <w:kern w:val="1"/>
                <w:sz w:val="24"/>
              </w:rPr>
              <w:t>（2）其他污染物环境质量现状</w:t>
            </w:r>
          </w:p>
          <w:p w14:paraId="4239971C">
            <w:pPr>
              <w:spacing w:line="360" w:lineRule="auto"/>
              <w:ind w:firstLine="480" w:firstLineChars="200"/>
              <w:rPr>
                <w:rFonts w:hint="eastAsia" w:cs="宋体"/>
                <w:color w:val="auto"/>
                <w:sz w:val="24"/>
                <w:szCs w:val="24"/>
                <w:highlight w:val="none"/>
                <w:lang w:val="en-US" w:eastAsia="zh-CN"/>
              </w:rPr>
            </w:pPr>
            <w:r>
              <w:rPr>
                <w:color w:val="000000"/>
                <w:sz w:val="24"/>
              </w:rPr>
              <w:t>本项目</w:t>
            </w:r>
            <w:r>
              <w:rPr>
                <w:rFonts w:hint="eastAsia"/>
                <w:color w:val="000000"/>
                <w:sz w:val="24"/>
                <w:lang w:val="en-US" w:eastAsia="zh-CN"/>
              </w:rPr>
              <w:t>位于宿州市桃园镇桃园村寨东组进矿路北侧</w:t>
            </w:r>
            <w:r>
              <w:rPr>
                <w:rFonts w:hint="eastAsia"/>
                <w:color w:val="000000"/>
                <w:sz w:val="24"/>
              </w:rPr>
              <w:t>，而《宿州经济技术开发区“环境影响区域评估+环境标准”报告》委托安徽金祁环境检测技术有限公司于2022年12月01日~12月07日对园区周边大气环境敏感点处进行了监测</w:t>
            </w:r>
            <w:r>
              <w:rPr>
                <w:rFonts w:hint="eastAsia"/>
                <w:color w:val="auto"/>
                <w:sz w:val="24"/>
                <w:szCs w:val="24"/>
                <w:lang w:eastAsia="zh-CN"/>
              </w:rPr>
              <w:t>，</w:t>
            </w:r>
            <w:r>
              <w:rPr>
                <w:rFonts w:hint="eastAsia"/>
                <w:bCs/>
                <w:color w:val="auto"/>
                <w:sz w:val="24"/>
                <w:szCs w:val="24"/>
              </w:rPr>
              <w:t>监测</w:t>
            </w:r>
            <w:r>
              <w:rPr>
                <w:rFonts w:hint="eastAsia"/>
                <w:bCs/>
                <w:color w:val="auto"/>
                <w:sz w:val="24"/>
                <w:szCs w:val="24"/>
                <w:lang w:val="en-US" w:eastAsia="zh-CN"/>
              </w:rPr>
              <w:t>点位段家村</w:t>
            </w:r>
            <w:r>
              <w:rPr>
                <w:rFonts w:hint="eastAsia" w:cs="宋体"/>
                <w:color w:val="auto"/>
                <w:sz w:val="24"/>
                <w:szCs w:val="24"/>
              </w:rPr>
              <w:t>在本项目</w:t>
            </w:r>
            <w:r>
              <w:rPr>
                <w:color w:val="auto"/>
                <w:sz w:val="24"/>
                <w:szCs w:val="24"/>
              </w:rPr>
              <w:t>5km</w:t>
            </w:r>
            <w:r>
              <w:rPr>
                <w:rFonts w:hint="eastAsia" w:cs="宋体"/>
                <w:color w:val="auto"/>
                <w:sz w:val="24"/>
                <w:szCs w:val="24"/>
              </w:rPr>
              <w:t>范围内，现状监测的时效与范围符合《建设项目环境影响报</w:t>
            </w:r>
            <w:r>
              <w:rPr>
                <w:rFonts w:hint="eastAsia" w:cs="宋体"/>
                <w:color w:val="auto"/>
                <w:sz w:val="24"/>
                <w:szCs w:val="24"/>
                <w:highlight w:val="none"/>
              </w:rPr>
              <w:t>告表编制技术指南（污染影响类）（试行）》的要求，故本报告引用该报告中大气环境质量中非甲烷总烃监测数据</w:t>
            </w:r>
            <w:r>
              <w:rPr>
                <w:rFonts w:hint="eastAsia" w:cs="宋体"/>
                <w:color w:val="auto"/>
                <w:sz w:val="24"/>
                <w:szCs w:val="24"/>
                <w:highlight w:val="none"/>
                <w:lang w:val="en-US" w:eastAsia="zh-CN"/>
              </w:rPr>
              <w:t>。</w:t>
            </w:r>
          </w:p>
          <w:p w14:paraId="04CDB7ED">
            <w:pPr>
              <w:spacing w:line="360" w:lineRule="auto"/>
              <w:ind w:firstLine="480" w:firstLineChars="200"/>
              <w:rPr>
                <w:rFonts w:ascii="Times New Roman" w:hAnsi="Times New Roman" w:eastAsia="宋体" w:cs="Times New Roman"/>
                <w:color w:val="auto"/>
                <w:kern w:val="1"/>
                <w:sz w:val="24"/>
              </w:rPr>
            </w:pPr>
            <w:r>
              <w:rPr>
                <w:rFonts w:ascii="Times New Roman" w:hAnsi="Times New Roman" w:eastAsia="宋体" w:cs="Times New Roman"/>
                <w:color w:val="auto"/>
                <w:kern w:val="1"/>
                <w:sz w:val="24"/>
              </w:rPr>
              <w:t>①监测点位</w:t>
            </w:r>
          </w:p>
          <w:p w14:paraId="71EECDFA">
            <w:pPr>
              <w:widowControl w:val="0"/>
              <w:autoSpaceDE w:val="0"/>
              <w:autoSpaceDN w:val="0"/>
              <w:adjustRightInd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大气环境质量现状监测布点详见下表。</w:t>
            </w:r>
          </w:p>
          <w:p w14:paraId="6ADFDFAA">
            <w:pPr>
              <w:widowControl/>
              <w:numPr>
                <w:ilvl w:val="0"/>
                <w:numId w:val="12"/>
              </w:numPr>
              <w:spacing w:line="360" w:lineRule="auto"/>
              <w:ind w:left="0" w:leftChars="0" w:firstLine="0" w:firstLineChars="0"/>
              <w:jc w:val="center"/>
              <w:rPr>
                <w:rFonts w:ascii="Times New Roman" w:hAnsi="Times New Roman" w:eastAsia="宋体" w:cs="Times New Roman"/>
                <w:b/>
                <w:color w:val="auto"/>
                <w:sz w:val="24"/>
                <w:szCs w:val="32"/>
              </w:rPr>
            </w:pPr>
            <w:r>
              <w:rPr>
                <w:rFonts w:ascii="Times New Roman" w:hAnsi="Times New Roman" w:eastAsia="宋体" w:cs="Times New Roman"/>
                <w:b/>
                <w:color w:val="auto"/>
                <w:sz w:val="24"/>
                <w:szCs w:val="32"/>
              </w:rPr>
              <w:t>环境空气质量监测布点表</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8"/>
              <w:gridCol w:w="749"/>
              <w:gridCol w:w="819"/>
              <w:gridCol w:w="1238"/>
              <w:gridCol w:w="2730"/>
              <w:gridCol w:w="899"/>
              <w:gridCol w:w="1122"/>
            </w:tblGrid>
            <w:tr w14:paraId="7D835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718" w:type="pct"/>
                  <w:vMerge w:val="restart"/>
                  <w:noWrap w:val="0"/>
                  <w:vAlign w:val="center"/>
                </w:tcPr>
                <w:p w14:paraId="6482C10E">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监测点名称</w:t>
                  </w:r>
                </w:p>
              </w:tc>
              <w:tc>
                <w:tcPr>
                  <w:tcW w:w="888" w:type="pct"/>
                  <w:gridSpan w:val="2"/>
                  <w:noWrap w:val="0"/>
                  <w:vAlign w:val="center"/>
                </w:tcPr>
                <w:p w14:paraId="1D1493B0">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监测点坐标</w:t>
                  </w:r>
                </w:p>
              </w:tc>
              <w:tc>
                <w:tcPr>
                  <w:tcW w:w="701" w:type="pct"/>
                  <w:vMerge w:val="restart"/>
                  <w:noWrap w:val="0"/>
                  <w:vAlign w:val="center"/>
                </w:tcPr>
                <w:p w14:paraId="62BFA751">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监测因子</w:t>
                  </w:r>
                </w:p>
              </w:tc>
              <w:tc>
                <w:tcPr>
                  <w:tcW w:w="1546" w:type="pct"/>
                  <w:vMerge w:val="restart"/>
                  <w:noWrap w:val="0"/>
                  <w:vAlign w:val="center"/>
                </w:tcPr>
                <w:p w14:paraId="2B1E9A0C">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监测时段</w:t>
                  </w:r>
                </w:p>
              </w:tc>
              <w:tc>
                <w:tcPr>
                  <w:tcW w:w="509" w:type="pct"/>
                  <w:vMerge w:val="restart"/>
                  <w:noWrap w:val="0"/>
                  <w:vAlign w:val="center"/>
                </w:tcPr>
                <w:p w14:paraId="440ABA72">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相对厂址方位</w:t>
                  </w:r>
                </w:p>
              </w:tc>
              <w:tc>
                <w:tcPr>
                  <w:tcW w:w="635" w:type="pct"/>
                  <w:vMerge w:val="restart"/>
                  <w:noWrap w:val="0"/>
                  <w:vAlign w:val="center"/>
                </w:tcPr>
                <w:p w14:paraId="3139F3EE">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相对厂界距离/m</w:t>
                  </w:r>
                </w:p>
              </w:tc>
            </w:tr>
            <w:tr w14:paraId="7FD80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718" w:type="pct"/>
                  <w:vMerge w:val="continue"/>
                  <w:noWrap w:val="0"/>
                  <w:vAlign w:val="center"/>
                </w:tcPr>
                <w:p w14:paraId="4E57DAD9">
                  <w:pPr>
                    <w:widowControl/>
                    <w:jc w:val="center"/>
                    <w:rPr>
                      <w:rFonts w:ascii="Times New Roman" w:hAnsi="Times New Roman" w:eastAsia="宋体" w:cs="Times New Roman"/>
                      <w:b/>
                      <w:color w:val="auto"/>
                      <w:szCs w:val="21"/>
                    </w:rPr>
                  </w:pPr>
                </w:p>
              </w:tc>
              <w:tc>
                <w:tcPr>
                  <w:tcW w:w="424" w:type="pct"/>
                  <w:noWrap w:val="0"/>
                  <w:vAlign w:val="center"/>
                </w:tcPr>
                <w:p w14:paraId="7EE80814">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X</w:t>
                  </w:r>
                </w:p>
              </w:tc>
              <w:tc>
                <w:tcPr>
                  <w:tcW w:w="463" w:type="pct"/>
                  <w:noWrap w:val="0"/>
                  <w:vAlign w:val="center"/>
                </w:tcPr>
                <w:p w14:paraId="4B924ABC">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Y</w:t>
                  </w:r>
                </w:p>
              </w:tc>
              <w:tc>
                <w:tcPr>
                  <w:tcW w:w="701" w:type="pct"/>
                  <w:vMerge w:val="continue"/>
                  <w:noWrap w:val="0"/>
                  <w:vAlign w:val="center"/>
                </w:tcPr>
                <w:p w14:paraId="63661D2F">
                  <w:pPr>
                    <w:widowControl/>
                    <w:jc w:val="center"/>
                    <w:rPr>
                      <w:rFonts w:ascii="Times New Roman" w:hAnsi="Times New Roman" w:eastAsia="宋体" w:cs="Times New Roman"/>
                      <w:b/>
                      <w:color w:val="auto"/>
                      <w:szCs w:val="21"/>
                    </w:rPr>
                  </w:pPr>
                </w:p>
              </w:tc>
              <w:tc>
                <w:tcPr>
                  <w:tcW w:w="1546" w:type="pct"/>
                  <w:vMerge w:val="continue"/>
                  <w:noWrap w:val="0"/>
                  <w:vAlign w:val="center"/>
                </w:tcPr>
                <w:p w14:paraId="3F320178">
                  <w:pPr>
                    <w:widowControl/>
                    <w:jc w:val="center"/>
                    <w:rPr>
                      <w:rFonts w:ascii="Times New Roman" w:hAnsi="Times New Roman" w:eastAsia="宋体" w:cs="Times New Roman"/>
                      <w:b/>
                      <w:color w:val="auto"/>
                      <w:szCs w:val="21"/>
                    </w:rPr>
                  </w:pPr>
                </w:p>
              </w:tc>
              <w:tc>
                <w:tcPr>
                  <w:tcW w:w="509" w:type="pct"/>
                  <w:vMerge w:val="continue"/>
                  <w:noWrap w:val="0"/>
                  <w:vAlign w:val="center"/>
                </w:tcPr>
                <w:p w14:paraId="250339C1">
                  <w:pPr>
                    <w:widowControl/>
                    <w:jc w:val="center"/>
                    <w:rPr>
                      <w:rFonts w:ascii="Times New Roman" w:hAnsi="Times New Roman" w:eastAsia="宋体" w:cs="Times New Roman"/>
                      <w:b/>
                      <w:color w:val="auto"/>
                      <w:szCs w:val="21"/>
                    </w:rPr>
                  </w:pPr>
                </w:p>
              </w:tc>
              <w:tc>
                <w:tcPr>
                  <w:tcW w:w="635" w:type="pct"/>
                  <w:vMerge w:val="continue"/>
                  <w:noWrap w:val="0"/>
                  <w:vAlign w:val="center"/>
                </w:tcPr>
                <w:p w14:paraId="2A8A48DA">
                  <w:pPr>
                    <w:widowControl/>
                    <w:jc w:val="center"/>
                    <w:rPr>
                      <w:rFonts w:ascii="Times New Roman" w:hAnsi="Times New Roman" w:eastAsia="宋体" w:cs="Times New Roman"/>
                      <w:b/>
                      <w:color w:val="auto"/>
                      <w:szCs w:val="21"/>
                    </w:rPr>
                  </w:pPr>
                </w:p>
              </w:tc>
            </w:tr>
            <w:tr w14:paraId="09759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 w:hRule="atLeast"/>
                <w:jc w:val="center"/>
              </w:trPr>
              <w:tc>
                <w:tcPr>
                  <w:tcW w:w="718" w:type="pct"/>
                  <w:noWrap w:val="0"/>
                  <w:vAlign w:val="center"/>
                </w:tcPr>
                <w:p w14:paraId="05A26FAD">
                  <w:pPr>
                    <w:snapToGrid w:val="0"/>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段家村</w:t>
                  </w:r>
                </w:p>
              </w:tc>
              <w:tc>
                <w:tcPr>
                  <w:tcW w:w="424" w:type="pct"/>
                  <w:noWrap w:val="0"/>
                  <w:vAlign w:val="center"/>
                </w:tcPr>
                <w:p w14:paraId="16F229B6">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-284</w:t>
                  </w:r>
                </w:p>
              </w:tc>
              <w:tc>
                <w:tcPr>
                  <w:tcW w:w="463" w:type="pct"/>
                  <w:noWrap w:val="0"/>
                  <w:vAlign w:val="center"/>
                </w:tcPr>
                <w:p w14:paraId="571A7BDF">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4295</w:t>
                  </w:r>
                </w:p>
              </w:tc>
              <w:tc>
                <w:tcPr>
                  <w:tcW w:w="701" w:type="pct"/>
                  <w:noWrap w:val="0"/>
                  <w:vAlign w:val="center"/>
                </w:tcPr>
                <w:p w14:paraId="4E1047B0">
                  <w:pPr>
                    <w:suppressAutoHyphens/>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非甲烷总烃</w:t>
                  </w:r>
                </w:p>
              </w:tc>
              <w:tc>
                <w:tcPr>
                  <w:tcW w:w="1546" w:type="pct"/>
                  <w:noWrap w:val="0"/>
                  <w:vAlign w:val="center"/>
                </w:tcPr>
                <w:p w14:paraId="7D9BE03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连续监测7天，每天4次。1小时平均浓度值为：在一小时内，以等时间间隔采集4个样品，测定混合样</w:t>
                  </w:r>
                </w:p>
              </w:tc>
              <w:tc>
                <w:tcPr>
                  <w:tcW w:w="509" w:type="pct"/>
                  <w:noWrap w:val="0"/>
                  <w:vAlign w:val="center"/>
                </w:tcPr>
                <w:p w14:paraId="69539A06">
                  <w:pPr>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N</w:t>
                  </w:r>
                </w:p>
              </w:tc>
              <w:tc>
                <w:tcPr>
                  <w:tcW w:w="635" w:type="pct"/>
                  <w:noWrap w:val="0"/>
                  <w:vAlign w:val="center"/>
                </w:tcPr>
                <w:p w14:paraId="10882372">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4328</w:t>
                  </w:r>
                </w:p>
              </w:tc>
            </w:tr>
          </w:tbl>
          <w:p w14:paraId="0F4A0E06">
            <w:pPr>
              <w:widowControl/>
              <w:jc w:val="left"/>
              <w:rPr>
                <w:rFonts w:ascii="Times New Roman" w:hAnsi="Times New Roman" w:eastAsia="宋体" w:cs="Times New Roman"/>
                <w:b/>
                <w:color w:val="auto"/>
                <w:sz w:val="24"/>
              </w:rPr>
            </w:pPr>
            <w:r>
              <w:rPr>
                <w:rFonts w:ascii="Times New Roman" w:hAnsi="Times New Roman" w:eastAsia="宋体" w:cs="Times New Roman"/>
                <w:bCs/>
                <w:color w:val="auto"/>
                <w:szCs w:val="21"/>
              </w:rPr>
              <w:t>注：本项目</w:t>
            </w:r>
            <w:r>
              <w:rPr>
                <w:rFonts w:ascii="Times New Roman" w:hAnsi="Times New Roman" w:eastAsia="宋体" w:cs="Times New Roman"/>
                <w:bCs/>
                <w:color w:val="auto"/>
                <w:szCs w:val="21"/>
                <w:highlight w:val="none"/>
              </w:rPr>
              <w:t>以厂房西</w:t>
            </w:r>
            <w:r>
              <w:rPr>
                <w:rFonts w:hint="eastAsia" w:cs="Times New Roman"/>
                <w:bCs/>
                <w:color w:val="auto"/>
                <w:szCs w:val="21"/>
                <w:highlight w:val="none"/>
                <w:lang w:val="en-US" w:eastAsia="zh-CN"/>
              </w:rPr>
              <w:t>北</w:t>
            </w:r>
            <w:r>
              <w:rPr>
                <w:rFonts w:ascii="Times New Roman" w:hAnsi="Times New Roman" w:eastAsia="宋体" w:cs="Times New Roman"/>
                <w:bCs/>
                <w:color w:val="auto"/>
                <w:szCs w:val="21"/>
                <w:highlight w:val="none"/>
              </w:rPr>
              <w:t>侧（N117.013546°, E33.533708</w:t>
            </w:r>
            <w:r>
              <w:rPr>
                <w:rFonts w:ascii="Times New Roman" w:hAnsi="Times New Roman" w:eastAsia="宋体" w:cs="Times New Roman"/>
                <w:color w:val="auto"/>
                <w:highlight w:val="none"/>
              </w:rPr>
              <w:t>°</w:t>
            </w:r>
            <w:r>
              <w:rPr>
                <w:rFonts w:ascii="Times New Roman" w:hAnsi="Times New Roman" w:eastAsia="宋体" w:cs="Times New Roman"/>
                <w:bCs/>
                <w:color w:val="auto"/>
                <w:szCs w:val="21"/>
                <w:highlight w:val="none"/>
              </w:rPr>
              <w:t>）为坐标原点</w:t>
            </w:r>
            <w:r>
              <w:rPr>
                <w:rFonts w:ascii="Times New Roman" w:hAnsi="Times New Roman" w:eastAsia="宋体" w:cs="Times New Roman"/>
                <w:bCs/>
                <w:color w:val="auto"/>
                <w:sz w:val="24"/>
                <w:highlight w:val="none"/>
              </w:rPr>
              <w:t>。</w:t>
            </w:r>
          </w:p>
          <w:p w14:paraId="40C02C7D">
            <w:pPr>
              <w:spacing w:line="460" w:lineRule="exact"/>
              <w:ind w:firstLine="480"/>
              <w:rPr>
                <w:rFonts w:ascii="Times New Roman" w:hAnsi="Times New Roman" w:eastAsia="宋体" w:cs="Times New Roman"/>
                <w:b/>
                <w:bCs/>
                <w:color w:val="auto"/>
                <w:sz w:val="24"/>
              </w:rPr>
            </w:pPr>
            <w:r>
              <w:rPr>
                <w:rFonts w:ascii="Times New Roman" w:hAnsi="Times New Roman" w:eastAsia="宋体" w:cs="Times New Roman"/>
                <w:color w:val="auto"/>
                <w:sz w:val="24"/>
                <w:szCs w:val="32"/>
              </w:rPr>
              <w:t>②检</w:t>
            </w:r>
            <w:r>
              <w:rPr>
                <w:rFonts w:ascii="Times New Roman" w:hAnsi="Times New Roman" w:eastAsia="宋体" w:cs="Times New Roman"/>
                <w:color w:val="auto"/>
                <w:sz w:val="24"/>
              </w:rPr>
              <w:t>测结果</w:t>
            </w:r>
          </w:p>
          <w:p w14:paraId="3FA804C1">
            <w:pPr>
              <w:widowControl/>
              <w:numPr>
                <w:ilvl w:val="0"/>
                <w:numId w:val="12"/>
              </w:numPr>
              <w:spacing w:line="360" w:lineRule="auto"/>
              <w:ind w:left="0" w:leftChars="0" w:firstLine="0" w:firstLineChars="0"/>
              <w:jc w:val="center"/>
              <w:rPr>
                <w:rFonts w:ascii="Times New Roman" w:hAnsi="Times New Roman" w:eastAsia="宋体" w:cs="Times New Roman"/>
                <w:b/>
                <w:color w:val="auto"/>
                <w:sz w:val="24"/>
                <w:szCs w:val="32"/>
              </w:rPr>
            </w:pPr>
            <w:r>
              <w:rPr>
                <w:rFonts w:ascii="Times New Roman" w:hAnsi="Times New Roman" w:eastAsia="宋体" w:cs="Times New Roman"/>
                <w:b/>
                <w:color w:val="auto"/>
                <w:sz w:val="24"/>
                <w:szCs w:val="32"/>
              </w:rPr>
              <w:t>环境空气非甲烷总烃检测结果  (单位：</w:t>
            </w:r>
            <w:r>
              <w:rPr>
                <w:rFonts w:hint="eastAsia" w:ascii="Times New Roman" w:hAnsi="Times New Roman" w:eastAsia="宋体" w:cs="Times New Roman"/>
                <w:b/>
                <w:color w:val="auto"/>
                <w:sz w:val="24"/>
                <w:szCs w:val="32"/>
              </w:rPr>
              <w:t>m</w:t>
            </w:r>
            <w:r>
              <w:rPr>
                <w:rFonts w:ascii="Times New Roman" w:hAnsi="Times New Roman" w:eastAsia="宋体" w:cs="Times New Roman"/>
                <w:b/>
                <w:color w:val="auto"/>
                <w:sz w:val="24"/>
                <w:szCs w:val="32"/>
              </w:rPr>
              <w:t>g/m</w:t>
            </w:r>
            <w:r>
              <w:rPr>
                <w:rFonts w:ascii="Times New Roman" w:hAnsi="Times New Roman" w:eastAsia="宋体" w:cs="Times New Roman"/>
                <w:b/>
                <w:color w:val="auto"/>
                <w:sz w:val="24"/>
                <w:szCs w:val="32"/>
                <w:vertAlign w:val="superscript"/>
              </w:rPr>
              <w:t>3</w:t>
            </w:r>
            <w:r>
              <w:rPr>
                <w:rFonts w:ascii="Times New Roman" w:hAnsi="Times New Roman" w:eastAsia="宋体" w:cs="Times New Roman"/>
                <w:b/>
                <w:color w:val="auto"/>
                <w:sz w:val="24"/>
                <w:szCs w:val="32"/>
              </w:rPr>
              <w:t>)</w:t>
            </w:r>
          </w:p>
          <w:tbl>
            <w:tblPr>
              <w:tblStyle w:val="3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69"/>
              <w:gridCol w:w="1841"/>
              <w:gridCol w:w="4910"/>
            </w:tblGrid>
            <w:tr w14:paraId="6A528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1173" w:type="pct"/>
                  <w:vMerge w:val="restart"/>
                  <w:noWrap w:val="0"/>
                  <w:vAlign w:val="center"/>
                </w:tcPr>
                <w:p w14:paraId="3CE09664">
                  <w:pPr>
                    <w:spacing w:line="276"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采样日期</w:t>
                  </w:r>
                </w:p>
              </w:tc>
              <w:tc>
                <w:tcPr>
                  <w:tcW w:w="1043" w:type="pct"/>
                  <w:vMerge w:val="restart"/>
                  <w:noWrap w:val="0"/>
                  <w:vAlign w:val="center"/>
                </w:tcPr>
                <w:p w14:paraId="2D166F2A">
                  <w:pPr>
                    <w:spacing w:line="276"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检测地点</w:t>
                  </w:r>
                </w:p>
              </w:tc>
              <w:tc>
                <w:tcPr>
                  <w:tcW w:w="2782" w:type="pct"/>
                  <w:noWrap w:val="0"/>
                  <w:vAlign w:val="center"/>
                </w:tcPr>
                <w:p w14:paraId="218001ED">
                  <w:pPr>
                    <w:spacing w:line="276"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检测结果浓度范围</w:t>
                  </w:r>
                </w:p>
              </w:tc>
            </w:tr>
            <w:tr w14:paraId="1C1B2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jc w:val="center"/>
              </w:trPr>
              <w:tc>
                <w:tcPr>
                  <w:tcW w:w="1173" w:type="pct"/>
                  <w:vMerge w:val="continue"/>
                  <w:noWrap w:val="0"/>
                  <w:vAlign w:val="center"/>
                </w:tcPr>
                <w:p w14:paraId="18C05529">
                  <w:pPr>
                    <w:spacing w:line="276" w:lineRule="auto"/>
                    <w:jc w:val="center"/>
                    <w:rPr>
                      <w:rFonts w:ascii="Times New Roman" w:hAnsi="Times New Roman" w:eastAsia="宋体" w:cs="Times New Roman"/>
                      <w:color w:val="auto"/>
                    </w:rPr>
                  </w:pPr>
                </w:p>
              </w:tc>
              <w:tc>
                <w:tcPr>
                  <w:tcW w:w="1043" w:type="pct"/>
                  <w:vMerge w:val="continue"/>
                  <w:noWrap w:val="0"/>
                  <w:vAlign w:val="center"/>
                </w:tcPr>
                <w:p w14:paraId="0E1EF9DD">
                  <w:pPr>
                    <w:spacing w:line="276" w:lineRule="auto"/>
                    <w:jc w:val="center"/>
                    <w:rPr>
                      <w:rFonts w:ascii="Times New Roman" w:hAnsi="Times New Roman" w:eastAsia="宋体" w:cs="Times New Roman"/>
                      <w:color w:val="auto"/>
                    </w:rPr>
                  </w:pPr>
                </w:p>
              </w:tc>
              <w:tc>
                <w:tcPr>
                  <w:tcW w:w="2782" w:type="pct"/>
                  <w:noWrap w:val="0"/>
                  <w:vAlign w:val="center"/>
                </w:tcPr>
                <w:p w14:paraId="019F40FE">
                  <w:pPr>
                    <w:spacing w:line="276"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非甲烷总烃</w:t>
                  </w:r>
                  <w:r>
                    <w:rPr>
                      <w:rFonts w:hint="eastAsia" w:ascii="Times New Roman" w:hAnsi="Times New Roman" w:eastAsia="宋体" w:cs="Times New Roman"/>
                      <w:color w:val="auto"/>
                      <w:szCs w:val="21"/>
                    </w:rPr>
                    <w:t>（小时值）</w:t>
                  </w:r>
                </w:p>
              </w:tc>
            </w:tr>
            <w:tr w14:paraId="4A9CF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73" w:type="pct"/>
                  <w:noWrap w:val="0"/>
                  <w:vAlign w:val="center"/>
                </w:tcPr>
                <w:p w14:paraId="697EA893">
                  <w:pPr>
                    <w:spacing w:line="276" w:lineRule="auto"/>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w:t>
                  </w:r>
                  <w:r>
                    <w:rPr>
                      <w:rFonts w:hint="eastAsia" w:cs="Times New Roman"/>
                      <w:color w:val="auto"/>
                      <w:szCs w:val="21"/>
                      <w:lang w:val="en-US" w:eastAsia="zh-CN"/>
                    </w:rPr>
                    <w:t>2</w:t>
                  </w:r>
                  <w:r>
                    <w:rPr>
                      <w:rFonts w:ascii="Times New Roman" w:hAnsi="Times New Roman" w:eastAsia="宋体" w:cs="Times New Roman"/>
                      <w:color w:val="auto"/>
                      <w:szCs w:val="21"/>
                    </w:rPr>
                    <w:t>.12.01~12.07</w:t>
                  </w:r>
                </w:p>
              </w:tc>
              <w:tc>
                <w:tcPr>
                  <w:tcW w:w="1043" w:type="pct"/>
                  <w:noWrap w:val="0"/>
                  <w:vAlign w:val="center"/>
                </w:tcPr>
                <w:p w14:paraId="664A8E10">
                  <w:pPr>
                    <w:snapToGrid w:val="0"/>
                    <w:spacing w:line="276" w:lineRule="auto"/>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段家村</w:t>
                  </w:r>
                </w:p>
              </w:tc>
              <w:tc>
                <w:tcPr>
                  <w:tcW w:w="2782" w:type="pct"/>
                  <w:noWrap w:val="0"/>
                  <w:vAlign w:val="center"/>
                </w:tcPr>
                <w:p w14:paraId="2F2FAD6E">
                  <w:pPr>
                    <w:snapToGrid w:val="0"/>
                    <w:spacing w:line="276" w:lineRule="auto"/>
                    <w:jc w:val="center"/>
                    <w:rPr>
                      <w:rFonts w:ascii="Times New Roman" w:hAnsi="Times New Roman" w:eastAsia="宋体" w:cs="Times New Roman"/>
                      <w:color w:val="auto"/>
                      <w:szCs w:val="21"/>
                    </w:rPr>
                  </w:pPr>
                  <w:r>
                    <w:rPr>
                      <w:rFonts w:hint="eastAsia"/>
                      <w:color w:val="auto"/>
                      <w:sz w:val="21"/>
                      <w:szCs w:val="21"/>
                      <w:highlight w:val="none"/>
                      <w:lang w:val="en-US" w:eastAsia="zh-CN"/>
                    </w:rPr>
                    <w:t>0.35~0.67</w:t>
                  </w:r>
                </w:p>
              </w:tc>
            </w:tr>
          </w:tbl>
          <w:p w14:paraId="7CFAA7F8">
            <w:pPr>
              <w:spacing w:line="360" w:lineRule="auto"/>
              <w:ind w:firstLine="480"/>
              <w:jc w:val="left"/>
              <w:rPr>
                <w:rFonts w:ascii="Times New Roman" w:hAnsi="Times New Roman" w:eastAsia="宋体" w:cs="Times New Roman"/>
                <w:color w:val="auto"/>
                <w:sz w:val="24"/>
              </w:rPr>
            </w:pPr>
            <w:r>
              <w:rPr>
                <w:rFonts w:ascii="Times New Roman" w:hAnsi="Times New Roman" w:eastAsia="宋体" w:cs="Times New Roman"/>
                <w:color w:val="auto"/>
                <w:sz w:val="24"/>
              </w:rPr>
              <w:t>③评价方法</w:t>
            </w:r>
          </w:p>
          <w:p w14:paraId="56B95124">
            <w:pPr>
              <w:spacing w:line="360" w:lineRule="auto"/>
              <w:ind w:firstLine="480"/>
              <w:jc w:val="left"/>
              <w:rPr>
                <w:rFonts w:ascii="Times New Roman" w:hAnsi="Times New Roman" w:eastAsia="宋体" w:cs="Times New Roman"/>
                <w:color w:val="auto"/>
                <w:sz w:val="24"/>
              </w:rPr>
            </w:pPr>
            <w:r>
              <w:rPr>
                <w:rFonts w:ascii="Times New Roman" w:hAnsi="Times New Roman" w:eastAsia="宋体" w:cs="Times New Roman"/>
                <w:color w:val="auto"/>
                <w:sz w:val="24"/>
              </w:rPr>
              <w:t>评价方法采用单因子污染指数法，其计算公式为：</w:t>
            </w:r>
          </w:p>
          <w:p w14:paraId="5E85F714">
            <w:pPr>
              <w:spacing w:line="360" w:lineRule="auto"/>
              <w:ind w:firstLine="1200"/>
              <w:jc w:val="left"/>
              <w:rPr>
                <w:rFonts w:ascii="Times New Roman" w:hAnsi="Times New Roman" w:eastAsia="宋体" w:cs="Times New Roman"/>
                <w:color w:val="auto"/>
                <w:sz w:val="24"/>
              </w:rPr>
            </w:pPr>
            <w:r>
              <w:rPr>
                <w:rFonts w:ascii="Times New Roman" w:hAnsi="Times New Roman" w:eastAsia="宋体" w:cs="Times New Roman"/>
                <w:color w:val="auto"/>
                <w:sz w:val="24"/>
              </w:rPr>
              <w:t>Pi ＝Ci/ Csi</w:t>
            </w:r>
          </w:p>
          <w:p w14:paraId="399584DD">
            <w:pPr>
              <w:spacing w:line="360" w:lineRule="auto"/>
              <w:ind w:firstLine="480"/>
              <w:jc w:val="left"/>
              <w:rPr>
                <w:rFonts w:ascii="Times New Roman" w:hAnsi="Times New Roman" w:eastAsia="宋体" w:cs="Times New Roman"/>
                <w:color w:val="auto"/>
                <w:sz w:val="24"/>
              </w:rPr>
            </w:pPr>
            <w:r>
              <w:rPr>
                <w:rFonts w:ascii="Times New Roman" w:hAnsi="Times New Roman" w:eastAsia="宋体" w:cs="Times New Roman"/>
                <w:color w:val="auto"/>
                <w:sz w:val="24"/>
              </w:rPr>
              <w:t>式中：P</w:t>
            </w:r>
            <w:r>
              <w:rPr>
                <w:rFonts w:ascii="Times New Roman" w:hAnsi="Times New Roman" w:eastAsia="宋体" w:cs="Times New Roman"/>
                <w:color w:val="auto"/>
                <w:sz w:val="24"/>
                <w:vertAlign w:val="subscript"/>
              </w:rPr>
              <w:t>i</w:t>
            </w:r>
            <w:r>
              <w:rPr>
                <w:rFonts w:ascii="Times New Roman" w:hAnsi="Times New Roman" w:eastAsia="宋体" w:cs="Times New Roman"/>
                <w:color w:val="auto"/>
                <w:sz w:val="24"/>
              </w:rPr>
              <w:t>——i污染物单因子指数；</w:t>
            </w:r>
          </w:p>
          <w:p w14:paraId="5C8B56D0">
            <w:pPr>
              <w:spacing w:line="360" w:lineRule="auto"/>
              <w:ind w:firstLine="1200"/>
              <w:jc w:val="left"/>
              <w:rPr>
                <w:rFonts w:ascii="Times New Roman" w:hAnsi="Times New Roman" w:eastAsia="宋体" w:cs="Times New Roman"/>
                <w:color w:val="auto"/>
                <w:sz w:val="24"/>
              </w:rPr>
            </w:pPr>
            <w:r>
              <w:rPr>
                <w:rFonts w:ascii="Times New Roman" w:hAnsi="Times New Roman" w:eastAsia="宋体" w:cs="Times New Roman"/>
                <w:color w:val="auto"/>
                <w:sz w:val="24"/>
              </w:rPr>
              <w:t>C</w:t>
            </w:r>
            <w:r>
              <w:rPr>
                <w:rFonts w:ascii="Times New Roman" w:hAnsi="Times New Roman" w:eastAsia="宋体" w:cs="Times New Roman"/>
                <w:color w:val="auto"/>
                <w:sz w:val="24"/>
                <w:vertAlign w:val="subscript"/>
              </w:rPr>
              <w:t>i</w:t>
            </w:r>
            <w:r>
              <w:rPr>
                <w:rFonts w:ascii="Times New Roman" w:hAnsi="Times New Roman" w:eastAsia="宋体" w:cs="Times New Roman"/>
                <w:color w:val="auto"/>
                <w:sz w:val="24"/>
              </w:rPr>
              <w:t>——i污染物实测浓度，mg/m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14:paraId="2730C56F">
            <w:pPr>
              <w:spacing w:line="360" w:lineRule="auto"/>
              <w:ind w:firstLine="1200"/>
              <w:jc w:val="left"/>
              <w:rPr>
                <w:rFonts w:ascii="Times New Roman" w:hAnsi="Times New Roman" w:eastAsia="宋体" w:cs="Times New Roman"/>
                <w:color w:val="auto"/>
                <w:sz w:val="24"/>
              </w:rPr>
            </w:pPr>
            <w:r>
              <w:rPr>
                <w:rFonts w:ascii="Times New Roman" w:hAnsi="Times New Roman" w:eastAsia="宋体" w:cs="Times New Roman"/>
                <w:color w:val="auto"/>
                <w:sz w:val="24"/>
              </w:rPr>
              <w:t>C</w:t>
            </w:r>
            <w:r>
              <w:rPr>
                <w:rFonts w:ascii="Times New Roman" w:hAnsi="Times New Roman" w:eastAsia="宋体" w:cs="Times New Roman"/>
                <w:color w:val="auto"/>
                <w:sz w:val="24"/>
                <w:vertAlign w:val="subscript"/>
              </w:rPr>
              <w:t>si</w:t>
            </w:r>
            <w:r>
              <w:rPr>
                <w:rFonts w:ascii="Times New Roman" w:hAnsi="Times New Roman" w:eastAsia="宋体" w:cs="Times New Roman"/>
                <w:color w:val="auto"/>
                <w:sz w:val="24"/>
              </w:rPr>
              <w:t>——i污染物评价标准，mg/m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w:t>
            </w:r>
          </w:p>
          <w:p w14:paraId="7B8EFB17">
            <w:pPr>
              <w:spacing w:line="360" w:lineRule="auto"/>
              <w:ind w:firstLine="480"/>
              <w:jc w:val="left"/>
              <w:rPr>
                <w:rFonts w:ascii="Times New Roman" w:hAnsi="Times New Roman" w:eastAsia="宋体" w:cs="Times New Roman"/>
                <w:color w:val="auto"/>
                <w:sz w:val="24"/>
              </w:rPr>
            </w:pPr>
            <w:r>
              <w:rPr>
                <w:rFonts w:ascii="Times New Roman" w:hAnsi="Times New Roman" w:eastAsia="宋体" w:cs="Times New Roman"/>
                <w:color w:val="auto"/>
                <w:sz w:val="24"/>
              </w:rPr>
              <w:t>当P</w:t>
            </w:r>
            <w:r>
              <w:rPr>
                <w:rFonts w:ascii="Times New Roman" w:hAnsi="Times New Roman" w:eastAsia="宋体" w:cs="Times New Roman"/>
                <w:color w:val="auto"/>
                <w:sz w:val="24"/>
                <w:vertAlign w:val="subscript"/>
              </w:rPr>
              <w:t>i</w:t>
            </w:r>
            <w:r>
              <w:rPr>
                <w:rFonts w:ascii="Times New Roman" w:hAnsi="Times New Roman" w:eastAsia="宋体" w:cs="Times New Roman"/>
                <w:color w:val="auto"/>
                <w:sz w:val="24"/>
              </w:rPr>
              <w:t>&gt;1时，即该因子超标。</w:t>
            </w:r>
          </w:p>
          <w:p w14:paraId="620B685A">
            <w:pPr>
              <w:spacing w:line="360" w:lineRule="auto"/>
              <w:ind w:firstLine="482"/>
              <w:jc w:val="left"/>
              <w:rPr>
                <w:rFonts w:ascii="Times New Roman" w:hAnsi="Times New Roman" w:eastAsia="宋体" w:cs="Times New Roman"/>
                <w:color w:val="auto"/>
                <w:sz w:val="24"/>
              </w:rPr>
            </w:pPr>
            <w:r>
              <w:rPr>
                <w:rFonts w:ascii="Times New Roman" w:hAnsi="Times New Roman" w:eastAsia="宋体" w:cs="Times New Roman"/>
                <w:color w:val="auto"/>
                <w:sz w:val="24"/>
              </w:rPr>
              <w:t>④现状评价结果</w:t>
            </w:r>
          </w:p>
          <w:p w14:paraId="234C0C41">
            <w:pPr>
              <w:spacing w:line="360" w:lineRule="auto"/>
              <w:ind w:firstLine="480"/>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sz w:val="24"/>
                <w:szCs w:val="32"/>
              </w:rPr>
              <w:t>环境空气现状监测统计及评价结果见下表。</w:t>
            </w:r>
          </w:p>
          <w:p w14:paraId="2D5BB9A1">
            <w:pPr>
              <w:widowControl/>
              <w:numPr>
                <w:ilvl w:val="0"/>
                <w:numId w:val="12"/>
              </w:numPr>
              <w:spacing w:line="360" w:lineRule="auto"/>
              <w:ind w:left="0" w:leftChars="0" w:firstLine="0" w:firstLineChars="0"/>
              <w:jc w:val="center"/>
              <w:rPr>
                <w:rFonts w:ascii="Times New Roman" w:hAnsi="Times New Roman" w:eastAsia="宋体" w:cs="Times New Roman"/>
                <w:b/>
                <w:color w:val="auto"/>
                <w:sz w:val="24"/>
                <w:szCs w:val="32"/>
              </w:rPr>
            </w:pPr>
            <w:r>
              <w:rPr>
                <w:rFonts w:ascii="Times New Roman" w:hAnsi="Times New Roman" w:eastAsia="宋体" w:cs="Times New Roman"/>
                <w:b/>
                <w:color w:val="auto"/>
                <w:sz w:val="24"/>
                <w:szCs w:val="32"/>
              </w:rPr>
              <w:t>各监测点监测统计及评价结果</w:t>
            </w:r>
          </w:p>
          <w:tbl>
            <w:tblPr>
              <w:tblStyle w:val="3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5"/>
              <w:gridCol w:w="2307"/>
              <w:gridCol w:w="1343"/>
              <w:gridCol w:w="1509"/>
              <w:gridCol w:w="1387"/>
              <w:gridCol w:w="1099"/>
            </w:tblGrid>
            <w:tr w14:paraId="59E33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jc w:val="center"/>
              </w:trPr>
              <w:tc>
                <w:tcPr>
                  <w:tcW w:w="666" w:type="pct"/>
                  <w:noWrap w:val="0"/>
                  <w:vAlign w:val="center"/>
                </w:tcPr>
                <w:p w14:paraId="36C4302B">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监测点位</w:t>
                  </w:r>
                </w:p>
              </w:tc>
              <w:tc>
                <w:tcPr>
                  <w:tcW w:w="1307" w:type="pct"/>
                  <w:noWrap w:val="0"/>
                  <w:vAlign w:val="center"/>
                </w:tcPr>
                <w:p w14:paraId="11D4EC47">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污染物</w:t>
                  </w:r>
                </w:p>
              </w:tc>
              <w:tc>
                <w:tcPr>
                  <w:tcW w:w="761" w:type="pct"/>
                  <w:noWrap w:val="0"/>
                  <w:vAlign w:val="center"/>
                </w:tcPr>
                <w:p w14:paraId="797A4673">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评级标准（</w:t>
                  </w:r>
                  <w:r>
                    <w:rPr>
                      <w:rFonts w:ascii="Times New Roman" w:hAnsi="Times New Roman" w:eastAsia="宋体" w:cs="Times New Roman"/>
                      <w:color w:val="auto"/>
                      <w:szCs w:val="21"/>
                    </w:rPr>
                    <w:t>mg/m</w:t>
                  </w:r>
                  <w:r>
                    <w:rPr>
                      <w:rFonts w:ascii="Times New Roman" w:hAnsi="Times New Roman" w:eastAsia="宋体" w:cs="Times New Roman"/>
                      <w:color w:val="auto"/>
                      <w:szCs w:val="21"/>
                      <w:vertAlign w:val="superscript"/>
                    </w:rPr>
                    <w:t>3</w:t>
                  </w:r>
                  <w:r>
                    <w:rPr>
                      <w:rFonts w:ascii="Times New Roman" w:hAnsi="Times New Roman" w:eastAsia="宋体" w:cs="Times New Roman"/>
                      <w:bCs/>
                      <w:color w:val="auto"/>
                      <w:szCs w:val="21"/>
                    </w:rPr>
                    <w:t>）</w:t>
                  </w:r>
                </w:p>
              </w:tc>
              <w:tc>
                <w:tcPr>
                  <w:tcW w:w="855" w:type="pct"/>
                  <w:noWrap w:val="0"/>
                  <w:vAlign w:val="center"/>
                </w:tcPr>
                <w:p w14:paraId="68AA5ADC">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监测浓度最大值（</w:t>
                  </w:r>
                  <w:r>
                    <w:rPr>
                      <w:rFonts w:hint="eastAsia" w:ascii="Times New Roman" w:hAnsi="Times New Roman" w:eastAsia="宋体" w:cs="Times New Roman"/>
                      <w:color w:val="auto"/>
                      <w:szCs w:val="21"/>
                    </w:rPr>
                    <w:t>m</w:t>
                  </w:r>
                  <w:r>
                    <w:rPr>
                      <w:rFonts w:ascii="Times New Roman" w:hAnsi="Times New Roman" w:eastAsia="宋体" w:cs="Times New Roman"/>
                      <w:color w:val="auto"/>
                      <w:szCs w:val="21"/>
                    </w:rPr>
                    <w:t>g/m</w:t>
                  </w:r>
                  <w:r>
                    <w:rPr>
                      <w:rFonts w:ascii="Times New Roman" w:hAnsi="Times New Roman" w:eastAsia="宋体" w:cs="Times New Roman"/>
                      <w:color w:val="auto"/>
                      <w:szCs w:val="21"/>
                      <w:vertAlign w:val="superscript"/>
                    </w:rPr>
                    <w:t>3</w:t>
                  </w:r>
                  <w:r>
                    <w:rPr>
                      <w:rFonts w:ascii="Times New Roman" w:hAnsi="Times New Roman" w:eastAsia="宋体" w:cs="Times New Roman"/>
                      <w:bCs/>
                      <w:color w:val="auto"/>
                      <w:szCs w:val="21"/>
                    </w:rPr>
                    <w:t>）</w:t>
                  </w:r>
                </w:p>
              </w:tc>
              <w:tc>
                <w:tcPr>
                  <w:tcW w:w="786" w:type="pct"/>
                  <w:noWrap w:val="0"/>
                  <w:vAlign w:val="center"/>
                </w:tcPr>
                <w:p w14:paraId="0BCC9F1F">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单因子指数</w:t>
                  </w:r>
                </w:p>
              </w:tc>
              <w:tc>
                <w:tcPr>
                  <w:tcW w:w="623" w:type="pct"/>
                  <w:noWrap w:val="0"/>
                  <w:vAlign w:val="center"/>
                </w:tcPr>
                <w:p w14:paraId="5B3FAD02">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达标情况</w:t>
                  </w:r>
                </w:p>
              </w:tc>
            </w:tr>
            <w:tr w14:paraId="04164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6" w:type="pct"/>
                  <w:noWrap w:val="0"/>
                  <w:vAlign w:val="center"/>
                </w:tcPr>
                <w:p w14:paraId="237CF5DE">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段家村</w:t>
                  </w:r>
                </w:p>
              </w:tc>
              <w:tc>
                <w:tcPr>
                  <w:tcW w:w="1307" w:type="pct"/>
                  <w:noWrap w:val="0"/>
                  <w:vAlign w:val="center"/>
                </w:tcPr>
                <w:p w14:paraId="32C25CD6">
                  <w:pPr>
                    <w:jc w:val="center"/>
                    <w:rPr>
                      <w:rFonts w:hint="eastAsia" w:ascii="Times New Roman" w:hAnsi="Times New Roman" w:eastAsia="宋体" w:cs="Times New Roman"/>
                      <w:bCs/>
                      <w:color w:val="auto"/>
                      <w:szCs w:val="21"/>
                    </w:rPr>
                  </w:pPr>
                  <w:r>
                    <w:rPr>
                      <w:rFonts w:ascii="Times New Roman" w:hAnsi="Times New Roman" w:eastAsia="宋体" w:cs="Times New Roman"/>
                      <w:bCs/>
                      <w:color w:val="auto"/>
                      <w:szCs w:val="21"/>
                    </w:rPr>
                    <w:t>非甲烷总烃</w:t>
                  </w:r>
                  <w:r>
                    <w:rPr>
                      <w:rFonts w:hint="eastAsia" w:ascii="Times New Roman" w:hAnsi="Times New Roman" w:eastAsia="宋体" w:cs="Times New Roman"/>
                      <w:bCs/>
                      <w:color w:val="auto"/>
                      <w:szCs w:val="21"/>
                    </w:rPr>
                    <w:t>（小时值）</w:t>
                  </w:r>
                </w:p>
              </w:tc>
              <w:tc>
                <w:tcPr>
                  <w:tcW w:w="761" w:type="pct"/>
                  <w:noWrap w:val="0"/>
                  <w:vAlign w:val="center"/>
                </w:tcPr>
                <w:p w14:paraId="52B2A40F">
                  <w:pPr>
                    <w:widowControl/>
                    <w:jc w:val="center"/>
                    <w:textAlignment w:val="center"/>
                    <w:rPr>
                      <w:rFonts w:ascii="Times New Roman" w:hAnsi="Times New Roman" w:eastAsia="宋体" w:cs="Times New Roman"/>
                      <w:bCs/>
                      <w:color w:val="auto"/>
                      <w:szCs w:val="21"/>
                    </w:rPr>
                  </w:pPr>
                  <w:r>
                    <w:rPr>
                      <w:rFonts w:ascii="Times New Roman" w:hAnsi="Times New Roman" w:eastAsia="宋体" w:cs="Times New Roman"/>
                      <w:color w:val="auto"/>
                      <w:kern w:val="0"/>
                      <w:szCs w:val="21"/>
                    </w:rPr>
                    <w:t>2.0</w:t>
                  </w:r>
                </w:p>
              </w:tc>
              <w:tc>
                <w:tcPr>
                  <w:tcW w:w="855" w:type="pct"/>
                  <w:noWrap w:val="0"/>
                  <w:vAlign w:val="center"/>
                </w:tcPr>
                <w:p w14:paraId="67D0B71E">
                  <w:pPr>
                    <w:widowControl/>
                    <w:jc w:val="center"/>
                    <w:textAlignment w:val="center"/>
                    <w:rPr>
                      <w:rFonts w:hint="eastAsia" w:ascii="Times New Roman" w:hAnsi="Times New Roman" w:eastAsia="宋体" w:cs="Times New Roman"/>
                      <w:bCs/>
                      <w:color w:val="auto"/>
                      <w:szCs w:val="21"/>
                      <w:lang w:eastAsia="zh-CN"/>
                    </w:rPr>
                  </w:pPr>
                  <w:r>
                    <w:rPr>
                      <w:rFonts w:ascii="Times New Roman" w:hAnsi="Times New Roman" w:eastAsia="宋体" w:cs="Times New Roman"/>
                      <w:color w:val="auto"/>
                      <w:kern w:val="0"/>
                      <w:szCs w:val="21"/>
                    </w:rPr>
                    <w:t>0.6</w:t>
                  </w:r>
                  <w:r>
                    <w:rPr>
                      <w:rFonts w:hint="eastAsia" w:ascii="Times New Roman" w:hAnsi="Times New Roman" w:eastAsia="宋体" w:cs="Times New Roman"/>
                      <w:color w:val="auto"/>
                      <w:kern w:val="0"/>
                      <w:szCs w:val="21"/>
                      <w:lang w:val="en-US" w:eastAsia="zh-CN"/>
                    </w:rPr>
                    <w:t>7</w:t>
                  </w:r>
                </w:p>
              </w:tc>
              <w:tc>
                <w:tcPr>
                  <w:tcW w:w="786" w:type="pct"/>
                  <w:noWrap w:val="0"/>
                  <w:vAlign w:val="center"/>
                </w:tcPr>
                <w:p w14:paraId="1F60A258">
                  <w:pPr>
                    <w:widowControl/>
                    <w:jc w:val="center"/>
                    <w:textAlignment w:val="center"/>
                    <w:rPr>
                      <w:rFonts w:hint="eastAsia" w:ascii="Times New Roman" w:hAnsi="Times New Roman" w:eastAsia="宋体" w:cs="Times New Roman"/>
                      <w:bCs/>
                      <w:color w:val="auto"/>
                      <w:szCs w:val="21"/>
                      <w:lang w:eastAsia="zh-CN"/>
                    </w:rPr>
                  </w:pPr>
                  <w:r>
                    <w:rPr>
                      <w:rFonts w:ascii="Times New Roman" w:hAnsi="Times New Roman" w:eastAsia="宋体" w:cs="Times New Roman"/>
                      <w:color w:val="auto"/>
                      <w:kern w:val="0"/>
                      <w:szCs w:val="21"/>
                    </w:rPr>
                    <w:t>0.3</w:t>
                  </w:r>
                  <w:r>
                    <w:rPr>
                      <w:rFonts w:hint="eastAsia" w:ascii="Times New Roman" w:hAnsi="Times New Roman" w:eastAsia="宋体" w:cs="Times New Roman"/>
                      <w:color w:val="auto"/>
                      <w:kern w:val="0"/>
                      <w:szCs w:val="21"/>
                      <w:lang w:val="en-US" w:eastAsia="zh-CN"/>
                    </w:rPr>
                    <w:t>4</w:t>
                  </w:r>
                </w:p>
              </w:tc>
              <w:tc>
                <w:tcPr>
                  <w:tcW w:w="623" w:type="pct"/>
                  <w:noWrap w:val="0"/>
                  <w:vAlign w:val="center"/>
                </w:tcPr>
                <w:p w14:paraId="334D146C">
                  <w:pPr>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达标</w:t>
                  </w:r>
                </w:p>
              </w:tc>
            </w:tr>
          </w:tbl>
          <w:p w14:paraId="521E49A9">
            <w:pPr>
              <w:spacing w:line="360" w:lineRule="auto"/>
              <w:ind w:firstLine="480" w:firstLineChars="200"/>
              <w:rPr>
                <w:sz w:val="24"/>
              </w:rPr>
            </w:pPr>
            <w:r>
              <w:rPr>
                <w:rFonts w:hint="eastAsia"/>
                <w:color w:val="000000"/>
                <w:sz w:val="24"/>
              </w:rPr>
              <w:t>由上表可知</w:t>
            </w:r>
            <w:r>
              <w:rPr>
                <w:color w:val="000000"/>
                <w:sz w:val="24"/>
              </w:rPr>
              <w:t>，非甲烷总烃的监测结果</w:t>
            </w:r>
            <w:r>
              <w:rPr>
                <w:rFonts w:hint="eastAsia"/>
                <w:color w:val="000000"/>
                <w:sz w:val="24"/>
                <w:lang w:val="en-US" w:eastAsia="zh-CN"/>
              </w:rPr>
              <w:t>满足</w:t>
            </w:r>
            <w:r>
              <w:rPr>
                <w:color w:val="000000"/>
                <w:sz w:val="24"/>
              </w:rPr>
              <w:t>《大气污染物综合排放标准详解》中规定值要求。</w:t>
            </w:r>
          </w:p>
          <w:p w14:paraId="12E51F94">
            <w:pPr>
              <w:spacing w:line="360" w:lineRule="auto"/>
              <w:ind w:firstLine="482" w:firstLineChars="200"/>
              <w:rPr>
                <w:b/>
                <w:bCs/>
                <w:sz w:val="24"/>
                <w:szCs w:val="32"/>
              </w:rPr>
            </w:pPr>
            <w:r>
              <w:rPr>
                <w:b/>
                <w:bCs/>
                <w:sz w:val="24"/>
                <w:szCs w:val="32"/>
              </w:rPr>
              <w:t>2、地表水环境质量状况</w:t>
            </w:r>
          </w:p>
          <w:p w14:paraId="6C88CBEB">
            <w:pPr>
              <w:spacing w:line="360" w:lineRule="auto"/>
              <w:ind w:firstLine="480"/>
              <w:rPr>
                <w:b/>
                <w:bCs/>
                <w:color w:val="auto"/>
              </w:rPr>
            </w:pPr>
            <w:r>
              <w:rPr>
                <w:rFonts w:hint="eastAsia"/>
                <w:color w:val="auto"/>
                <w:kern w:val="0"/>
                <w:sz w:val="24"/>
                <w:szCs w:val="24"/>
                <w:highlight w:val="none"/>
              </w:rPr>
              <w:t>地表水</w:t>
            </w:r>
            <w:r>
              <w:rPr>
                <w:color w:val="auto"/>
                <w:kern w:val="0"/>
                <w:sz w:val="24"/>
                <w:szCs w:val="24"/>
                <w:highlight w:val="none"/>
              </w:rPr>
              <w:t>环境质量现状数据</w:t>
            </w:r>
            <w:r>
              <w:rPr>
                <w:rFonts w:hint="eastAsia"/>
                <w:color w:val="auto"/>
                <w:sz w:val="24"/>
                <w:szCs w:val="24"/>
                <w:highlight w:val="none"/>
              </w:rPr>
              <w:t>引用</w:t>
            </w:r>
            <w:r>
              <w:rPr>
                <w:rFonts w:hint="eastAsia"/>
                <w:bCs/>
                <w:color w:val="auto"/>
                <w:sz w:val="24"/>
                <w:szCs w:val="24"/>
                <w:highlight w:val="none"/>
              </w:rPr>
              <w:t>《宿州经济技术开发区“环境影响区域评估+环境标准”报告》</w:t>
            </w:r>
            <w:r>
              <w:rPr>
                <w:rFonts w:hint="eastAsia"/>
                <w:bCs/>
                <w:color w:val="auto"/>
                <w:sz w:val="24"/>
                <w:szCs w:val="24"/>
                <w:highlight w:val="none"/>
                <w:lang w:val="en-US" w:eastAsia="zh-CN"/>
              </w:rPr>
              <w:t>中的</w:t>
            </w:r>
            <w:r>
              <w:rPr>
                <w:rFonts w:hint="eastAsia"/>
                <w:bCs/>
                <w:color w:val="auto"/>
                <w:sz w:val="24"/>
                <w:szCs w:val="24"/>
              </w:rPr>
              <w:t>运粮河水质</w:t>
            </w:r>
            <w:r>
              <w:rPr>
                <w:rFonts w:hint="eastAsia"/>
                <w:color w:val="auto"/>
                <w:sz w:val="24"/>
                <w:szCs w:val="24"/>
              </w:rPr>
              <w:t>，检测日期为</w:t>
            </w:r>
            <w:r>
              <w:rPr>
                <w:bCs/>
                <w:color w:val="auto"/>
                <w:sz w:val="24"/>
                <w:szCs w:val="24"/>
              </w:rPr>
              <w:t>202</w:t>
            </w:r>
            <w:r>
              <w:rPr>
                <w:rFonts w:hint="eastAsia"/>
                <w:bCs/>
                <w:color w:val="auto"/>
                <w:sz w:val="24"/>
                <w:szCs w:val="24"/>
                <w:lang w:val="en-US" w:eastAsia="zh-CN"/>
              </w:rPr>
              <w:t>2</w:t>
            </w:r>
            <w:r>
              <w:rPr>
                <w:bCs/>
                <w:color w:val="auto"/>
                <w:sz w:val="24"/>
                <w:szCs w:val="24"/>
              </w:rPr>
              <w:t>年</w:t>
            </w:r>
            <w:r>
              <w:rPr>
                <w:rFonts w:hint="eastAsia"/>
                <w:bCs/>
                <w:color w:val="auto"/>
                <w:sz w:val="24"/>
                <w:szCs w:val="24"/>
                <w:lang w:val="en-US" w:eastAsia="zh-CN"/>
              </w:rPr>
              <w:t>12</w:t>
            </w:r>
            <w:r>
              <w:rPr>
                <w:bCs/>
                <w:color w:val="auto"/>
                <w:sz w:val="24"/>
                <w:szCs w:val="24"/>
              </w:rPr>
              <w:t>月</w:t>
            </w:r>
            <w:r>
              <w:rPr>
                <w:rFonts w:hint="eastAsia"/>
                <w:bCs/>
                <w:color w:val="auto"/>
                <w:sz w:val="24"/>
                <w:szCs w:val="24"/>
              </w:rPr>
              <w:t>1</w:t>
            </w:r>
            <w:r>
              <w:rPr>
                <w:bCs/>
                <w:color w:val="auto"/>
                <w:sz w:val="24"/>
                <w:szCs w:val="24"/>
              </w:rPr>
              <w:t>日-</w:t>
            </w:r>
            <w:r>
              <w:rPr>
                <w:rFonts w:hint="eastAsia"/>
                <w:bCs/>
                <w:color w:val="auto"/>
                <w:sz w:val="24"/>
                <w:szCs w:val="24"/>
                <w:lang w:val="en-US" w:eastAsia="zh-CN"/>
              </w:rPr>
              <w:t>12</w:t>
            </w:r>
            <w:r>
              <w:rPr>
                <w:bCs/>
                <w:color w:val="auto"/>
                <w:sz w:val="24"/>
                <w:szCs w:val="24"/>
              </w:rPr>
              <w:t>月</w:t>
            </w:r>
            <w:r>
              <w:rPr>
                <w:rFonts w:hint="eastAsia"/>
                <w:bCs/>
                <w:color w:val="auto"/>
                <w:sz w:val="24"/>
                <w:szCs w:val="24"/>
                <w:lang w:val="en-US" w:eastAsia="zh-CN"/>
              </w:rPr>
              <w:t>3</w:t>
            </w:r>
            <w:r>
              <w:rPr>
                <w:bCs/>
                <w:color w:val="auto"/>
                <w:sz w:val="24"/>
                <w:szCs w:val="24"/>
              </w:rPr>
              <w:t>日</w:t>
            </w:r>
            <w:r>
              <w:rPr>
                <w:rFonts w:hint="eastAsia"/>
                <w:bCs/>
                <w:color w:val="auto"/>
                <w:sz w:val="24"/>
                <w:szCs w:val="24"/>
              </w:rPr>
              <w:t>。现状监测的时效与范围符合《建设项目环境影响报告表编制技术指南（污染影响类）（试行）》的要求，故本报告引用该报告中运粮河地表水现状监测数据。</w:t>
            </w:r>
          </w:p>
          <w:p w14:paraId="10C1B3CA">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地表水环境质量现状监测布点详见下表及</w:t>
            </w:r>
            <w:r>
              <w:rPr>
                <w:rFonts w:hint="default" w:ascii="Times New Roman" w:hAnsi="Times New Roman" w:eastAsia="宋体" w:cs="Times New Roman"/>
                <w:color w:val="auto"/>
                <w:kern w:val="2"/>
                <w:sz w:val="24"/>
                <w:szCs w:val="24"/>
                <w:highlight w:val="none"/>
                <w:lang w:val="en-US" w:eastAsia="zh-CN" w:bidi="ar-SA"/>
              </w:rPr>
              <w:t>附图</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lang w:val="en-US" w:eastAsia="zh-CN" w:bidi="ar-SA"/>
              </w:rPr>
              <w:t>。</w:t>
            </w:r>
          </w:p>
          <w:p w14:paraId="0288215C">
            <w:pPr>
              <w:widowControl/>
              <w:numPr>
                <w:ilvl w:val="0"/>
                <w:numId w:val="12"/>
              </w:numPr>
              <w:spacing w:line="360" w:lineRule="auto"/>
              <w:ind w:left="0" w:leftChars="0" w:firstLine="0" w:firstLineChars="0"/>
              <w:jc w:val="center"/>
              <w:rPr>
                <w:rFonts w:hint="default" w:ascii="Times New Roman" w:hAnsi="Times New Roman" w:eastAsia="宋体" w:cs="Times New Roman"/>
                <w:b/>
                <w:color w:val="auto"/>
                <w:sz w:val="24"/>
                <w:szCs w:val="32"/>
              </w:rPr>
            </w:pPr>
            <w:r>
              <w:rPr>
                <w:rFonts w:hint="default" w:ascii="Times New Roman" w:hAnsi="Times New Roman" w:eastAsia="宋体" w:cs="Times New Roman"/>
                <w:b/>
                <w:color w:val="auto"/>
                <w:sz w:val="24"/>
                <w:szCs w:val="32"/>
              </w:rPr>
              <w:t>地表水环境监测断面具体位置</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03"/>
              <w:gridCol w:w="4339"/>
              <w:gridCol w:w="2998"/>
            </w:tblGrid>
            <w:tr w14:paraId="350F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2" w:type="pct"/>
                  <w:gridSpan w:val="2"/>
                  <w:noWrap w:val="0"/>
                  <w:vAlign w:val="center"/>
                </w:tcPr>
                <w:p w14:paraId="2674991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断面编号</w:t>
                  </w:r>
                </w:p>
              </w:tc>
              <w:tc>
                <w:tcPr>
                  <w:tcW w:w="2458" w:type="pct"/>
                  <w:vMerge w:val="restart"/>
                  <w:noWrap w:val="0"/>
                  <w:vAlign w:val="center"/>
                </w:tcPr>
                <w:p w14:paraId="3621951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断面位置</w:t>
                  </w:r>
                </w:p>
              </w:tc>
              <w:tc>
                <w:tcPr>
                  <w:tcW w:w="1698" w:type="pct"/>
                  <w:vMerge w:val="restart"/>
                  <w:noWrap w:val="0"/>
                  <w:vAlign w:val="center"/>
                </w:tcPr>
                <w:p w14:paraId="7558D64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r>
            <w:tr w14:paraId="3218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noWrap w:val="0"/>
                  <w:vAlign w:val="center"/>
                </w:tcPr>
                <w:p w14:paraId="613BD83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tc>
              <w:tc>
                <w:tcPr>
                  <w:tcW w:w="454" w:type="pct"/>
                  <w:noWrap w:val="0"/>
                  <w:vAlign w:val="center"/>
                </w:tcPr>
                <w:p w14:paraId="5AE55A3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w:t>
                  </w:r>
                </w:p>
              </w:tc>
              <w:tc>
                <w:tcPr>
                  <w:tcW w:w="2458" w:type="pct"/>
                  <w:vMerge w:val="continue"/>
                  <w:noWrap w:val="0"/>
                  <w:vAlign w:val="center"/>
                </w:tcPr>
                <w:p w14:paraId="54CB5AB1">
                  <w:pPr>
                    <w:adjustRightInd w:val="0"/>
                    <w:snapToGrid w:val="0"/>
                    <w:jc w:val="center"/>
                    <w:rPr>
                      <w:rFonts w:hint="default" w:ascii="Times New Roman" w:hAnsi="Times New Roman" w:eastAsia="宋体" w:cs="Times New Roman"/>
                      <w:color w:val="auto"/>
                      <w:szCs w:val="21"/>
                    </w:rPr>
                  </w:pPr>
                </w:p>
              </w:tc>
              <w:tc>
                <w:tcPr>
                  <w:tcW w:w="1698" w:type="pct"/>
                  <w:vMerge w:val="continue"/>
                  <w:noWrap w:val="0"/>
                  <w:vAlign w:val="center"/>
                </w:tcPr>
                <w:p w14:paraId="0202E533">
                  <w:pPr>
                    <w:adjustRightInd w:val="0"/>
                    <w:snapToGrid w:val="0"/>
                    <w:jc w:val="center"/>
                    <w:rPr>
                      <w:rFonts w:hint="default" w:ascii="Times New Roman" w:hAnsi="Times New Roman" w:eastAsia="宋体" w:cs="Times New Roman"/>
                      <w:color w:val="auto"/>
                      <w:szCs w:val="21"/>
                    </w:rPr>
                  </w:pPr>
                </w:p>
              </w:tc>
            </w:tr>
            <w:tr w14:paraId="6EB4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026662A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运粮河</w:t>
                  </w:r>
                </w:p>
              </w:tc>
              <w:tc>
                <w:tcPr>
                  <w:tcW w:w="454" w:type="pct"/>
                  <w:noWrap w:val="0"/>
                  <w:vAlign w:val="center"/>
                </w:tcPr>
                <w:p w14:paraId="4D608B3D">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pacing w:val="9"/>
                      <w:szCs w:val="21"/>
                    </w:rPr>
                    <w:t>1</w:t>
                  </w:r>
                </w:p>
              </w:tc>
              <w:tc>
                <w:tcPr>
                  <w:tcW w:w="2458" w:type="pct"/>
                  <w:noWrap w:val="0"/>
                  <w:vAlign w:val="center"/>
                </w:tcPr>
                <w:p w14:paraId="2CD9977D">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10"/>
                      <w:szCs w:val="21"/>
                    </w:rPr>
                    <w:t>运粮</w:t>
                  </w:r>
                  <w:r>
                    <w:rPr>
                      <w:rFonts w:hint="default" w:ascii="Times New Roman" w:hAnsi="Times New Roman" w:eastAsia="宋体" w:cs="Times New Roman"/>
                      <w:color w:val="auto"/>
                      <w:spacing w:val="7"/>
                      <w:szCs w:val="21"/>
                    </w:rPr>
                    <w:t>河</w:t>
                  </w:r>
                  <w:r>
                    <w:rPr>
                      <w:rFonts w:hint="default" w:ascii="Times New Roman" w:hAnsi="Times New Roman" w:eastAsia="宋体" w:cs="Times New Roman"/>
                      <w:color w:val="auto"/>
                      <w:spacing w:val="5"/>
                      <w:szCs w:val="21"/>
                    </w:rPr>
                    <w:t>与园区边界交汇处上游400</w:t>
                  </w:r>
                  <w:r>
                    <w:rPr>
                      <w:rFonts w:hint="default" w:ascii="Times New Roman" w:hAnsi="Times New Roman" w:eastAsia="宋体" w:cs="Times New Roman"/>
                      <w:color w:val="auto"/>
                      <w:szCs w:val="21"/>
                    </w:rPr>
                    <w:t>m</w:t>
                  </w:r>
                </w:p>
              </w:tc>
              <w:tc>
                <w:tcPr>
                  <w:tcW w:w="1698" w:type="pct"/>
                  <w:vMerge w:val="restart"/>
                  <w:noWrap w:val="0"/>
                  <w:vAlign w:val="center"/>
                </w:tcPr>
                <w:p w14:paraId="55447E8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pH、SS、高锰酸盐指数、化学需氧量(COD)、五日生化需氧量(BOD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)、氨氮(NH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-N)、总磷(以P计)、总氮、石油类、粪大肠菌群(个/L)</w:t>
                  </w:r>
                </w:p>
              </w:tc>
            </w:tr>
            <w:tr w14:paraId="7E73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32FB0FC2">
                  <w:pPr>
                    <w:adjustRightInd w:val="0"/>
                    <w:snapToGrid w:val="0"/>
                    <w:jc w:val="center"/>
                    <w:rPr>
                      <w:rFonts w:hint="default" w:ascii="Times New Roman" w:hAnsi="Times New Roman" w:eastAsia="宋体" w:cs="Times New Roman"/>
                      <w:color w:val="auto"/>
                      <w:szCs w:val="21"/>
                    </w:rPr>
                  </w:pPr>
                </w:p>
              </w:tc>
              <w:tc>
                <w:tcPr>
                  <w:tcW w:w="454" w:type="pct"/>
                  <w:noWrap w:val="0"/>
                  <w:vAlign w:val="center"/>
                </w:tcPr>
                <w:p w14:paraId="5A0D330C">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pacing w:val="9"/>
                      <w:szCs w:val="21"/>
                    </w:rPr>
                    <w:t>2</w:t>
                  </w:r>
                </w:p>
              </w:tc>
              <w:tc>
                <w:tcPr>
                  <w:tcW w:w="2458" w:type="pct"/>
                  <w:noWrap w:val="0"/>
                  <w:vAlign w:val="center"/>
                </w:tcPr>
                <w:p w14:paraId="17A658C5">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10"/>
                      <w:szCs w:val="21"/>
                    </w:rPr>
                    <w:t>运粮</w:t>
                  </w:r>
                  <w:r>
                    <w:rPr>
                      <w:rFonts w:hint="default" w:ascii="Times New Roman" w:hAnsi="Times New Roman" w:eastAsia="宋体" w:cs="Times New Roman"/>
                      <w:color w:val="auto"/>
                      <w:spacing w:val="5"/>
                      <w:szCs w:val="21"/>
                    </w:rPr>
                    <w:t>河与外环南路交汇处下游1000</w:t>
                  </w:r>
                  <w:r>
                    <w:rPr>
                      <w:rFonts w:hint="default" w:ascii="Times New Roman" w:hAnsi="Times New Roman" w:eastAsia="宋体" w:cs="Times New Roman"/>
                      <w:color w:val="auto"/>
                      <w:szCs w:val="21"/>
                    </w:rPr>
                    <w:t>m</w:t>
                  </w:r>
                </w:p>
              </w:tc>
              <w:tc>
                <w:tcPr>
                  <w:tcW w:w="1698" w:type="pct"/>
                  <w:vMerge w:val="continue"/>
                  <w:noWrap w:val="0"/>
                  <w:vAlign w:val="center"/>
                </w:tcPr>
                <w:p w14:paraId="4D610FF1">
                  <w:pPr>
                    <w:adjustRightInd w:val="0"/>
                    <w:snapToGrid w:val="0"/>
                    <w:jc w:val="center"/>
                    <w:rPr>
                      <w:rFonts w:hint="default" w:ascii="Times New Roman" w:hAnsi="Times New Roman" w:eastAsia="宋体" w:cs="Times New Roman"/>
                      <w:color w:val="auto"/>
                      <w:szCs w:val="21"/>
                    </w:rPr>
                  </w:pPr>
                </w:p>
              </w:tc>
            </w:tr>
            <w:tr w14:paraId="228C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19797E2">
                  <w:pPr>
                    <w:adjustRightInd w:val="0"/>
                    <w:snapToGrid w:val="0"/>
                    <w:jc w:val="center"/>
                    <w:rPr>
                      <w:rFonts w:hint="default" w:ascii="Times New Roman" w:hAnsi="Times New Roman" w:eastAsia="宋体" w:cs="Times New Roman"/>
                      <w:color w:val="auto"/>
                      <w:szCs w:val="21"/>
                    </w:rPr>
                  </w:pPr>
                </w:p>
              </w:tc>
              <w:tc>
                <w:tcPr>
                  <w:tcW w:w="454" w:type="pct"/>
                  <w:noWrap w:val="0"/>
                  <w:vAlign w:val="center"/>
                </w:tcPr>
                <w:p w14:paraId="48B93DAA">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pacing w:val="9"/>
                      <w:szCs w:val="21"/>
                    </w:rPr>
                    <w:t>3</w:t>
                  </w:r>
                </w:p>
              </w:tc>
              <w:tc>
                <w:tcPr>
                  <w:tcW w:w="2458" w:type="pct"/>
                  <w:noWrap w:val="0"/>
                  <w:vAlign w:val="center"/>
                </w:tcPr>
                <w:p w14:paraId="604D0218">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7"/>
                      <w:szCs w:val="21"/>
                    </w:rPr>
                    <w:t>经</w:t>
                  </w:r>
                  <w:r>
                    <w:rPr>
                      <w:rFonts w:hint="default" w:ascii="Times New Roman" w:hAnsi="Times New Roman" w:eastAsia="宋体" w:cs="Times New Roman"/>
                      <w:color w:val="auto"/>
                      <w:spacing w:val="6"/>
                      <w:szCs w:val="21"/>
                    </w:rPr>
                    <w:t>开区污水处理厂入河排污口上游500</w:t>
                  </w:r>
                  <w:r>
                    <w:rPr>
                      <w:rFonts w:hint="default" w:ascii="Times New Roman" w:hAnsi="Times New Roman" w:eastAsia="宋体" w:cs="Times New Roman"/>
                      <w:color w:val="auto"/>
                      <w:szCs w:val="21"/>
                    </w:rPr>
                    <w:t>m</w:t>
                  </w:r>
                </w:p>
              </w:tc>
              <w:tc>
                <w:tcPr>
                  <w:tcW w:w="1698" w:type="pct"/>
                  <w:vMerge w:val="continue"/>
                  <w:noWrap w:val="0"/>
                  <w:vAlign w:val="center"/>
                </w:tcPr>
                <w:p w14:paraId="3B9C2BFD">
                  <w:pPr>
                    <w:adjustRightInd w:val="0"/>
                    <w:snapToGrid w:val="0"/>
                    <w:jc w:val="center"/>
                    <w:rPr>
                      <w:rFonts w:hint="default" w:ascii="Times New Roman" w:hAnsi="Times New Roman" w:eastAsia="宋体" w:cs="Times New Roman"/>
                      <w:color w:val="auto"/>
                      <w:szCs w:val="21"/>
                    </w:rPr>
                  </w:pPr>
                </w:p>
              </w:tc>
            </w:tr>
            <w:tr w14:paraId="17C9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11BDD850">
                  <w:pPr>
                    <w:adjustRightInd w:val="0"/>
                    <w:snapToGrid w:val="0"/>
                    <w:jc w:val="center"/>
                    <w:rPr>
                      <w:rFonts w:hint="default" w:ascii="Times New Roman" w:hAnsi="Times New Roman" w:eastAsia="宋体" w:cs="Times New Roman"/>
                      <w:color w:val="auto"/>
                      <w:szCs w:val="21"/>
                    </w:rPr>
                  </w:pPr>
                </w:p>
              </w:tc>
              <w:tc>
                <w:tcPr>
                  <w:tcW w:w="454" w:type="pct"/>
                  <w:noWrap w:val="0"/>
                  <w:vAlign w:val="center"/>
                </w:tcPr>
                <w:p w14:paraId="221C7862">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pacing w:val="9"/>
                      <w:szCs w:val="21"/>
                    </w:rPr>
                    <w:t>4</w:t>
                  </w:r>
                </w:p>
              </w:tc>
              <w:tc>
                <w:tcPr>
                  <w:tcW w:w="2458" w:type="pct"/>
                  <w:noWrap w:val="0"/>
                  <w:vAlign w:val="center"/>
                </w:tcPr>
                <w:p w14:paraId="22050C18">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7"/>
                      <w:szCs w:val="21"/>
                    </w:rPr>
                    <w:t>经</w:t>
                  </w:r>
                  <w:r>
                    <w:rPr>
                      <w:rFonts w:hint="default" w:ascii="Times New Roman" w:hAnsi="Times New Roman" w:eastAsia="宋体" w:cs="Times New Roman"/>
                      <w:color w:val="auto"/>
                      <w:spacing w:val="6"/>
                      <w:szCs w:val="21"/>
                    </w:rPr>
                    <w:t>开区污水处理厂入河排污口下游500</w:t>
                  </w:r>
                  <w:r>
                    <w:rPr>
                      <w:rFonts w:hint="default" w:ascii="Times New Roman" w:hAnsi="Times New Roman" w:eastAsia="宋体" w:cs="Times New Roman"/>
                      <w:color w:val="auto"/>
                      <w:szCs w:val="21"/>
                    </w:rPr>
                    <w:t>m</w:t>
                  </w:r>
                </w:p>
              </w:tc>
              <w:tc>
                <w:tcPr>
                  <w:tcW w:w="1698" w:type="pct"/>
                  <w:vMerge w:val="continue"/>
                  <w:noWrap w:val="0"/>
                  <w:vAlign w:val="center"/>
                </w:tcPr>
                <w:p w14:paraId="65D7367B">
                  <w:pPr>
                    <w:adjustRightInd w:val="0"/>
                    <w:snapToGrid w:val="0"/>
                    <w:jc w:val="center"/>
                    <w:rPr>
                      <w:rFonts w:hint="default" w:ascii="Times New Roman" w:hAnsi="Times New Roman" w:eastAsia="宋体" w:cs="Times New Roman"/>
                      <w:color w:val="auto"/>
                      <w:szCs w:val="21"/>
                    </w:rPr>
                  </w:pPr>
                </w:p>
              </w:tc>
            </w:tr>
            <w:tr w14:paraId="20DF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2480968B">
                  <w:pPr>
                    <w:adjustRightInd w:val="0"/>
                    <w:snapToGrid w:val="0"/>
                    <w:jc w:val="center"/>
                    <w:rPr>
                      <w:rFonts w:hint="default" w:ascii="Times New Roman" w:hAnsi="Times New Roman" w:eastAsia="宋体" w:cs="Times New Roman"/>
                      <w:color w:val="auto"/>
                      <w:szCs w:val="21"/>
                    </w:rPr>
                  </w:pPr>
                </w:p>
              </w:tc>
              <w:tc>
                <w:tcPr>
                  <w:tcW w:w="454" w:type="pct"/>
                  <w:noWrap w:val="0"/>
                  <w:vAlign w:val="center"/>
                </w:tcPr>
                <w:p w14:paraId="0B332D7C">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w:t>
                  </w:r>
                  <w:r>
                    <w:rPr>
                      <w:rFonts w:hint="default" w:ascii="Times New Roman" w:hAnsi="Times New Roman" w:eastAsia="宋体" w:cs="Times New Roman"/>
                      <w:color w:val="auto"/>
                      <w:spacing w:val="9"/>
                      <w:szCs w:val="21"/>
                    </w:rPr>
                    <w:t>5</w:t>
                  </w:r>
                </w:p>
              </w:tc>
              <w:tc>
                <w:tcPr>
                  <w:tcW w:w="2458" w:type="pct"/>
                  <w:noWrap w:val="0"/>
                  <w:vAlign w:val="center"/>
                </w:tcPr>
                <w:p w14:paraId="0D6F48E0">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pacing w:val="6"/>
                      <w:szCs w:val="21"/>
                    </w:rPr>
                    <w:t>经开区污水处理厂入河排污口下游100</w:t>
                  </w:r>
                  <w:r>
                    <w:rPr>
                      <w:rFonts w:hint="default" w:ascii="Times New Roman" w:hAnsi="Times New Roman" w:eastAsia="宋体" w:cs="Times New Roman"/>
                      <w:color w:val="auto"/>
                      <w:spacing w:val="4"/>
                      <w:szCs w:val="21"/>
                    </w:rPr>
                    <w:t>0</w:t>
                  </w:r>
                  <w:r>
                    <w:rPr>
                      <w:rFonts w:hint="default" w:ascii="Times New Roman" w:hAnsi="Times New Roman" w:eastAsia="宋体" w:cs="Times New Roman"/>
                      <w:color w:val="auto"/>
                      <w:szCs w:val="21"/>
                    </w:rPr>
                    <w:t>m</w:t>
                  </w:r>
                </w:p>
              </w:tc>
              <w:tc>
                <w:tcPr>
                  <w:tcW w:w="1698" w:type="pct"/>
                  <w:vMerge w:val="continue"/>
                  <w:noWrap w:val="0"/>
                  <w:vAlign w:val="center"/>
                </w:tcPr>
                <w:p w14:paraId="1ED3F4E2">
                  <w:pPr>
                    <w:adjustRightInd w:val="0"/>
                    <w:snapToGrid w:val="0"/>
                    <w:jc w:val="center"/>
                    <w:rPr>
                      <w:rFonts w:hint="default" w:ascii="Times New Roman" w:hAnsi="Times New Roman" w:eastAsia="宋体" w:cs="Times New Roman"/>
                      <w:color w:val="auto"/>
                      <w:szCs w:val="21"/>
                    </w:rPr>
                  </w:pPr>
                </w:p>
              </w:tc>
            </w:tr>
          </w:tbl>
          <w:p w14:paraId="2B864C41">
            <w:pPr>
              <w:spacing w:line="460" w:lineRule="exact"/>
              <w:ind w:firstLine="48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32"/>
              </w:rPr>
              <w:t>②</w:t>
            </w:r>
            <w:r>
              <w:rPr>
                <w:rFonts w:hint="default" w:ascii="Times New Roman" w:hAnsi="Times New Roman" w:eastAsia="宋体" w:cs="Times New Roman"/>
                <w:color w:val="auto"/>
                <w:sz w:val="24"/>
              </w:rPr>
              <w:t>监测结果</w:t>
            </w:r>
          </w:p>
          <w:p w14:paraId="55B12CF9">
            <w:pPr>
              <w:widowControl/>
              <w:numPr>
                <w:ilvl w:val="0"/>
                <w:numId w:val="12"/>
              </w:numPr>
              <w:spacing w:line="360" w:lineRule="auto"/>
              <w:ind w:left="0" w:leftChars="0" w:firstLine="0" w:firstLineChars="0"/>
              <w:jc w:val="center"/>
              <w:rPr>
                <w:rFonts w:hint="default" w:ascii="Times New Roman" w:hAnsi="Times New Roman" w:eastAsia="宋体" w:cs="Times New Roman"/>
                <w:b/>
                <w:color w:val="auto"/>
                <w:sz w:val="24"/>
                <w:szCs w:val="32"/>
              </w:rPr>
            </w:pPr>
            <w:r>
              <w:rPr>
                <w:rFonts w:hint="default" w:ascii="Times New Roman" w:hAnsi="Times New Roman" w:eastAsia="宋体" w:cs="Times New Roman"/>
                <w:b/>
                <w:color w:val="auto"/>
                <w:sz w:val="24"/>
                <w:szCs w:val="32"/>
              </w:rPr>
              <w:t>地表水环境质量监测结果   单位：mg/L</w:t>
            </w:r>
            <w:r>
              <w:rPr>
                <w:rFonts w:hint="eastAsia" w:ascii="Times New Roman" w:hAnsi="Times New Roman" w:eastAsia="宋体" w:cs="Times New Roman"/>
                <w:b/>
                <w:color w:val="auto"/>
                <w:sz w:val="24"/>
                <w:szCs w:val="32"/>
                <w:lang w:eastAsia="zh-CN"/>
              </w:rPr>
              <w:t>，</w:t>
            </w:r>
            <w:r>
              <w:rPr>
                <w:rFonts w:hint="eastAsia" w:ascii="Times New Roman" w:hAnsi="Times New Roman" w:eastAsia="宋体" w:cs="Times New Roman"/>
                <w:b/>
                <w:color w:val="auto"/>
                <w:sz w:val="24"/>
                <w:szCs w:val="32"/>
                <w:lang w:val="en-US" w:eastAsia="zh-CN"/>
              </w:rPr>
              <w:t>pH无量纲</w:t>
            </w:r>
          </w:p>
          <w:tbl>
            <w:tblPr>
              <w:tblStyle w:val="34"/>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808"/>
              <w:gridCol w:w="755"/>
              <w:gridCol w:w="747"/>
              <w:gridCol w:w="752"/>
              <w:gridCol w:w="738"/>
              <w:gridCol w:w="695"/>
              <w:gridCol w:w="709"/>
              <w:gridCol w:w="741"/>
              <w:gridCol w:w="685"/>
              <w:gridCol w:w="619"/>
              <w:gridCol w:w="976"/>
            </w:tblGrid>
            <w:tr w14:paraId="7C3ED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33" w:type="pct"/>
                  <w:noWrap w:val="0"/>
                  <w:vAlign w:val="center"/>
                </w:tcPr>
                <w:p w14:paraId="3D39F7B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550F398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458" w:type="pct"/>
                  <w:noWrap w:val="0"/>
                  <w:vAlign w:val="center"/>
                </w:tcPr>
                <w:p w14:paraId="4029558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047325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日期</w:t>
                  </w:r>
                </w:p>
              </w:tc>
              <w:tc>
                <w:tcPr>
                  <w:tcW w:w="428" w:type="pct"/>
                  <w:noWrap w:val="0"/>
                  <w:vAlign w:val="center"/>
                </w:tcPr>
                <w:p w14:paraId="3B3BB4B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pH</w:t>
                  </w:r>
                </w:p>
              </w:tc>
              <w:tc>
                <w:tcPr>
                  <w:tcW w:w="423" w:type="pct"/>
                  <w:noWrap w:val="0"/>
                  <w:vAlign w:val="center"/>
                </w:tcPr>
                <w:p w14:paraId="45C15D9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426" w:type="pct"/>
                  <w:noWrap w:val="0"/>
                  <w:vAlign w:val="center"/>
                </w:tcPr>
                <w:p w14:paraId="4AD64EE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418" w:type="pct"/>
                  <w:noWrap w:val="0"/>
                  <w:vAlign w:val="center"/>
                </w:tcPr>
                <w:p w14:paraId="12E07E8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394" w:type="pct"/>
                  <w:noWrap w:val="0"/>
                  <w:vAlign w:val="center"/>
                </w:tcPr>
                <w:p w14:paraId="456C395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402" w:type="pct"/>
                  <w:noWrap w:val="0"/>
                  <w:vAlign w:val="center"/>
                </w:tcPr>
                <w:p w14:paraId="6A18209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总磷</w:t>
                  </w:r>
                </w:p>
              </w:tc>
              <w:tc>
                <w:tcPr>
                  <w:tcW w:w="420" w:type="pct"/>
                  <w:noWrap w:val="0"/>
                  <w:vAlign w:val="center"/>
                </w:tcPr>
                <w:p w14:paraId="7373917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总氮</w:t>
                  </w:r>
                </w:p>
              </w:tc>
              <w:tc>
                <w:tcPr>
                  <w:tcW w:w="388" w:type="pct"/>
                  <w:noWrap w:val="0"/>
                  <w:vAlign w:val="center"/>
                </w:tcPr>
                <w:p w14:paraId="478686B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高锰酸盐指数</w:t>
                  </w:r>
                </w:p>
              </w:tc>
              <w:tc>
                <w:tcPr>
                  <w:tcW w:w="351" w:type="pct"/>
                  <w:noWrap w:val="0"/>
                  <w:vAlign w:val="center"/>
                </w:tcPr>
                <w:p w14:paraId="23B3DE3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c>
                <w:tcPr>
                  <w:tcW w:w="553" w:type="pct"/>
                  <w:noWrap w:val="0"/>
                  <w:vAlign w:val="center"/>
                </w:tcPr>
                <w:p w14:paraId="222F4DD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粪大肠菌群(个/L)</w:t>
                  </w:r>
                </w:p>
              </w:tc>
            </w:tr>
            <w:tr w14:paraId="232CC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restart"/>
                  <w:noWrap w:val="0"/>
                  <w:vAlign w:val="center"/>
                </w:tcPr>
                <w:p w14:paraId="230EBC9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W1</w:t>
                  </w:r>
                </w:p>
              </w:tc>
              <w:tc>
                <w:tcPr>
                  <w:tcW w:w="458" w:type="pct"/>
                  <w:noWrap w:val="0"/>
                  <w:vAlign w:val="center"/>
                </w:tcPr>
                <w:p w14:paraId="6DFF537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12.1</w:t>
                  </w:r>
                </w:p>
              </w:tc>
              <w:tc>
                <w:tcPr>
                  <w:tcW w:w="428" w:type="pct"/>
                  <w:noWrap w:val="0"/>
                  <w:vAlign w:val="center"/>
                </w:tcPr>
                <w:p w14:paraId="0861A10D">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w:t>
                  </w:r>
                </w:p>
              </w:tc>
              <w:tc>
                <w:tcPr>
                  <w:tcW w:w="423" w:type="pct"/>
                  <w:noWrap w:val="0"/>
                  <w:vAlign w:val="center"/>
                </w:tcPr>
                <w:p w14:paraId="42847BC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21</w:t>
                  </w:r>
                </w:p>
              </w:tc>
              <w:tc>
                <w:tcPr>
                  <w:tcW w:w="426" w:type="pct"/>
                  <w:noWrap w:val="0"/>
                  <w:vAlign w:val="center"/>
                </w:tcPr>
                <w:p w14:paraId="1748314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23</w:t>
                  </w:r>
                </w:p>
              </w:tc>
              <w:tc>
                <w:tcPr>
                  <w:tcW w:w="418" w:type="pct"/>
                  <w:noWrap w:val="0"/>
                  <w:vAlign w:val="center"/>
                </w:tcPr>
                <w:p w14:paraId="227C3F5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394" w:type="pct"/>
                  <w:noWrap w:val="0"/>
                  <w:vAlign w:val="center"/>
                </w:tcPr>
                <w:p w14:paraId="5BCFA66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0.583</w:t>
                  </w:r>
                </w:p>
              </w:tc>
              <w:tc>
                <w:tcPr>
                  <w:tcW w:w="402" w:type="pct"/>
                  <w:noWrap w:val="0"/>
                  <w:vAlign w:val="center"/>
                </w:tcPr>
                <w:p w14:paraId="4F722B6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0.15</w:t>
                  </w:r>
                </w:p>
              </w:tc>
              <w:tc>
                <w:tcPr>
                  <w:tcW w:w="420" w:type="pct"/>
                  <w:noWrap w:val="0"/>
                  <w:vAlign w:val="center"/>
                </w:tcPr>
                <w:p w14:paraId="628C130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1.62</w:t>
                  </w:r>
                </w:p>
              </w:tc>
              <w:tc>
                <w:tcPr>
                  <w:tcW w:w="388" w:type="pct"/>
                  <w:noWrap w:val="0"/>
                  <w:vAlign w:val="center"/>
                </w:tcPr>
                <w:p w14:paraId="16FFA77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7.05</w:t>
                  </w:r>
                </w:p>
              </w:tc>
              <w:tc>
                <w:tcPr>
                  <w:tcW w:w="351" w:type="pct"/>
                  <w:noWrap w:val="0"/>
                  <w:vAlign w:val="center"/>
                </w:tcPr>
                <w:p w14:paraId="55D6F00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0.02</w:t>
                  </w:r>
                </w:p>
              </w:tc>
              <w:tc>
                <w:tcPr>
                  <w:tcW w:w="553" w:type="pct"/>
                  <w:noWrap w:val="0"/>
                  <w:vAlign w:val="center"/>
                </w:tcPr>
                <w:p w14:paraId="14C393E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420</w:t>
                  </w:r>
                </w:p>
              </w:tc>
            </w:tr>
            <w:tr w14:paraId="7FBB0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5B29BC7F">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52E95C4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12.2</w:t>
                  </w:r>
                </w:p>
              </w:tc>
              <w:tc>
                <w:tcPr>
                  <w:tcW w:w="428" w:type="pct"/>
                  <w:noWrap w:val="0"/>
                  <w:vAlign w:val="center"/>
                </w:tcPr>
                <w:p w14:paraId="5730FDB6">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0CD915A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26" w:type="pct"/>
                  <w:noWrap w:val="0"/>
                  <w:vAlign w:val="center"/>
                </w:tcPr>
                <w:p w14:paraId="6DFA12D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21</w:t>
                  </w:r>
                </w:p>
              </w:tc>
              <w:tc>
                <w:tcPr>
                  <w:tcW w:w="418" w:type="pct"/>
                  <w:noWrap w:val="0"/>
                  <w:vAlign w:val="center"/>
                </w:tcPr>
                <w:p w14:paraId="299A7F2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6.9</w:t>
                  </w:r>
                </w:p>
              </w:tc>
              <w:tc>
                <w:tcPr>
                  <w:tcW w:w="394" w:type="pct"/>
                  <w:noWrap w:val="0"/>
                  <w:vAlign w:val="center"/>
                </w:tcPr>
                <w:p w14:paraId="7C920F1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0.599</w:t>
                  </w:r>
                </w:p>
              </w:tc>
              <w:tc>
                <w:tcPr>
                  <w:tcW w:w="402" w:type="pct"/>
                  <w:noWrap w:val="0"/>
                  <w:vAlign w:val="center"/>
                </w:tcPr>
                <w:p w14:paraId="24C65F9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0.16</w:t>
                  </w:r>
                </w:p>
              </w:tc>
              <w:tc>
                <w:tcPr>
                  <w:tcW w:w="420" w:type="pct"/>
                  <w:noWrap w:val="0"/>
                  <w:vAlign w:val="center"/>
                </w:tcPr>
                <w:p w14:paraId="38D9919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1.74</w:t>
                  </w:r>
                </w:p>
              </w:tc>
              <w:tc>
                <w:tcPr>
                  <w:tcW w:w="388" w:type="pct"/>
                  <w:noWrap w:val="0"/>
                  <w:vAlign w:val="center"/>
                </w:tcPr>
                <w:p w14:paraId="611DA0F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6.64</w:t>
                  </w:r>
                </w:p>
              </w:tc>
              <w:tc>
                <w:tcPr>
                  <w:tcW w:w="351" w:type="pct"/>
                  <w:noWrap w:val="0"/>
                  <w:vAlign w:val="center"/>
                </w:tcPr>
                <w:p w14:paraId="7030575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0.03</w:t>
                  </w:r>
                </w:p>
              </w:tc>
              <w:tc>
                <w:tcPr>
                  <w:tcW w:w="553" w:type="pct"/>
                  <w:noWrap w:val="0"/>
                  <w:vAlign w:val="center"/>
                </w:tcPr>
                <w:p w14:paraId="6218D2D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380</w:t>
                  </w:r>
                </w:p>
              </w:tc>
            </w:tr>
            <w:tr w14:paraId="22ED4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1A91DEDC">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264C6E9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12.3</w:t>
                  </w:r>
                </w:p>
              </w:tc>
              <w:tc>
                <w:tcPr>
                  <w:tcW w:w="428" w:type="pct"/>
                  <w:noWrap w:val="0"/>
                  <w:vAlign w:val="center"/>
                </w:tcPr>
                <w:p w14:paraId="08CF7078">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5C10637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20</w:t>
                  </w:r>
                </w:p>
              </w:tc>
              <w:tc>
                <w:tcPr>
                  <w:tcW w:w="426" w:type="pct"/>
                  <w:noWrap w:val="0"/>
                  <w:vAlign w:val="center"/>
                </w:tcPr>
                <w:p w14:paraId="61E839C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18" w:type="pct"/>
                  <w:noWrap w:val="0"/>
                  <w:vAlign w:val="center"/>
                </w:tcPr>
                <w:p w14:paraId="1EBBB38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6.8</w:t>
                  </w:r>
                </w:p>
              </w:tc>
              <w:tc>
                <w:tcPr>
                  <w:tcW w:w="394" w:type="pct"/>
                  <w:noWrap w:val="0"/>
                  <w:vAlign w:val="center"/>
                </w:tcPr>
                <w:p w14:paraId="3178725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0.617</w:t>
                  </w:r>
                </w:p>
              </w:tc>
              <w:tc>
                <w:tcPr>
                  <w:tcW w:w="402" w:type="pct"/>
                  <w:noWrap w:val="0"/>
                  <w:vAlign w:val="center"/>
                </w:tcPr>
                <w:p w14:paraId="01C3846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0.16</w:t>
                  </w:r>
                </w:p>
              </w:tc>
              <w:tc>
                <w:tcPr>
                  <w:tcW w:w="420" w:type="pct"/>
                  <w:noWrap w:val="0"/>
                  <w:vAlign w:val="center"/>
                </w:tcPr>
                <w:p w14:paraId="54B3E36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1.79</w:t>
                  </w:r>
                </w:p>
              </w:tc>
              <w:tc>
                <w:tcPr>
                  <w:tcW w:w="388" w:type="pct"/>
                  <w:noWrap w:val="0"/>
                  <w:vAlign w:val="center"/>
                </w:tcPr>
                <w:p w14:paraId="3183D56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6.71</w:t>
                  </w:r>
                </w:p>
              </w:tc>
              <w:tc>
                <w:tcPr>
                  <w:tcW w:w="351" w:type="pct"/>
                  <w:noWrap w:val="0"/>
                  <w:vAlign w:val="center"/>
                </w:tcPr>
                <w:p w14:paraId="1E25498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0.02</w:t>
                  </w:r>
                </w:p>
              </w:tc>
              <w:tc>
                <w:tcPr>
                  <w:tcW w:w="553" w:type="pct"/>
                  <w:noWrap w:val="0"/>
                  <w:vAlign w:val="center"/>
                </w:tcPr>
                <w:p w14:paraId="3C2BF70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390</w:t>
                  </w:r>
                </w:p>
              </w:tc>
            </w:tr>
            <w:tr w14:paraId="7ADE1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restart"/>
                  <w:noWrap w:val="0"/>
                  <w:vAlign w:val="center"/>
                </w:tcPr>
                <w:p w14:paraId="6FA0E00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W2</w:t>
                  </w:r>
                </w:p>
              </w:tc>
              <w:tc>
                <w:tcPr>
                  <w:tcW w:w="458" w:type="pct"/>
                  <w:noWrap w:val="0"/>
                  <w:vAlign w:val="center"/>
                </w:tcPr>
                <w:p w14:paraId="083AADF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12.1</w:t>
                  </w:r>
                </w:p>
              </w:tc>
              <w:tc>
                <w:tcPr>
                  <w:tcW w:w="428" w:type="pct"/>
                  <w:noWrap w:val="0"/>
                  <w:vAlign w:val="center"/>
                </w:tcPr>
                <w:p w14:paraId="3FA4630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072FDF1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22</w:t>
                  </w:r>
                </w:p>
              </w:tc>
              <w:tc>
                <w:tcPr>
                  <w:tcW w:w="426" w:type="pct"/>
                  <w:noWrap w:val="0"/>
                  <w:vAlign w:val="center"/>
                </w:tcPr>
                <w:p w14:paraId="549D110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18" w:type="pct"/>
                  <w:noWrap w:val="0"/>
                  <w:vAlign w:val="center"/>
                </w:tcPr>
                <w:p w14:paraId="26B12A6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6.9</w:t>
                  </w:r>
                </w:p>
              </w:tc>
              <w:tc>
                <w:tcPr>
                  <w:tcW w:w="394" w:type="pct"/>
                  <w:noWrap w:val="0"/>
                  <w:vAlign w:val="center"/>
                </w:tcPr>
                <w:p w14:paraId="7D85CFE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0.647</w:t>
                  </w:r>
                </w:p>
              </w:tc>
              <w:tc>
                <w:tcPr>
                  <w:tcW w:w="402" w:type="pct"/>
                  <w:noWrap w:val="0"/>
                  <w:vAlign w:val="center"/>
                </w:tcPr>
                <w:p w14:paraId="52332B4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0.16</w:t>
                  </w:r>
                </w:p>
              </w:tc>
              <w:tc>
                <w:tcPr>
                  <w:tcW w:w="420" w:type="pct"/>
                  <w:noWrap w:val="0"/>
                  <w:vAlign w:val="center"/>
                </w:tcPr>
                <w:p w14:paraId="08D1482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1.67</w:t>
                  </w:r>
                </w:p>
              </w:tc>
              <w:tc>
                <w:tcPr>
                  <w:tcW w:w="388" w:type="pct"/>
                  <w:noWrap w:val="0"/>
                  <w:vAlign w:val="center"/>
                </w:tcPr>
                <w:p w14:paraId="5037B21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7.22</w:t>
                  </w:r>
                </w:p>
              </w:tc>
              <w:tc>
                <w:tcPr>
                  <w:tcW w:w="351" w:type="pct"/>
                  <w:noWrap w:val="0"/>
                  <w:vAlign w:val="center"/>
                </w:tcPr>
                <w:p w14:paraId="781984F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0.03</w:t>
                  </w:r>
                </w:p>
              </w:tc>
              <w:tc>
                <w:tcPr>
                  <w:tcW w:w="553" w:type="pct"/>
                  <w:noWrap w:val="0"/>
                  <w:vAlign w:val="center"/>
                </w:tcPr>
                <w:p w14:paraId="2C2DD2A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420</w:t>
                  </w:r>
                </w:p>
              </w:tc>
            </w:tr>
            <w:tr w14:paraId="06DF4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0E007794">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385F96A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12.2</w:t>
                  </w:r>
                </w:p>
              </w:tc>
              <w:tc>
                <w:tcPr>
                  <w:tcW w:w="428" w:type="pct"/>
                  <w:noWrap w:val="0"/>
                  <w:vAlign w:val="center"/>
                </w:tcPr>
                <w:p w14:paraId="4C7332A4">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7.3</w:t>
                  </w:r>
                </w:p>
              </w:tc>
              <w:tc>
                <w:tcPr>
                  <w:tcW w:w="423" w:type="pct"/>
                  <w:noWrap w:val="0"/>
                  <w:vAlign w:val="center"/>
                </w:tcPr>
                <w:p w14:paraId="7EB0A87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21</w:t>
                  </w:r>
                </w:p>
              </w:tc>
              <w:tc>
                <w:tcPr>
                  <w:tcW w:w="426" w:type="pct"/>
                  <w:noWrap w:val="0"/>
                  <w:vAlign w:val="center"/>
                </w:tcPr>
                <w:p w14:paraId="3E38823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25</w:t>
                  </w:r>
                </w:p>
              </w:tc>
              <w:tc>
                <w:tcPr>
                  <w:tcW w:w="418" w:type="pct"/>
                  <w:noWrap w:val="0"/>
                  <w:vAlign w:val="center"/>
                </w:tcPr>
                <w:p w14:paraId="641C7AC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w:t>
                  </w:r>
                </w:p>
              </w:tc>
              <w:tc>
                <w:tcPr>
                  <w:tcW w:w="394" w:type="pct"/>
                  <w:noWrap w:val="0"/>
                  <w:vAlign w:val="center"/>
                </w:tcPr>
                <w:p w14:paraId="72EDEE7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0.623</w:t>
                  </w:r>
                </w:p>
              </w:tc>
              <w:tc>
                <w:tcPr>
                  <w:tcW w:w="402" w:type="pct"/>
                  <w:noWrap w:val="0"/>
                  <w:vAlign w:val="center"/>
                </w:tcPr>
                <w:p w14:paraId="6C232EE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0.17</w:t>
                  </w:r>
                </w:p>
              </w:tc>
              <w:tc>
                <w:tcPr>
                  <w:tcW w:w="420" w:type="pct"/>
                  <w:noWrap w:val="0"/>
                  <w:vAlign w:val="center"/>
                </w:tcPr>
                <w:p w14:paraId="6F96D96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1.71</w:t>
                  </w:r>
                </w:p>
              </w:tc>
              <w:tc>
                <w:tcPr>
                  <w:tcW w:w="388" w:type="pct"/>
                  <w:noWrap w:val="0"/>
                  <w:vAlign w:val="center"/>
                </w:tcPr>
                <w:p w14:paraId="18F757D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7.16</w:t>
                  </w:r>
                </w:p>
              </w:tc>
              <w:tc>
                <w:tcPr>
                  <w:tcW w:w="351" w:type="pct"/>
                  <w:noWrap w:val="0"/>
                  <w:vAlign w:val="center"/>
                </w:tcPr>
                <w:p w14:paraId="64C523B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0.02</w:t>
                  </w:r>
                </w:p>
              </w:tc>
              <w:tc>
                <w:tcPr>
                  <w:tcW w:w="553" w:type="pct"/>
                  <w:noWrap w:val="0"/>
                  <w:vAlign w:val="center"/>
                </w:tcPr>
                <w:p w14:paraId="037EDC9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420</w:t>
                  </w:r>
                </w:p>
              </w:tc>
            </w:tr>
            <w:tr w14:paraId="23606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2242E0BD">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67EE7DB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12.3</w:t>
                  </w:r>
                </w:p>
              </w:tc>
              <w:tc>
                <w:tcPr>
                  <w:tcW w:w="428" w:type="pct"/>
                  <w:noWrap w:val="0"/>
                  <w:vAlign w:val="center"/>
                </w:tcPr>
                <w:p w14:paraId="3ACC6A37">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3B581FB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23</w:t>
                  </w:r>
                </w:p>
              </w:tc>
              <w:tc>
                <w:tcPr>
                  <w:tcW w:w="426" w:type="pct"/>
                  <w:noWrap w:val="0"/>
                  <w:vAlign w:val="center"/>
                </w:tcPr>
                <w:p w14:paraId="44D4493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18" w:type="pct"/>
                  <w:noWrap w:val="0"/>
                  <w:vAlign w:val="center"/>
                </w:tcPr>
                <w:p w14:paraId="39759B3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7.0</w:t>
                  </w:r>
                </w:p>
              </w:tc>
              <w:tc>
                <w:tcPr>
                  <w:tcW w:w="394" w:type="pct"/>
                  <w:noWrap w:val="0"/>
                  <w:vAlign w:val="center"/>
                </w:tcPr>
                <w:p w14:paraId="630B776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0.628</w:t>
                  </w:r>
                </w:p>
              </w:tc>
              <w:tc>
                <w:tcPr>
                  <w:tcW w:w="402" w:type="pct"/>
                  <w:noWrap w:val="0"/>
                  <w:vAlign w:val="center"/>
                </w:tcPr>
                <w:p w14:paraId="4B3D437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0.15</w:t>
                  </w:r>
                </w:p>
              </w:tc>
              <w:tc>
                <w:tcPr>
                  <w:tcW w:w="420" w:type="pct"/>
                  <w:noWrap w:val="0"/>
                  <w:vAlign w:val="center"/>
                </w:tcPr>
                <w:p w14:paraId="457CAE6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1.68</w:t>
                  </w:r>
                </w:p>
              </w:tc>
              <w:tc>
                <w:tcPr>
                  <w:tcW w:w="388" w:type="pct"/>
                  <w:noWrap w:val="0"/>
                  <w:vAlign w:val="center"/>
                </w:tcPr>
                <w:p w14:paraId="5D8DC17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6.94</w:t>
                  </w:r>
                </w:p>
              </w:tc>
              <w:tc>
                <w:tcPr>
                  <w:tcW w:w="351" w:type="pct"/>
                  <w:noWrap w:val="0"/>
                  <w:vAlign w:val="center"/>
                </w:tcPr>
                <w:p w14:paraId="161225D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0.01</w:t>
                  </w:r>
                </w:p>
              </w:tc>
              <w:tc>
                <w:tcPr>
                  <w:tcW w:w="553" w:type="pct"/>
                  <w:noWrap w:val="0"/>
                  <w:vAlign w:val="center"/>
                </w:tcPr>
                <w:p w14:paraId="23BC1453">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440</w:t>
                  </w:r>
                </w:p>
              </w:tc>
            </w:tr>
            <w:tr w14:paraId="29863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restart"/>
                  <w:noWrap w:val="0"/>
                  <w:vAlign w:val="center"/>
                </w:tcPr>
                <w:p w14:paraId="1D4B50C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W3</w:t>
                  </w:r>
                </w:p>
              </w:tc>
              <w:tc>
                <w:tcPr>
                  <w:tcW w:w="458" w:type="pct"/>
                  <w:noWrap w:val="0"/>
                  <w:vAlign w:val="center"/>
                </w:tcPr>
                <w:p w14:paraId="3EA3214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12.1</w:t>
                  </w:r>
                </w:p>
              </w:tc>
              <w:tc>
                <w:tcPr>
                  <w:tcW w:w="428" w:type="pct"/>
                  <w:noWrap w:val="0"/>
                  <w:vAlign w:val="center"/>
                </w:tcPr>
                <w:p w14:paraId="39E1E3D5">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7.0</w:t>
                  </w:r>
                </w:p>
              </w:tc>
              <w:tc>
                <w:tcPr>
                  <w:tcW w:w="423" w:type="pct"/>
                  <w:noWrap w:val="0"/>
                  <w:vAlign w:val="center"/>
                </w:tcPr>
                <w:p w14:paraId="51AE8A0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20</w:t>
                  </w:r>
                </w:p>
              </w:tc>
              <w:tc>
                <w:tcPr>
                  <w:tcW w:w="426" w:type="pct"/>
                  <w:noWrap w:val="0"/>
                  <w:vAlign w:val="center"/>
                </w:tcPr>
                <w:p w14:paraId="130ACC3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26</w:t>
                  </w:r>
                </w:p>
              </w:tc>
              <w:tc>
                <w:tcPr>
                  <w:tcW w:w="418" w:type="pct"/>
                  <w:noWrap w:val="0"/>
                  <w:vAlign w:val="center"/>
                </w:tcPr>
                <w:p w14:paraId="0EA931A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6.8</w:t>
                  </w:r>
                </w:p>
              </w:tc>
              <w:tc>
                <w:tcPr>
                  <w:tcW w:w="394" w:type="pct"/>
                  <w:noWrap w:val="0"/>
                  <w:vAlign w:val="center"/>
                </w:tcPr>
                <w:p w14:paraId="7DA8C983">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0.614</w:t>
                  </w:r>
                </w:p>
              </w:tc>
              <w:tc>
                <w:tcPr>
                  <w:tcW w:w="402" w:type="pct"/>
                  <w:noWrap w:val="0"/>
                  <w:vAlign w:val="center"/>
                </w:tcPr>
                <w:p w14:paraId="302124D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0.16</w:t>
                  </w:r>
                </w:p>
              </w:tc>
              <w:tc>
                <w:tcPr>
                  <w:tcW w:w="420" w:type="pct"/>
                  <w:noWrap w:val="0"/>
                  <w:vAlign w:val="center"/>
                </w:tcPr>
                <w:p w14:paraId="2F656A0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1.79</w:t>
                  </w:r>
                </w:p>
              </w:tc>
              <w:tc>
                <w:tcPr>
                  <w:tcW w:w="388" w:type="pct"/>
                  <w:noWrap w:val="0"/>
                  <w:vAlign w:val="center"/>
                </w:tcPr>
                <w:p w14:paraId="0EFA3CB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6.44</w:t>
                  </w:r>
                </w:p>
              </w:tc>
              <w:tc>
                <w:tcPr>
                  <w:tcW w:w="351" w:type="pct"/>
                  <w:noWrap w:val="0"/>
                  <w:vAlign w:val="center"/>
                </w:tcPr>
                <w:p w14:paraId="51C0840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0.03</w:t>
                  </w:r>
                </w:p>
              </w:tc>
              <w:tc>
                <w:tcPr>
                  <w:tcW w:w="553" w:type="pct"/>
                  <w:noWrap w:val="0"/>
                  <w:vAlign w:val="center"/>
                </w:tcPr>
                <w:p w14:paraId="208AF70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540</w:t>
                  </w:r>
                </w:p>
              </w:tc>
            </w:tr>
            <w:tr w14:paraId="7A4CD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11FFBFC1">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47979583">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12.2</w:t>
                  </w:r>
                </w:p>
              </w:tc>
              <w:tc>
                <w:tcPr>
                  <w:tcW w:w="428" w:type="pct"/>
                  <w:noWrap w:val="0"/>
                  <w:vAlign w:val="center"/>
                </w:tcPr>
                <w:p w14:paraId="5236E17C">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1A82916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22</w:t>
                  </w:r>
                </w:p>
              </w:tc>
              <w:tc>
                <w:tcPr>
                  <w:tcW w:w="426" w:type="pct"/>
                  <w:noWrap w:val="0"/>
                  <w:vAlign w:val="center"/>
                </w:tcPr>
                <w:p w14:paraId="12A9B66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25</w:t>
                  </w:r>
                </w:p>
              </w:tc>
              <w:tc>
                <w:tcPr>
                  <w:tcW w:w="418" w:type="pct"/>
                  <w:noWrap w:val="0"/>
                  <w:vAlign w:val="center"/>
                </w:tcPr>
                <w:p w14:paraId="6C7C528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6.6</w:t>
                  </w:r>
                </w:p>
              </w:tc>
              <w:tc>
                <w:tcPr>
                  <w:tcW w:w="394" w:type="pct"/>
                  <w:noWrap w:val="0"/>
                  <w:vAlign w:val="center"/>
                </w:tcPr>
                <w:p w14:paraId="241C988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0.626</w:t>
                  </w:r>
                </w:p>
              </w:tc>
              <w:tc>
                <w:tcPr>
                  <w:tcW w:w="402" w:type="pct"/>
                  <w:noWrap w:val="0"/>
                  <w:vAlign w:val="center"/>
                </w:tcPr>
                <w:p w14:paraId="277FC21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0.17</w:t>
                  </w:r>
                </w:p>
              </w:tc>
              <w:tc>
                <w:tcPr>
                  <w:tcW w:w="420" w:type="pct"/>
                  <w:noWrap w:val="0"/>
                  <w:vAlign w:val="center"/>
                </w:tcPr>
                <w:p w14:paraId="34B29F5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1.73</w:t>
                  </w:r>
                </w:p>
              </w:tc>
              <w:tc>
                <w:tcPr>
                  <w:tcW w:w="388" w:type="pct"/>
                  <w:noWrap w:val="0"/>
                  <w:vAlign w:val="center"/>
                </w:tcPr>
                <w:p w14:paraId="7BA7B13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6.62</w:t>
                  </w:r>
                </w:p>
              </w:tc>
              <w:tc>
                <w:tcPr>
                  <w:tcW w:w="351" w:type="pct"/>
                  <w:noWrap w:val="0"/>
                  <w:vAlign w:val="center"/>
                </w:tcPr>
                <w:p w14:paraId="5C2DE0C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0.02</w:t>
                  </w:r>
                </w:p>
              </w:tc>
              <w:tc>
                <w:tcPr>
                  <w:tcW w:w="553" w:type="pct"/>
                  <w:noWrap w:val="0"/>
                  <w:vAlign w:val="center"/>
                </w:tcPr>
                <w:p w14:paraId="0952F3A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470</w:t>
                  </w:r>
                </w:p>
              </w:tc>
            </w:tr>
            <w:tr w14:paraId="18B95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18BD9EE0">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1C2C2A7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12.3</w:t>
                  </w:r>
                </w:p>
              </w:tc>
              <w:tc>
                <w:tcPr>
                  <w:tcW w:w="428" w:type="pct"/>
                  <w:noWrap w:val="0"/>
                  <w:vAlign w:val="center"/>
                </w:tcPr>
                <w:p w14:paraId="629C5AE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w:t>
                  </w:r>
                </w:p>
              </w:tc>
              <w:tc>
                <w:tcPr>
                  <w:tcW w:w="423" w:type="pct"/>
                  <w:noWrap w:val="0"/>
                  <w:vAlign w:val="center"/>
                </w:tcPr>
                <w:p w14:paraId="191AFB3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26" w:type="pct"/>
                  <w:noWrap w:val="0"/>
                  <w:vAlign w:val="center"/>
                </w:tcPr>
                <w:p w14:paraId="0715851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25</w:t>
                  </w:r>
                </w:p>
              </w:tc>
              <w:tc>
                <w:tcPr>
                  <w:tcW w:w="418" w:type="pct"/>
                  <w:noWrap w:val="0"/>
                  <w:vAlign w:val="center"/>
                </w:tcPr>
                <w:p w14:paraId="438575D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7.3</w:t>
                  </w:r>
                </w:p>
              </w:tc>
              <w:tc>
                <w:tcPr>
                  <w:tcW w:w="394" w:type="pct"/>
                  <w:noWrap w:val="0"/>
                  <w:vAlign w:val="center"/>
                </w:tcPr>
                <w:p w14:paraId="2F1DCEE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0.635</w:t>
                  </w:r>
                </w:p>
              </w:tc>
              <w:tc>
                <w:tcPr>
                  <w:tcW w:w="402" w:type="pct"/>
                  <w:noWrap w:val="0"/>
                  <w:vAlign w:val="center"/>
                </w:tcPr>
                <w:p w14:paraId="57740CA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0.17</w:t>
                  </w:r>
                </w:p>
              </w:tc>
              <w:tc>
                <w:tcPr>
                  <w:tcW w:w="420" w:type="pct"/>
                  <w:noWrap w:val="0"/>
                  <w:vAlign w:val="center"/>
                </w:tcPr>
                <w:p w14:paraId="220EEFC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1.76</w:t>
                  </w:r>
                </w:p>
              </w:tc>
              <w:tc>
                <w:tcPr>
                  <w:tcW w:w="388" w:type="pct"/>
                  <w:noWrap w:val="0"/>
                  <w:vAlign w:val="center"/>
                </w:tcPr>
                <w:p w14:paraId="72CB96D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7.18</w:t>
                  </w:r>
                </w:p>
              </w:tc>
              <w:tc>
                <w:tcPr>
                  <w:tcW w:w="351" w:type="pct"/>
                  <w:noWrap w:val="0"/>
                  <w:vAlign w:val="center"/>
                </w:tcPr>
                <w:p w14:paraId="3E428D6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0.02</w:t>
                  </w:r>
                </w:p>
              </w:tc>
              <w:tc>
                <w:tcPr>
                  <w:tcW w:w="553" w:type="pct"/>
                  <w:noWrap w:val="0"/>
                  <w:vAlign w:val="center"/>
                </w:tcPr>
                <w:p w14:paraId="58BD661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520</w:t>
                  </w:r>
                </w:p>
              </w:tc>
            </w:tr>
            <w:tr w14:paraId="5E971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restart"/>
                  <w:noWrap w:val="0"/>
                  <w:vAlign w:val="center"/>
                </w:tcPr>
                <w:p w14:paraId="4B74E0E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W4</w:t>
                  </w:r>
                </w:p>
              </w:tc>
              <w:tc>
                <w:tcPr>
                  <w:tcW w:w="458" w:type="pct"/>
                  <w:noWrap w:val="0"/>
                  <w:vAlign w:val="center"/>
                </w:tcPr>
                <w:p w14:paraId="1C2CB1D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12.1</w:t>
                  </w:r>
                </w:p>
              </w:tc>
              <w:tc>
                <w:tcPr>
                  <w:tcW w:w="428" w:type="pct"/>
                  <w:noWrap w:val="0"/>
                  <w:vAlign w:val="center"/>
                </w:tcPr>
                <w:p w14:paraId="0E0B4939">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7.3</w:t>
                  </w:r>
                </w:p>
              </w:tc>
              <w:tc>
                <w:tcPr>
                  <w:tcW w:w="423" w:type="pct"/>
                  <w:noWrap w:val="0"/>
                  <w:vAlign w:val="center"/>
                </w:tcPr>
                <w:p w14:paraId="18243A8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29</w:t>
                  </w:r>
                </w:p>
              </w:tc>
              <w:tc>
                <w:tcPr>
                  <w:tcW w:w="426" w:type="pct"/>
                  <w:noWrap w:val="0"/>
                  <w:vAlign w:val="center"/>
                </w:tcPr>
                <w:p w14:paraId="61EF111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28</w:t>
                  </w:r>
                </w:p>
              </w:tc>
              <w:tc>
                <w:tcPr>
                  <w:tcW w:w="418" w:type="pct"/>
                  <w:noWrap w:val="0"/>
                  <w:vAlign w:val="center"/>
                </w:tcPr>
                <w:p w14:paraId="0363C3B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8.7</w:t>
                  </w:r>
                </w:p>
              </w:tc>
              <w:tc>
                <w:tcPr>
                  <w:tcW w:w="394" w:type="pct"/>
                  <w:noWrap w:val="0"/>
                  <w:vAlign w:val="center"/>
                </w:tcPr>
                <w:p w14:paraId="3288F28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0.812</w:t>
                  </w:r>
                </w:p>
              </w:tc>
              <w:tc>
                <w:tcPr>
                  <w:tcW w:w="402" w:type="pct"/>
                  <w:noWrap w:val="0"/>
                  <w:vAlign w:val="center"/>
                </w:tcPr>
                <w:p w14:paraId="7AF7530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0.19</w:t>
                  </w:r>
                </w:p>
              </w:tc>
              <w:tc>
                <w:tcPr>
                  <w:tcW w:w="420" w:type="pct"/>
                  <w:noWrap w:val="0"/>
                  <w:vAlign w:val="center"/>
                </w:tcPr>
                <w:p w14:paraId="42E8A1B3">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1.96</w:t>
                  </w:r>
                </w:p>
              </w:tc>
              <w:tc>
                <w:tcPr>
                  <w:tcW w:w="388" w:type="pct"/>
                  <w:noWrap w:val="0"/>
                  <w:vAlign w:val="center"/>
                </w:tcPr>
                <w:p w14:paraId="55DE92A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9.32</w:t>
                  </w:r>
                </w:p>
              </w:tc>
              <w:tc>
                <w:tcPr>
                  <w:tcW w:w="351" w:type="pct"/>
                  <w:noWrap w:val="0"/>
                  <w:vAlign w:val="center"/>
                </w:tcPr>
                <w:p w14:paraId="64B852A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0.05</w:t>
                  </w:r>
                </w:p>
              </w:tc>
              <w:tc>
                <w:tcPr>
                  <w:tcW w:w="553" w:type="pct"/>
                  <w:noWrap w:val="0"/>
                  <w:vAlign w:val="center"/>
                </w:tcPr>
                <w:p w14:paraId="127575D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720</w:t>
                  </w:r>
                </w:p>
              </w:tc>
            </w:tr>
            <w:tr w14:paraId="314B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43B7859B">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3382893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12.2</w:t>
                  </w:r>
                </w:p>
              </w:tc>
              <w:tc>
                <w:tcPr>
                  <w:tcW w:w="428" w:type="pct"/>
                  <w:noWrap w:val="0"/>
                  <w:vAlign w:val="center"/>
                </w:tcPr>
                <w:p w14:paraId="128D8C91">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7.3</w:t>
                  </w:r>
                </w:p>
              </w:tc>
              <w:tc>
                <w:tcPr>
                  <w:tcW w:w="423" w:type="pct"/>
                  <w:noWrap w:val="0"/>
                  <w:vAlign w:val="center"/>
                </w:tcPr>
                <w:p w14:paraId="121826E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32</w:t>
                  </w:r>
                </w:p>
              </w:tc>
              <w:tc>
                <w:tcPr>
                  <w:tcW w:w="426" w:type="pct"/>
                  <w:noWrap w:val="0"/>
                  <w:vAlign w:val="center"/>
                </w:tcPr>
                <w:p w14:paraId="7388B8F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29</w:t>
                  </w:r>
                </w:p>
              </w:tc>
              <w:tc>
                <w:tcPr>
                  <w:tcW w:w="418" w:type="pct"/>
                  <w:noWrap w:val="0"/>
                  <w:vAlign w:val="center"/>
                </w:tcPr>
                <w:p w14:paraId="3E86BCD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8.2</w:t>
                  </w:r>
                </w:p>
              </w:tc>
              <w:tc>
                <w:tcPr>
                  <w:tcW w:w="394" w:type="pct"/>
                  <w:noWrap w:val="0"/>
                  <w:vAlign w:val="center"/>
                </w:tcPr>
                <w:p w14:paraId="5845DDA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0.847</w:t>
                  </w:r>
                </w:p>
              </w:tc>
              <w:tc>
                <w:tcPr>
                  <w:tcW w:w="402" w:type="pct"/>
                  <w:noWrap w:val="0"/>
                  <w:vAlign w:val="center"/>
                </w:tcPr>
                <w:p w14:paraId="3BDBAAE9">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0.18</w:t>
                  </w:r>
                </w:p>
              </w:tc>
              <w:tc>
                <w:tcPr>
                  <w:tcW w:w="420" w:type="pct"/>
                  <w:noWrap w:val="0"/>
                  <w:vAlign w:val="center"/>
                </w:tcPr>
                <w:p w14:paraId="0BD2DD6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1.92</w:t>
                  </w:r>
                </w:p>
              </w:tc>
              <w:tc>
                <w:tcPr>
                  <w:tcW w:w="388" w:type="pct"/>
                  <w:noWrap w:val="0"/>
                  <w:vAlign w:val="center"/>
                </w:tcPr>
                <w:p w14:paraId="0F7D30D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10.5</w:t>
                  </w:r>
                </w:p>
              </w:tc>
              <w:tc>
                <w:tcPr>
                  <w:tcW w:w="351" w:type="pct"/>
                  <w:noWrap w:val="0"/>
                  <w:vAlign w:val="center"/>
                </w:tcPr>
                <w:p w14:paraId="64554C6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0.04</w:t>
                  </w:r>
                </w:p>
              </w:tc>
              <w:tc>
                <w:tcPr>
                  <w:tcW w:w="553" w:type="pct"/>
                  <w:noWrap w:val="0"/>
                  <w:vAlign w:val="center"/>
                </w:tcPr>
                <w:p w14:paraId="2218C43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760</w:t>
                  </w:r>
                </w:p>
              </w:tc>
            </w:tr>
            <w:tr w14:paraId="1FC84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37E32B1B">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35A21F3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12.3</w:t>
                  </w:r>
                </w:p>
              </w:tc>
              <w:tc>
                <w:tcPr>
                  <w:tcW w:w="428" w:type="pct"/>
                  <w:noWrap w:val="0"/>
                  <w:vAlign w:val="center"/>
                </w:tcPr>
                <w:p w14:paraId="0CF85CDF">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54D06CB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33</w:t>
                  </w:r>
                </w:p>
              </w:tc>
              <w:tc>
                <w:tcPr>
                  <w:tcW w:w="426" w:type="pct"/>
                  <w:noWrap w:val="0"/>
                  <w:vAlign w:val="center"/>
                </w:tcPr>
                <w:p w14:paraId="6254FC2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28</w:t>
                  </w:r>
                </w:p>
              </w:tc>
              <w:tc>
                <w:tcPr>
                  <w:tcW w:w="418" w:type="pct"/>
                  <w:noWrap w:val="0"/>
                  <w:vAlign w:val="center"/>
                </w:tcPr>
                <w:p w14:paraId="1AE92E9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8.9</w:t>
                  </w:r>
                </w:p>
              </w:tc>
              <w:tc>
                <w:tcPr>
                  <w:tcW w:w="394" w:type="pct"/>
                  <w:noWrap w:val="0"/>
                  <w:vAlign w:val="center"/>
                </w:tcPr>
                <w:p w14:paraId="7ECFB64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0.859</w:t>
                  </w:r>
                </w:p>
              </w:tc>
              <w:tc>
                <w:tcPr>
                  <w:tcW w:w="402" w:type="pct"/>
                  <w:noWrap w:val="0"/>
                  <w:vAlign w:val="center"/>
                </w:tcPr>
                <w:p w14:paraId="2FBB3AE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0.19</w:t>
                  </w:r>
                </w:p>
              </w:tc>
              <w:tc>
                <w:tcPr>
                  <w:tcW w:w="420" w:type="pct"/>
                  <w:noWrap w:val="0"/>
                  <w:vAlign w:val="center"/>
                </w:tcPr>
                <w:p w14:paraId="0B29C98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1.89</w:t>
                  </w:r>
                </w:p>
              </w:tc>
              <w:tc>
                <w:tcPr>
                  <w:tcW w:w="388" w:type="pct"/>
                  <w:noWrap w:val="0"/>
                  <w:vAlign w:val="center"/>
                </w:tcPr>
                <w:p w14:paraId="494F666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8.63</w:t>
                  </w:r>
                </w:p>
              </w:tc>
              <w:tc>
                <w:tcPr>
                  <w:tcW w:w="351" w:type="pct"/>
                  <w:noWrap w:val="0"/>
                  <w:vAlign w:val="center"/>
                </w:tcPr>
                <w:p w14:paraId="60B53B8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0.05</w:t>
                  </w:r>
                </w:p>
              </w:tc>
              <w:tc>
                <w:tcPr>
                  <w:tcW w:w="553" w:type="pct"/>
                  <w:noWrap w:val="0"/>
                  <w:vAlign w:val="center"/>
                </w:tcPr>
                <w:p w14:paraId="516B927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690</w:t>
                  </w:r>
                </w:p>
              </w:tc>
            </w:tr>
            <w:tr w14:paraId="06787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restart"/>
                  <w:noWrap w:val="0"/>
                  <w:vAlign w:val="center"/>
                </w:tcPr>
                <w:p w14:paraId="50B8D91C">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W5</w:t>
                  </w:r>
                </w:p>
              </w:tc>
              <w:tc>
                <w:tcPr>
                  <w:tcW w:w="458" w:type="pct"/>
                  <w:noWrap w:val="0"/>
                  <w:vAlign w:val="center"/>
                </w:tcPr>
                <w:p w14:paraId="6A1C367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12.1</w:t>
                  </w:r>
                </w:p>
              </w:tc>
              <w:tc>
                <w:tcPr>
                  <w:tcW w:w="428" w:type="pct"/>
                  <w:noWrap w:val="0"/>
                  <w:vAlign w:val="center"/>
                </w:tcPr>
                <w:p w14:paraId="0FAB0592">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w:t>
                  </w:r>
                </w:p>
              </w:tc>
              <w:tc>
                <w:tcPr>
                  <w:tcW w:w="423" w:type="pct"/>
                  <w:noWrap w:val="0"/>
                  <w:vAlign w:val="center"/>
                </w:tcPr>
                <w:p w14:paraId="105C3B5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26" w:type="pct"/>
                  <w:noWrap w:val="0"/>
                  <w:vAlign w:val="center"/>
                </w:tcPr>
                <w:p w14:paraId="54E9BC5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26</w:t>
                  </w:r>
                </w:p>
              </w:tc>
              <w:tc>
                <w:tcPr>
                  <w:tcW w:w="418" w:type="pct"/>
                  <w:noWrap w:val="0"/>
                  <w:vAlign w:val="center"/>
                </w:tcPr>
                <w:p w14:paraId="12A3EC1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7.3</w:t>
                  </w:r>
                </w:p>
              </w:tc>
              <w:tc>
                <w:tcPr>
                  <w:tcW w:w="394" w:type="pct"/>
                  <w:noWrap w:val="0"/>
                  <w:vAlign w:val="center"/>
                </w:tcPr>
                <w:p w14:paraId="4AC7556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0.722</w:t>
                  </w:r>
                </w:p>
              </w:tc>
              <w:tc>
                <w:tcPr>
                  <w:tcW w:w="402" w:type="pct"/>
                  <w:noWrap w:val="0"/>
                  <w:vAlign w:val="center"/>
                </w:tcPr>
                <w:p w14:paraId="3CB1DD7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0.16</w:t>
                  </w:r>
                </w:p>
              </w:tc>
              <w:tc>
                <w:tcPr>
                  <w:tcW w:w="420" w:type="pct"/>
                  <w:noWrap w:val="0"/>
                  <w:vAlign w:val="center"/>
                </w:tcPr>
                <w:p w14:paraId="6105690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1.63</w:t>
                  </w:r>
                </w:p>
              </w:tc>
              <w:tc>
                <w:tcPr>
                  <w:tcW w:w="388" w:type="pct"/>
                  <w:noWrap w:val="0"/>
                  <w:vAlign w:val="center"/>
                </w:tcPr>
                <w:p w14:paraId="4B058B01">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6.82</w:t>
                  </w:r>
                </w:p>
              </w:tc>
              <w:tc>
                <w:tcPr>
                  <w:tcW w:w="351" w:type="pct"/>
                  <w:noWrap w:val="0"/>
                  <w:vAlign w:val="center"/>
                </w:tcPr>
                <w:p w14:paraId="7EA438C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0.03</w:t>
                  </w:r>
                </w:p>
              </w:tc>
              <w:tc>
                <w:tcPr>
                  <w:tcW w:w="553" w:type="pct"/>
                  <w:noWrap w:val="0"/>
                  <w:vAlign w:val="center"/>
                </w:tcPr>
                <w:p w14:paraId="7F8DAAB2">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410</w:t>
                  </w:r>
                </w:p>
              </w:tc>
            </w:tr>
            <w:tr w14:paraId="1D77C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3B26B3C7">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36DFF4DF">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12.2</w:t>
                  </w:r>
                </w:p>
              </w:tc>
              <w:tc>
                <w:tcPr>
                  <w:tcW w:w="428" w:type="pct"/>
                  <w:noWrap w:val="0"/>
                  <w:vAlign w:val="center"/>
                </w:tcPr>
                <w:p w14:paraId="4041758A">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7.1</w:t>
                  </w:r>
                </w:p>
              </w:tc>
              <w:tc>
                <w:tcPr>
                  <w:tcW w:w="423" w:type="pct"/>
                  <w:noWrap w:val="0"/>
                  <w:vAlign w:val="center"/>
                </w:tcPr>
                <w:p w14:paraId="5E622A65">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25</w:t>
                  </w:r>
                </w:p>
              </w:tc>
              <w:tc>
                <w:tcPr>
                  <w:tcW w:w="426" w:type="pct"/>
                  <w:noWrap w:val="0"/>
                  <w:vAlign w:val="center"/>
                </w:tcPr>
                <w:p w14:paraId="62E9A2D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24</w:t>
                  </w:r>
                </w:p>
              </w:tc>
              <w:tc>
                <w:tcPr>
                  <w:tcW w:w="418" w:type="pct"/>
                  <w:noWrap w:val="0"/>
                  <w:vAlign w:val="center"/>
                </w:tcPr>
                <w:p w14:paraId="46FC6420">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394" w:type="pct"/>
                  <w:noWrap w:val="0"/>
                  <w:vAlign w:val="center"/>
                </w:tcPr>
                <w:p w14:paraId="50165E86">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0.684</w:t>
                  </w:r>
                </w:p>
              </w:tc>
              <w:tc>
                <w:tcPr>
                  <w:tcW w:w="402" w:type="pct"/>
                  <w:noWrap w:val="0"/>
                  <w:vAlign w:val="center"/>
                </w:tcPr>
                <w:p w14:paraId="6C0E4C7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0.17</w:t>
                  </w:r>
                </w:p>
              </w:tc>
              <w:tc>
                <w:tcPr>
                  <w:tcW w:w="420" w:type="pct"/>
                  <w:noWrap w:val="0"/>
                  <w:vAlign w:val="center"/>
                </w:tcPr>
                <w:p w14:paraId="3729F13D">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1.64</w:t>
                  </w:r>
                </w:p>
              </w:tc>
              <w:tc>
                <w:tcPr>
                  <w:tcW w:w="388" w:type="pct"/>
                  <w:noWrap w:val="0"/>
                  <w:vAlign w:val="center"/>
                </w:tcPr>
                <w:p w14:paraId="3EF9DF9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7.24</w:t>
                  </w:r>
                </w:p>
              </w:tc>
              <w:tc>
                <w:tcPr>
                  <w:tcW w:w="351" w:type="pct"/>
                  <w:noWrap w:val="0"/>
                  <w:vAlign w:val="center"/>
                </w:tcPr>
                <w:p w14:paraId="16B803B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0.02</w:t>
                  </w:r>
                </w:p>
              </w:tc>
              <w:tc>
                <w:tcPr>
                  <w:tcW w:w="553" w:type="pct"/>
                  <w:noWrap w:val="0"/>
                  <w:vAlign w:val="center"/>
                </w:tcPr>
                <w:p w14:paraId="14643FA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420</w:t>
                  </w:r>
                </w:p>
              </w:tc>
            </w:tr>
            <w:tr w14:paraId="0DB95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33" w:type="pct"/>
                  <w:vMerge w:val="continue"/>
                  <w:noWrap w:val="0"/>
                  <w:vAlign w:val="center"/>
                </w:tcPr>
                <w:p w14:paraId="427FE4CA">
                  <w:pPr>
                    <w:ind w:left="-105" w:leftChars="-50" w:right="-105" w:rightChars="-50"/>
                    <w:jc w:val="center"/>
                    <w:rPr>
                      <w:rFonts w:hint="default" w:ascii="Times New Roman" w:hAnsi="Times New Roman" w:eastAsia="宋体" w:cs="Times New Roman"/>
                      <w:color w:val="auto"/>
                      <w:szCs w:val="21"/>
                    </w:rPr>
                  </w:pPr>
                </w:p>
              </w:tc>
              <w:tc>
                <w:tcPr>
                  <w:tcW w:w="458" w:type="pct"/>
                  <w:noWrap w:val="0"/>
                  <w:vAlign w:val="center"/>
                </w:tcPr>
                <w:p w14:paraId="226982D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12.3</w:t>
                  </w:r>
                </w:p>
              </w:tc>
              <w:tc>
                <w:tcPr>
                  <w:tcW w:w="428" w:type="pct"/>
                  <w:noWrap w:val="0"/>
                  <w:vAlign w:val="center"/>
                </w:tcPr>
                <w:p w14:paraId="651EC80C">
                  <w:pPr>
                    <w:widowControl/>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7.2</w:t>
                  </w:r>
                </w:p>
              </w:tc>
              <w:tc>
                <w:tcPr>
                  <w:tcW w:w="423" w:type="pct"/>
                  <w:noWrap w:val="0"/>
                  <w:vAlign w:val="center"/>
                </w:tcPr>
                <w:p w14:paraId="01F5F8DB">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26</w:t>
                  </w:r>
                </w:p>
              </w:tc>
              <w:tc>
                <w:tcPr>
                  <w:tcW w:w="426" w:type="pct"/>
                  <w:noWrap w:val="0"/>
                  <w:vAlign w:val="center"/>
                </w:tcPr>
                <w:p w14:paraId="1144B303">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25</w:t>
                  </w:r>
                </w:p>
              </w:tc>
              <w:tc>
                <w:tcPr>
                  <w:tcW w:w="418" w:type="pct"/>
                  <w:noWrap w:val="0"/>
                  <w:vAlign w:val="center"/>
                </w:tcPr>
                <w:p w14:paraId="58754C24">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7.4</w:t>
                  </w:r>
                </w:p>
              </w:tc>
              <w:tc>
                <w:tcPr>
                  <w:tcW w:w="394" w:type="pct"/>
                  <w:noWrap w:val="0"/>
                  <w:vAlign w:val="center"/>
                </w:tcPr>
                <w:p w14:paraId="70C8800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0.716</w:t>
                  </w:r>
                </w:p>
              </w:tc>
              <w:tc>
                <w:tcPr>
                  <w:tcW w:w="402" w:type="pct"/>
                  <w:noWrap w:val="0"/>
                  <w:vAlign w:val="center"/>
                </w:tcPr>
                <w:p w14:paraId="0720B8CA">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0.16</w:t>
                  </w:r>
                </w:p>
              </w:tc>
              <w:tc>
                <w:tcPr>
                  <w:tcW w:w="420" w:type="pct"/>
                  <w:noWrap w:val="0"/>
                  <w:vAlign w:val="center"/>
                </w:tcPr>
                <w:p w14:paraId="61571ED3">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1.57</w:t>
                  </w:r>
                </w:p>
              </w:tc>
              <w:tc>
                <w:tcPr>
                  <w:tcW w:w="388" w:type="pct"/>
                  <w:noWrap w:val="0"/>
                  <w:vAlign w:val="center"/>
                </w:tcPr>
                <w:p w14:paraId="716701E8">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6.95</w:t>
                  </w:r>
                </w:p>
              </w:tc>
              <w:tc>
                <w:tcPr>
                  <w:tcW w:w="351" w:type="pct"/>
                  <w:noWrap w:val="0"/>
                  <w:vAlign w:val="center"/>
                </w:tcPr>
                <w:p w14:paraId="21F46B9E">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0.03</w:t>
                  </w:r>
                </w:p>
              </w:tc>
              <w:tc>
                <w:tcPr>
                  <w:tcW w:w="553" w:type="pct"/>
                  <w:noWrap w:val="0"/>
                  <w:vAlign w:val="center"/>
                </w:tcPr>
                <w:p w14:paraId="58CFB197">
                  <w:pPr>
                    <w:ind w:left="-105" w:leftChars="-50" w:right="-105" w:rightChars="-5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380</w:t>
                  </w:r>
                </w:p>
              </w:tc>
            </w:tr>
          </w:tbl>
          <w:p w14:paraId="236D3FFE">
            <w:pPr>
              <w:spacing w:line="360" w:lineRule="auto"/>
              <w:ind w:firstLine="48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③评价方法</w:t>
            </w:r>
          </w:p>
          <w:p w14:paraId="3310D4A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采用单因子标准指数法进行水环境质量现状评价。单项污染指数用下式计算。</w:t>
            </w:r>
          </w:p>
          <w:p w14:paraId="0EC87E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单项水质参数i在第j断面单项污染指数：</w:t>
            </w:r>
          </w:p>
          <w:p w14:paraId="61FA6110">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vertAlign w:val="subscript"/>
              </w:rPr>
              <w:t>ij</w:t>
            </w: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ij</w:t>
            </w: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sj</w:t>
            </w:r>
          </w:p>
          <w:p w14:paraId="715661F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式中：S</w:t>
            </w:r>
            <w:r>
              <w:rPr>
                <w:rFonts w:hint="default" w:ascii="Times New Roman" w:hAnsi="Times New Roman" w:eastAsia="宋体" w:cs="Times New Roman"/>
                <w:color w:val="auto"/>
                <w:sz w:val="24"/>
                <w:vertAlign w:val="subscript"/>
              </w:rPr>
              <w:t>ij</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第i种污染物在第j点的标准指数；</w:t>
            </w:r>
          </w:p>
          <w:p w14:paraId="6F4FECAE">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ij</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第i种污染物在第j点的监测平均浓度值，mg/L；</w:t>
            </w:r>
          </w:p>
          <w:p w14:paraId="1E504AC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default" w:ascii="Times New Roman" w:hAnsi="Times New Roman" w:eastAsia="宋体" w:cs="Times New Roman"/>
                <w:color w:val="auto"/>
                <w:sz w:val="24"/>
                <w:vertAlign w:val="subscript"/>
              </w:rPr>
              <w:t>sj</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第i种污染物的地表水水质标准值，mg/L。</w:t>
            </w:r>
          </w:p>
          <w:p w14:paraId="10D3839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pH为：</w:t>
            </w:r>
          </w:p>
          <w:p w14:paraId="42ACE2F7">
            <w:pPr>
              <w:widowControl w:val="0"/>
              <w:autoSpaceDE w:val="0"/>
              <w:autoSpaceDN w:val="0"/>
              <w:adjustRightInd w:val="0"/>
              <w:spacing w:line="360" w:lineRule="auto"/>
              <w:ind w:firstLine="420" w:firstLineChars="20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position w:val="-30"/>
                <w:sz w:val="21"/>
                <w:szCs w:val="24"/>
                <w:lang w:val="en-US" w:eastAsia="zh-CN" w:bidi="ar-SA"/>
              </w:rPr>
              <w:object>
                <v:shape id="_x0000_i1027" o:spt="75" type="#_x0000_t75" style="height:36pt;width:148pt;" o:ole="t" filled="f" stroked="f" coordsize="21600,21600">
                  <v:path/>
                  <v:fill on="f" focussize="0,0"/>
                  <v:stroke on="f"/>
                  <v:imagedata r:id="rId16" embosscolor="#FFFFFF" o:title=""/>
                  <o:lock v:ext="edit" aspectratio="t"/>
                  <w10:wrap type="none"/>
                  <w10:anchorlock/>
                </v:shape>
                <o:OLEObject Type="Embed" ProgID="Equation.KSEE3" ShapeID="_x0000_i1027" DrawAspect="Content" ObjectID="_1468075727" r:id="rId15">
                  <o:LockedField>false</o:LockedField>
                </o:OLEObject>
              </w:object>
            </w:r>
          </w:p>
          <w:p w14:paraId="39881EB8">
            <w:pPr>
              <w:widowControl w:val="0"/>
              <w:autoSpaceDE w:val="0"/>
              <w:autoSpaceDN w:val="0"/>
              <w:adjustRightInd w:val="0"/>
              <w:spacing w:line="360" w:lineRule="auto"/>
              <w:ind w:firstLine="420" w:firstLineChars="20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position w:val="-30"/>
                <w:sz w:val="21"/>
                <w:szCs w:val="24"/>
                <w:lang w:val="en-US" w:eastAsia="zh-CN" w:bidi="ar-SA"/>
              </w:rPr>
              <w:object>
                <v:shape id="_x0000_i1028" o:spt="75" type="#_x0000_t75" style="height:36pt;width:148pt;" o:ole="t" filled="f" stroked="f" coordsize="21600,21600">
                  <v:path/>
                  <v:fill on="f" focussize="0,0"/>
                  <v:stroke on="f"/>
                  <v:imagedata r:id="rId18" embosscolor="#FFFFFF" o:title=""/>
                  <o:lock v:ext="edit" aspectratio="t"/>
                  <w10:wrap type="none"/>
                  <w10:anchorlock/>
                </v:shape>
                <o:OLEObject Type="Embed" ProgID="Equation.KSEE3" ShapeID="_x0000_i1028" DrawAspect="Content" ObjectID="_1468075728" r:id="rId17">
                  <o:LockedField>false</o:LockedField>
                </o:OLEObject>
              </w:object>
            </w:r>
          </w:p>
          <w:p w14:paraId="65495D3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式中：S</w:t>
            </w:r>
            <w:r>
              <w:rPr>
                <w:rFonts w:hint="default" w:ascii="Times New Roman" w:hAnsi="Times New Roman" w:eastAsia="宋体" w:cs="Times New Roman"/>
                <w:color w:val="auto"/>
                <w:sz w:val="24"/>
                <w:vertAlign w:val="subscript"/>
              </w:rPr>
              <w:t>pH，j</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为水质参数pH在j点的标准指数；</w:t>
            </w:r>
          </w:p>
          <w:p w14:paraId="167F5BD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pH</w:t>
            </w:r>
            <w:r>
              <w:rPr>
                <w:rFonts w:hint="default" w:ascii="Times New Roman" w:hAnsi="Times New Roman" w:eastAsia="宋体" w:cs="Times New Roman"/>
                <w:color w:val="auto"/>
                <w:sz w:val="24"/>
                <w:vertAlign w:val="subscript"/>
              </w:rPr>
              <w:t>j</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为j点的pH值；</w:t>
            </w:r>
          </w:p>
          <w:p w14:paraId="1295DB3E">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pH</w:t>
            </w:r>
            <w:r>
              <w:rPr>
                <w:rFonts w:hint="default" w:ascii="Times New Roman" w:hAnsi="Times New Roman" w:eastAsia="宋体" w:cs="Times New Roman"/>
                <w:color w:val="auto"/>
                <w:sz w:val="24"/>
                <w:vertAlign w:val="subscript"/>
              </w:rPr>
              <w:t>su</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为地表水水质标准中规定的pH值上限；</w:t>
            </w:r>
          </w:p>
          <w:p w14:paraId="63ED0EE5">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pH</w:t>
            </w:r>
            <w:r>
              <w:rPr>
                <w:rFonts w:hint="default" w:ascii="Times New Roman" w:hAnsi="Times New Roman" w:eastAsia="宋体" w:cs="Times New Roman"/>
                <w:color w:val="auto"/>
                <w:sz w:val="24"/>
                <w:vertAlign w:val="subscript"/>
              </w:rPr>
              <w:t>sd</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为地表水水质标准中规定的pH值下限。</w:t>
            </w:r>
          </w:p>
          <w:p w14:paraId="6DBBA1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当以上公式计算的污染指数I</w:t>
            </w:r>
            <w:r>
              <w:rPr>
                <w:rFonts w:hint="default" w:ascii="Times New Roman" w:hAnsi="Times New Roman" w:eastAsia="宋体" w:cs="Times New Roman"/>
                <w:color w:val="auto"/>
                <w:sz w:val="24"/>
                <w:vertAlign w:val="subscript"/>
              </w:rPr>
              <w:t>ij</w:t>
            </w:r>
            <w:r>
              <w:rPr>
                <w:rFonts w:hint="default" w:ascii="Times New Roman" w:hAnsi="Times New Roman" w:eastAsia="宋体" w:cs="Times New Roman"/>
                <w:color w:val="auto"/>
                <w:sz w:val="24"/>
              </w:rPr>
              <w:t>＞1时，表明该项指标已经超过了规定的质量标准。</w:t>
            </w:r>
          </w:p>
          <w:p w14:paraId="6D231CB4">
            <w:pPr>
              <w:spacing w:line="360" w:lineRule="auto"/>
              <w:ind w:firstLine="482"/>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④现状评价结果</w:t>
            </w:r>
          </w:p>
          <w:p w14:paraId="6896D24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各监测项目的单因子指数分别见下表。</w:t>
            </w:r>
          </w:p>
          <w:p w14:paraId="4AB83C47">
            <w:pPr>
              <w:widowControl/>
              <w:numPr>
                <w:ilvl w:val="0"/>
                <w:numId w:val="12"/>
              </w:numPr>
              <w:spacing w:line="360" w:lineRule="auto"/>
              <w:ind w:left="0" w:leftChars="0" w:firstLine="0" w:firstLineChars="0"/>
              <w:jc w:val="center"/>
              <w:rPr>
                <w:rFonts w:hint="default" w:ascii="Times New Roman" w:hAnsi="Times New Roman" w:eastAsia="宋体" w:cs="Times New Roman"/>
                <w:b/>
                <w:color w:val="auto"/>
                <w:sz w:val="24"/>
                <w:szCs w:val="32"/>
              </w:rPr>
            </w:pPr>
            <w:r>
              <w:rPr>
                <w:rFonts w:hint="default" w:ascii="Times New Roman" w:hAnsi="Times New Roman" w:eastAsia="宋体" w:cs="Times New Roman"/>
                <w:b/>
                <w:color w:val="auto"/>
                <w:sz w:val="24"/>
                <w:szCs w:val="32"/>
              </w:rPr>
              <w:t>地表水水质污染</w:t>
            </w:r>
            <w:r>
              <w:rPr>
                <w:rFonts w:hint="default" w:ascii="Times New Roman" w:hAnsi="Times New Roman" w:eastAsia="宋体" w:cs="Times New Roman"/>
                <w:b/>
                <w:color w:val="auto"/>
                <w:sz w:val="24"/>
                <w:szCs w:val="32"/>
                <w:highlight w:val="none"/>
              </w:rPr>
              <w:t>指数</w:t>
            </w:r>
            <w:r>
              <w:rPr>
                <w:rFonts w:hint="default" w:ascii="Times New Roman" w:hAnsi="Times New Roman" w:eastAsia="宋体" w:cs="Times New Roman"/>
                <w:b/>
                <w:color w:val="auto"/>
                <w:sz w:val="24"/>
                <w:szCs w:val="32"/>
              </w:rPr>
              <w:t>评价结果表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6"/>
              <w:gridCol w:w="1328"/>
              <w:gridCol w:w="671"/>
              <w:gridCol w:w="671"/>
              <w:gridCol w:w="671"/>
              <w:gridCol w:w="671"/>
              <w:gridCol w:w="671"/>
              <w:gridCol w:w="671"/>
              <w:gridCol w:w="671"/>
              <w:gridCol w:w="671"/>
              <w:gridCol w:w="678"/>
              <w:gridCol w:w="848"/>
            </w:tblGrid>
            <w:tr w14:paraId="5A5D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tcBorders>
                    <w:tl2br w:val="nil"/>
                    <w:tr2bl w:val="nil"/>
                  </w:tcBorders>
                  <w:noWrap w:val="0"/>
                  <w:vAlign w:val="center"/>
                </w:tcPr>
                <w:p w14:paraId="7E5B526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Style w:val="72"/>
                      <w:rFonts w:ascii="Times New Roman" w:hAnsi="Times New Roman" w:eastAsia="宋体" w:cs="Times New Roman"/>
                      <w:color w:val="auto"/>
                      <w:sz w:val="21"/>
                      <w:szCs w:val="21"/>
                      <w:lang w:val="en-US" w:eastAsia="zh-CN" w:bidi="ar"/>
                    </w:rPr>
                  </w:pPr>
                  <w:r>
                    <w:rPr>
                      <w:rStyle w:val="72"/>
                      <w:color w:val="auto"/>
                      <w:sz w:val="21"/>
                      <w:szCs w:val="21"/>
                      <w:lang w:val="en-US" w:eastAsia="zh-CN" w:bidi="ar"/>
                    </w:rPr>
                    <w:t>监测</w:t>
                  </w:r>
                </w:p>
                <w:p w14:paraId="702B2C9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点位</w:t>
                  </w:r>
                </w:p>
              </w:tc>
              <w:tc>
                <w:tcPr>
                  <w:tcW w:w="752" w:type="pct"/>
                  <w:tcBorders>
                    <w:tl2br w:val="nil"/>
                    <w:tr2bl w:val="nil"/>
                  </w:tcBorders>
                  <w:noWrap w:val="0"/>
                  <w:vAlign w:val="center"/>
                </w:tcPr>
                <w:p w14:paraId="71B8319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项目</w:t>
                  </w:r>
                </w:p>
              </w:tc>
              <w:tc>
                <w:tcPr>
                  <w:tcW w:w="380" w:type="pct"/>
                  <w:tcBorders>
                    <w:tl2br w:val="nil"/>
                    <w:tr2bl w:val="nil"/>
                  </w:tcBorders>
                  <w:noWrap w:val="0"/>
                  <w:vAlign w:val="center"/>
                </w:tcPr>
                <w:p w14:paraId="0399460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pH</w:t>
                  </w:r>
                </w:p>
              </w:tc>
              <w:tc>
                <w:tcPr>
                  <w:tcW w:w="380" w:type="pct"/>
                  <w:tcBorders>
                    <w:tl2br w:val="nil"/>
                    <w:tr2bl w:val="nil"/>
                  </w:tcBorders>
                  <w:noWrap w:val="0"/>
                  <w:vAlign w:val="center"/>
                </w:tcPr>
                <w:p w14:paraId="44B0AD8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SS</w:t>
                  </w:r>
                </w:p>
              </w:tc>
              <w:tc>
                <w:tcPr>
                  <w:tcW w:w="380" w:type="pct"/>
                  <w:tcBorders>
                    <w:tl2br w:val="nil"/>
                    <w:tr2bl w:val="nil"/>
                  </w:tcBorders>
                  <w:noWrap w:val="0"/>
                  <w:vAlign w:val="center"/>
                </w:tcPr>
                <w:p w14:paraId="68EB735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COD</w:t>
                  </w:r>
                </w:p>
              </w:tc>
              <w:tc>
                <w:tcPr>
                  <w:tcW w:w="380" w:type="pct"/>
                  <w:tcBorders>
                    <w:tl2br w:val="nil"/>
                    <w:tr2bl w:val="nil"/>
                  </w:tcBorders>
                  <w:noWrap w:val="0"/>
                  <w:vAlign w:val="center"/>
                </w:tcPr>
                <w:p w14:paraId="79B2AB8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BOD</w:t>
                  </w:r>
                  <w:r>
                    <w:rPr>
                      <w:rFonts w:hint="eastAsia" w:ascii="宋体" w:hAnsi="宋体" w:eastAsia="宋体" w:cs="宋体"/>
                      <w:color w:val="auto"/>
                      <w:sz w:val="21"/>
                      <w:szCs w:val="21"/>
                      <w:u w:val="none"/>
                      <w:vertAlign w:val="subscript"/>
                      <w:lang w:val="en-US" w:eastAsia="zh-CN" w:bidi="ar"/>
                    </w:rPr>
                    <w:t>5</w:t>
                  </w:r>
                </w:p>
              </w:tc>
              <w:tc>
                <w:tcPr>
                  <w:tcW w:w="380" w:type="pct"/>
                  <w:tcBorders>
                    <w:tl2br w:val="nil"/>
                    <w:tr2bl w:val="nil"/>
                  </w:tcBorders>
                  <w:noWrap w:val="0"/>
                  <w:vAlign w:val="center"/>
                </w:tcPr>
                <w:p w14:paraId="4EA0323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氨氮</w:t>
                  </w:r>
                </w:p>
              </w:tc>
              <w:tc>
                <w:tcPr>
                  <w:tcW w:w="380" w:type="pct"/>
                  <w:tcBorders>
                    <w:tl2br w:val="nil"/>
                    <w:tr2bl w:val="nil"/>
                  </w:tcBorders>
                  <w:noWrap w:val="0"/>
                  <w:vAlign w:val="center"/>
                </w:tcPr>
                <w:p w14:paraId="34421E8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总磷</w:t>
                  </w:r>
                </w:p>
              </w:tc>
              <w:tc>
                <w:tcPr>
                  <w:tcW w:w="380" w:type="pct"/>
                  <w:tcBorders>
                    <w:tl2br w:val="nil"/>
                    <w:tr2bl w:val="nil"/>
                  </w:tcBorders>
                  <w:noWrap w:val="0"/>
                  <w:vAlign w:val="center"/>
                </w:tcPr>
                <w:p w14:paraId="6A78078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总氮</w:t>
                  </w:r>
                </w:p>
              </w:tc>
              <w:tc>
                <w:tcPr>
                  <w:tcW w:w="380" w:type="pct"/>
                  <w:tcBorders>
                    <w:tl2br w:val="nil"/>
                    <w:tr2bl w:val="nil"/>
                  </w:tcBorders>
                  <w:noWrap w:val="0"/>
                  <w:vAlign w:val="center"/>
                </w:tcPr>
                <w:p w14:paraId="107697D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高锰酸盐指数</w:t>
                  </w:r>
                </w:p>
              </w:tc>
              <w:tc>
                <w:tcPr>
                  <w:tcW w:w="384" w:type="pct"/>
                  <w:tcBorders>
                    <w:tl2br w:val="nil"/>
                    <w:tr2bl w:val="nil"/>
                  </w:tcBorders>
                  <w:noWrap w:val="0"/>
                  <w:vAlign w:val="center"/>
                </w:tcPr>
                <w:p w14:paraId="6367DFB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石油类</w:t>
                  </w:r>
                </w:p>
              </w:tc>
              <w:tc>
                <w:tcPr>
                  <w:tcW w:w="480" w:type="pct"/>
                  <w:tcBorders>
                    <w:tl2br w:val="nil"/>
                    <w:tr2bl w:val="nil"/>
                  </w:tcBorders>
                  <w:noWrap w:val="0"/>
                  <w:vAlign w:val="center"/>
                </w:tcPr>
                <w:p w14:paraId="5F6149E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粪大肠菌群</w:t>
                  </w:r>
                  <w:r>
                    <w:rPr>
                      <w:rFonts w:hint="default" w:ascii="Times New Roman" w:hAnsi="Times New Roman" w:eastAsia="宋体" w:cs="Times New Roman"/>
                      <w:color w:val="auto"/>
                      <w:sz w:val="21"/>
                      <w:szCs w:val="21"/>
                      <w:u w:val="none"/>
                      <w:lang w:val="en-US" w:eastAsia="zh-CN" w:bidi="ar"/>
                    </w:rPr>
                    <w:t>(</w:t>
                  </w:r>
                  <w:r>
                    <w:rPr>
                      <w:rStyle w:val="72"/>
                      <w:color w:val="auto"/>
                      <w:sz w:val="21"/>
                      <w:szCs w:val="21"/>
                      <w:lang w:val="en-US" w:eastAsia="zh-CN" w:bidi="ar"/>
                    </w:rPr>
                    <w:t>个</w:t>
                  </w:r>
                  <w:r>
                    <w:rPr>
                      <w:rFonts w:hint="default" w:ascii="Times New Roman" w:hAnsi="Times New Roman" w:eastAsia="宋体" w:cs="Times New Roman"/>
                      <w:color w:val="auto"/>
                      <w:sz w:val="21"/>
                      <w:szCs w:val="21"/>
                      <w:u w:val="none"/>
                      <w:lang w:val="en-US" w:eastAsia="zh-CN" w:bidi="ar"/>
                    </w:rPr>
                    <w:t>/L)</w:t>
                  </w:r>
                </w:p>
              </w:tc>
            </w:tr>
            <w:tr w14:paraId="7641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restart"/>
                  <w:tcBorders>
                    <w:tl2br w:val="nil"/>
                    <w:tr2bl w:val="nil"/>
                  </w:tcBorders>
                  <w:noWrap w:val="0"/>
                  <w:vAlign w:val="center"/>
                </w:tcPr>
                <w:p w14:paraId="5055887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W1</w:t>
                  </w:r>
                </w:p>
              </w:tc>
              <w:tc>
                <w:tcPr>
                  <w:tcW w:w="752" w:type="pct"/>
                  <w:tcBorders>
                    <w:tl2br w:val="nil"/>
                    <w:tr2bl w:val="nil"/>
                  </w:tcBorders>
                  <w:noWrap w:val="0"/>
                  <w:vAlign w:val="center"/>
                </w:tcPr>
                <w:p w14:paraId="1FD2673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Sij</w:t>
                  </w:r>
                  <w:r>
                    <w:rPr>
                      <w:rFonts w:hint="eastAsia" w:ascii="Times New Roman" w:hAnsi="Times New Roman" w:eastAsia="宋体" w:cs="Times New Roman"/>
                      <w:color w:val="auto"/>
                      <w:sz w:val="21"/>
                      <w:szCs w:val="21"/>
                      <w:u w:val="none"/>
                      <w:lang w:val="en-US" w:eastAsia="zh-CN" w:bidi="ar"/>
                    </w:rPr>
                    <w:t>(</w:t>
                  </w:r>
                  <w:r>
                    <w:rPr>
                      <w:rStyle w:val="72"/>
                      <w:color w:val="auto"/>
                      <w:sz w:val="21"/>
                      <w:szCs w:val="21"/>
                      <w:lang w:val="en-US" w:eastAsia="zh-CN" w:bidi="ar"/>
                    </w:rPr>
                    <w:t>最大值</w:t>
                  </w:r>
                  <w:r>
                    <w:rPr>
                      <w:rStyle w:val="72"/>
                      <w:rFonts w:hint="eastAsia"/>
                      <w:color w:val="auto"/>
                      <w:sz w:val="21"/>
                      <w:szCs w:val="21"/>
                      <w:lang w:val="en-US" w:eastAsia="zh-CN" w:bidi="ar"/>
                    </w:rPr>
                    <w:t>)</w:t>
                  </w:r>
                </w:p>
              </w:tc>
              <w:tc>
                <w:tcPr>
                  <w:tcW w:w="380" w:type="pct"/>
                  <w:tcBorders>
                    <w:tl2br w:val="nil"/>
                    <w:tr2bl w:val="nil"/>
                  </w:tcBorders>
                  <w:noWrap w:val="0"/>
                  <w:vAlign w:val="center"/>
                </w:tcPr>
                <w:p w14:paraId="3F49777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w:t>
                  </w:r>
                </w:p>
              </w:tc>
              <w:tc>
                <w:tcPr>
                  <w:tcW w:w="380" w:type="pct"/>
                  <w:tcBorders>
                    <w:tl2br w:val="nil"/>
                    <w:tr2bl w:val="nil"/>
                  </w:tcBorders>
                  <w:noWrap w:val="0"/>
                  <w:vAlign w:val="center"/>
                </w:tcPr>
                <w:p w14:paraId="2EA2F1D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00BD35C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w:t>
                  </w:r>
                </w:p>
              </w:tc>
              <w:tc>
                <w:tcPr>
                  <w:tcW w:w="380" w:type="pct"/>
                  <w:tcBorders>
                    <w:tl2br w:val="nil"/>
                    <w:tr2bl w:val="nil"/>
                  </w:tcBorders>
                  <w:noWrap w:val="0"/>
                  <w:vAlign w:val="center"/>
                </w:tcPr>
                <w:p w14:paraId="218E429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80" w:type="pct"/>
                  <w:tcBorders>
                    <w:tl2br w:val="nil"/>
                    <w:tr2bl w:val="nil"/>
                  </w:tcBorders>
                  <w:noWrap w:val="0"/>
                  <w:vAlign w:val="center"/>
                </w:tcPr>
                <w:p w14:paraId="437EA7F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0.41</w:t>
                  </w:r>
                </w:p>
              </w:tc>
              <w:tc>
                <w:tcPr>
                  <w:tcW w:w="380" w:type="pct"/>
                  <w:tcBorders>
                    <w:tl2br w:val="nil"/>
                    <w:tr2bl w:val="nil"/>
                  </w:tcBorders>
                  <w:noWrap w:val="0"/>
                  <w:vAlign w:val="center"/>
                </w:tcPr>
                <w:p w14:paraId="6B44F8A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0.53</w:t>
                  </w:r>
                </w:p>
              </w:tc>
              <w:tc>
                <w:tcPr>
                  <w:tcW w:w="380" w:type="pct"/>
                  <w:tcBorders>
                    <w:tl2br w:val="nil"/>
                    <w:tr2bl w:val="nil"/>
                  </w:tcBorders>
                  <w:noWrap w:val="0"/>
                  <w:vAlign w:val="center"/>
                </w:tcPr>
                <w:p w14:paraId="0489A26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474FDA1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384" w:type="pct"/>
                  <w:tcBorders>
                    <w:tl2br w:val="nil"/>
                    <w:tr2bl w:val="nil"/>
                  </w:tcBorders>
                  <w:noWrap w:val="0"/>
                  <w:vAlign w:val="center"/>
                </w:tcPr>
                <w:p w14:paraId="1D378B2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80" w:type="pct"/>
                  <w:tcBorders>
                    <w:tl2br w:val="nil"/>
                    <w:tr2bl w:val="nil"/>
                  </w:tcBorders>
                  <w:noWrap w:val="0"/>
                  <w:vAlign w:val="center"/>
                </w:tcPr>
                <w:p w14:paraId="758ABF2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2A73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continue"/>
                  <w:tcBorders>
                    <w:tl2br w:val="nil"/>
                    <w:tr2bl w:val="nil"/>
                  </w:tcBorders>
                  <w:noWrap w:val="0"/>
                  <w:vAlign w:val="center"/>
                </w:tcPr>
                <w:p w14:paraId="38D95E85">
                  <w:pPr>
                    <w:pStyle w:val="147"/>
                    <w:keepNext w:val="0"/>
                    <w:keepLines w:val="0"/>
                    <w:pageBreakBefore w:val="0"/>
                    <w:kinsoku/>
                    <w:wordWrap/>
                    <w:overflowPunct/>
                    <w:topLinePunct w:val="0"/>
                    <w:autoSpaceDE/>
                    <w:autoSpaceDN/>
                    <w:bidi w:val="0"/>
                    <w:snapToGrid/>
                    <w:ind w:left="-63" w:leftChars="-30" w:right="-63" w:rightChars="-30"/>
                    <w:jc w:val="center"/>
                    <w:rPr>
                      <w:color w:val="auto"/>
                      <w:sz w:val="21"/>
                      <w:szCs w:val="21"/>
                    </w:rPr>
                  </w:pPr>
                </w:p>
              </w:tc>
              <w:tc>
                <w:tcPr>
                  <w:tcW w:w="752" w:type="pct"/>
                  <w:tcBorders>
                    <w:tl2br w:val="nil"/>
                    <w:tr2bl w:val="nil"/>
                  </w:tcBorders>
                  <w:noWrap w:val="0"/>
                  <w:vAlign w:val="center"/>
                </w:tcPr>
                <w:p w14:paraId="5A94927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达标分析</w:t>
                  </w:r>
                </w:p>
              </w:tc>
              <w:tc>
                <w:tcPr>
                  <w:tcW w:w="380" w:type="pct"/>
                  <w:tcBorders>
                    <w:tl2br w:val="nil"/>
                    <w:tr2bl w:val="nil"/>
                  </w:tcBorders>
                  <w:noWrap w:val="0"/>
                  <w:vAlign w:val="center"/>
                </w:tcPr>
                <w:p w14:paraId="7B22CF5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3E37928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411919E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6C64850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超标</w:t>
                  </w:r>
                </w:p>
              </w:tc>
              <w:tc>
                <w:tcPr>
                  <w:tcW w:w="380" w:type="pct"/>
                  <w:tcBorders>
                    <w:tl2br w:val="nil"/>
                    <w:tr2bl w:val="nil"/>
                  </w:tcBorders>
                  <w:noWrap w:val="0"/>
                  <w:vAlign w:val="center"/>
                </w:tcPr>
                <w:p w14:paraId="52FAA26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7E384CE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7E13427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3AE21CB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4" w:type="pct"/>
                  <w:tcBorders>
                    <w:tl2br w:val="nil"/>
                    <w:tr2bl w:val="nil"/>
                  </w:tcBorders>
                  <w:noWrap w:val="0"/>
                  <w:vAlign w:val="center"/>
                </w:tcPr>
                <w:p w14:paraId="33807BA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480" w:type="pct"/>
                  <w:tcBorders>
                    <w:tl2br w:val="nil"/>
                    <w:tr2bl w:val="nil"/>
                  </w:tcBorders>
                  <w:noWrap w:val="0"/>
                  <w:vAlign w:val="center"/>
                </w:tcPr>
                <w:p w14:paraId="472F3D2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r>
            <w:tr w14:paraId="481E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338" w:type="pct"/>
                  <w:vMerge w:val="restart"/>
                  <w:tcBorders>
                    <w:tl2br w:val="nil"/>
                    <w:tr2bl w:val="nil"/>
                  </w:tcBorders>
                  <w:noWrap w:val="0"/>
                  <w:vAlign w:val="center"/>
                </w:tcPr>
                <w:p w14:paraId="62C5FB8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W2</w:t>
                  </w:r>
                </w:p>
              </w:tc>
              <w:tc>
                <w:tcPr>
                  <w:tcW w:w="752" w:type="pct"/>
                  <w:tcBorders>
                    <w:tl2br w:val="nil"/>
                    <w:tr2bl w:val="nil"/>
                  </w:tcBorders>
                  <w:noWrap w:val="0"/>
                  <w:vAlign w:val="center"/>
                </w:tcPr>
                <w:p w14:paraId="48BE7E9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Sij</w:t>
                  </w:r>
                  <w:r>
                    <w:rPr>
                      <w:rFonts w:hint="eastAsia" w:ascii="Times New Roman" w:hAnsi="Times New Roman" w:eastAsia="宋体" w:cs="Times New Roman"/>
                      <w:color w:val="auto"/>
                      <w:sz w:val="21"/>
                      <w:szCs w:val="21"/>
                      <w:u w:val="none"/>
                      <w:lang w:val="en-US" w:eastAsia="zh-CN" w:bidi="ar"/>
                    </w:rPr>
                    <w:t>(</w:t>
                  </w:r>
                  <w:r>
                    <w:rPr>
                      <w:rStyle w:val="72"/>
                      <w:color w:val="auto"/>
                      <w:sz w:val="21"/>
                      <w:szCs w:val="21"/>
                      <w:lang w:val="en-US" w:eastAsia="zh-CN" w:bidi="ar"/>
                    </w:rPr>
                    <w:t>最大值</w:t>
                  </w:r>
                  <w:r>
                    <w:rPr>
                      <w:rStyle w:val="72"/>
                      <w:rFonts w:hint="eastAsia"/>
                      <w:color w:val="auto"/>
                      <w:sz w:val="21"/>
                      <w:szCs w:val="21"/>
                      <w:lang w:val="en-US" w:eastAsia="zh-CN" w:bidi="ar"/>
                    </w:rPr>
                    <w:t>)</w:t>
                  </w:r>
                </w:p>
              </w:tc>
              <w:tc>
                <w:tcPr>
                  <w:tcW w:w="380" w:type="pct"/>
                  <w:tcBorders>
                    <w:tl2br w:val="nil"/>
                    <w:tr2bl w:val="nil"/>
                  </w:tcBorders>
                  <w:noWrap w:val="0"/>
                  <w:vAlign w:val="center"/>
                </w:tcPr>
                <w:p w14:paraId="5504C43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380" w:type="pct"/>
                  <w:tcBorders>
                    <w:tl2br w:val="nil"/>
                    <w:tr2bl w:val="nil"/>
                  </w:tcBorders>
                  <w:noWrap w:val="0"/>
                  <w:vAlign w:val="center"/>
                </w:tcPr>
                <w:p w14:paraId="44AB604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00C20C5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380" w:type="pct"/>
                  <w:tcBorders>
                    <w:tl2br w:val="nil"/>
                    <w:tr2bl w:val="nil"/>
                  </w:tcBorders>
                  <w:noWrap w:val="0"/>
                  <w:vAlign w:val="center"/>
                </w:tcPr>
                <w:p w14:paraId="0EB7B7D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380" w:type="pct"/>
                  <w:tcBorders>
                    <w:tl2br w:val="nil"/>
                    <w:tr2bl w:val="nil"/>
                  </w:tcBorders>
                  <w:noWrap w:val="0"/>
                  <w:vAlign w:val="center"/>
                </w:tcPr>
                <w:p w14:paraId="794411D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380" w:type="pct"/>
                  <w:tcBorders>
                    <w:tl2br w:val="nil"/>
                    <w:tr2bl w:val="nil"/>
                  </w:tcBorders>
                  <w:noWrap w:val="0"/>
                  <w:vAlign w:val="center"/>
                </w:tcPr>
                <w:p w14:paraId="64D5A85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380" w:type="pct"/>
                  <w:tcBorders>
                    <w:tl2br w:val="nil"/>
                    <w:tr2bl w:val="nil"/>
                  </w:tcBorders>
                  <w:noWrap w:val="0"/>
                  <w:vAlign w:val="center"/>
                </w:tcPr>
                <w:p w14:paraId="6F523F8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1265ACC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384" w:type="pct"/>
                  <w:tcBorders>
                    <w:tl2br w:val="nil"/>
                    <w:tr2bl w:val="nil"/>
                  </w:tcBorders>
                  <w:noWrap w:val="0"/>
                  <w:vAlign w:val="center"/>
                </w:tcPr>
                <w:p w14:paraId="1B7A53D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80" w:type="pct"/>
                  <w:tcBorders>
                    <w:tl2br w:val="nil"/>
                    <w:tr2bl w:val="nil"/>
                  </w:tcBorders>
                  <w:noWrap w:val="0"/>
                  <w:vAlign w:val="center"/>
                </w:tcPr>
                <w:p w14:paraId="4C6136B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1E78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continue"/>
                  <w:tcBorders>
                    <w:tl2br w:val="nil"/>
                    <w:tr2bl w:val="nil"/>
                  </w:tcBorders>
                  <w:noWrap w:val="0"/>
                  <w:vAlign w:val="center"/>
                </w:tcPr>
                <w:p w14:paraId="048B923D">
                  <w:pPr>
                    <w:pStyle w:val="147"/>
                    <w:keepNext w:val="0"/>
                    <w:keepLines w:val="0"/>
                    <w:pageBreakBefore w:val="0"/>
                    <w:kinsoku/>
                    <w:wordWrap/>
                    <w:overflowPunct/>
                    <w:topLinePunct w:val="0"/>
                    <w:autoSpaceDE/>
                    <w:autoSpaceDN/>
                    <w:bidi w:val="0"/>
                    <w:snapToGrid/>
                    <w:ind w:left="-63" w:leftChars="-30" w:right="-63" w:rightChars="-30"/>
                    <w:jc w:val="center"/>
                    <w:rPr>
                      <w:color w:val="auto"/>
                      <w:sz w:val="21"/>
                      <w:szCs w:val="21"/>
                    </w:rPr>
                  </w:pPr>
                </w:p>
              </w:tc>
              <w:tc>
                <w:tcPr>
                  <w:tcW w:w="752" w:type="pct"/>
                  <w:tcBorders>
                    <w:tl2br w:val="nil"/>
                    <w:tr2bl w:val="nil"/>
                  </w:tcBorders>
                  <w:noWrap w:val="0"/>
                  <w:vAlign w:val="center"/>
                </w:tcPr>
                <w:p w14:paraId="47D4F1E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达标分析</w:t>
                  </w:r>
                </w:p>
              </w:tc>
              <w:tc>
                <w:tcPr>
                  <w:tcW w:w="380" w:type="pct"/>
                  <w:tcBorders>
                    <w:tl2br w:val="nil"/>
                    <w:tr2bl w:val="nil"/>
                  </w:tcBorders>
                  <w:noWrap w:val="0"/>
                  <w:vAlign w:val="center"/>
                </w:tcPr>
                <w:p w14:paraId="0473B51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5C6AA89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2E7A3B8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48FEEBA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超标</w:t>
                  </w:r>
                </w:p>
              </w:tc>
              <w:tc>
                <w:tcPr>
                  <w:tcW w:w="380" w:type="pct"/>
                  <w:tcBorders>
                    <w:tl2br w:val="nil"/>
                    <w:tr2bl w:val="nil"/>
                  </w:tcBorders>
                  <w:noWrap w:val="0"/>
                  <w:vAlign w:val="center"/>
                </w:tcPr>
                <w:p w14:paraId="518D426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5220C41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6C0817C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2A0622B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4" w:type="pct"/>
                  <w:tcBorders>
                    <w:tl2br w:val="nil"/>
                    <w:tr2bl w:val="nil"/>
                  </w:tcBorders>
                  <w:noWrap w:val="0"/>
                  <w:vAlign w:val="center"/>
                </w:tcPr>
                <w:p w14:paraId="4CE9948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480" w:type="pct"/>
                  <w:tcBorders>
                    <w:tl2br w:val="nil"/>
                    <w:tr2bl w:val="nil"/>
                  </w:tcBorders>
                  <w:noWrap w:val="0"/>
                  <w:vAlign w:val="center"/>
                </w:tcPr>
                <w:p w14:paraId="2A49782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r>
            <w:tr w14:paraId="04E5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restart"/>
                  <w:tcBorders>
                    <w:tl2br w:val="nil"/>
                    <w:tr2bl w:val="nil"/>
                  </w:tcBorders>
                  <w:noWrap w:val="0"/>
                  <w:vAlign w:val="center"/>
                </w:tcPr>
                <w:p w14:paraId="130E166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W3</w:t>
                  </w:r>
                </w:p>
              </w:tc>
              <w:tc>
                <w:tcPr>
                  <w:tcW w:w="752" w:type="pct"/>
                  <w:tcBorders>
                    <w:tl2br w:val="nil"/>
                    <w:tr2bl w:val="nil"/>
                  </w:tcBorders>
                  <w:noWrap w:val="0"/>
                  <w:vAlign w:val="center"/>
                </w:tcPr>
                <w:p w14:paraId="16EF7A6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Sij</w:t>
                  </w:r>
                  <w:r>
                    <w:rPr>
                      <w:rFonts w:hint="eastAsia" w:ascii="Times New Roman" w:hAnsi="Times New Roman" w:eastAsia="宋体" w:cs="Times New Roman"/>
                      <w:color w:val="auto"/>
                      <w:sz w:val="21"/>
                      <w:szCs w:val="21"/>
                      <w:u w:val="none"/>
                      <w:lang w:val="en-US" w:eastAsia="zh-CN" w:bidi="ar"/>
                    </w:rPr>
                    <w:t>(</w:t>
                  </w:r>
                  <w:r>
                    <w:rPr>
                      <w:rStyle w:val="72"/>
                      <w:color w:val="auto"/>
                      <w:sz w:val="21"/>
                      <w:szCs w:val="21"/>
                      <w:lang w:val="en-US" w:eastAsia="zh-CN" w:bidi="ar"/>
                    </w:rPr>
                    <w:t>最大值</w:t>
                  </w:r>
                  <w:r>
                    <w:rPr>
                      <w:rStyle w:val="72"/>
                      <w:rFonts w:hint="eastAsia"/>
                      <w:color w:val="auto"/>
                      <w:sz w:val="21"/>
                      <w:szCs w:val="21"/>
                      <w:lang w:val="en-US" w:eastAsia="zh-CN" w:bidi="ar"/>
                    </w:rPr>
                    <w:t>)</w:t>
                  </w:r>
                </w:p>
              </w:tc>
              <w:tc>
                <w:tcPr>
                  <w:tcW w:w="380" w:type="pct"/>
                  <w:tcBorders>
                    <w:tl2br w:val="nil"/>
                    <w:tr2bl w:val="nil"/>
                  </w:tcBorders>
                  <w:noWrap w:val="0"/>
                  <w:vAlign w:val="center"/>
                </w:tcPr>
                <w:p w14:paraId="1DDB627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w:t>
                  </w:r>
                </w:p>
              </w:tc>
              <w:tc>
                <w:tcPr>
                  <w:tcW w:w="380" w:type="pct"/>
                  <w:tcBorders>
                    <w:tl2br w:val="nil"/>
                    <w:tr2bl w:val="nil"/>
                  </w:tcBorders>
                  <w:noWrap w:val="0"/>
                  <w:vAlign w:val="center"/>
                </w:tcPr>
                <w:p w14:paraId="7C6FDD4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0CD8FEA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0.87</w:t>
                  </w:r>
                </w:p>
              </w:tc>
              <w:tc>
                <w:tcPr>
                  <w:tcW w:w="380" w:type="pct"/>
                  <w:tcBorders>
                    <w:tl2br w:val="nil"/>
                    <w:tr2bl w:val="nil"/>
                  </w:tcBorders>
                  <w:noWrap w:val="0"/>
                  <w:vAlign w:val="center"/>
                </w:tcPr>
                <w:p w14:paraId="1048E59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380" w:type="pct"/>
                  <w:tcBorders>
                    <w:tl2br w:val="nil"/>
                    <w:tr2bl w:val="nil"/>
                  </w:tcBorders>
                  <w:noWrap w:val="0"/>
                  <w:vAlign w:val="center"/>
                </w:tcPr>
                <w:p w14:paraId="5CB335F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380" w:type="pct"/>
                  <w:tcBorders>
                    <w:tl2br w:val="nil"/>
                    <w:tr2bl w:val="nil"/>
                  </w:tcBorders>
                  <w:noWrap w:val="0"/>
                  <w:vAlign w:val="center"/>
                </w:tcPr>
                <w:p w14:paraId="160C13B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380" w:type="pct"/>
                  <w:tcBorders>
                    <w:tl2br w:val="nil"/>
                    <w:tr2bl w:val="nil"/>
                  </w:tcBorders>
                  <w:noWrap w:val="0"/>
                  <w:vAlign w:val="center"/>
                </w:tcPr>
                <w:p w14:paraId="02EB7CF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53E0B28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384" w:type="pct"/>
                  <w:tcBorders>
                    <w:tl2br w:val="nil"/>
                    <w:tr2bl w:val="nil"/>
                  </w:tcBorders>
                  <w:noWrap w:val="0"/>
                  <w:vAlign w:val="center"/>
                </w:tcPr>
                <w:p w14:paraId="23902D9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80" w:type="pct"/>
                  <w:tcBorders>
                    <w:tl2br w:val="nil"/>
                    <w:tr2bl w:val="nil"/>
                  </w:tcBorders>
                  <w:noWrap w:val="0"/>
                  <w:vAlign w:val="center"/>
                </w:tcPr>
                <w:p w14:paraId="563095F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0.03</w:t>
                  </w:r>
                </w:p>
              </w:tc>
            </w:tr>
            <w:tr w14:paraId="5A24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continue"/>
                  <w:tcBorders>
                    <w:tl2br w:val="nil"/>
                    <w:tr2bl w:val="nil"/>
                  </w:tcBorders>
                  <w:noWrap w:val="0"/>
                  <w:vAlign w:val="center"/>
                </w:tcPr>
                <w:p w14:paraId="7150A7CF">
                  <w:pPr>
                    <w:pStyle w:val="147"/>
                    <w:keepNext w:val="0"/>
                    <w:keepLines w:val="0"/>
                    <w:pageBreakBefore w:val="0"/>
                    <w:kinsoku/>
                    <w:wordWrap/>
                    <w:overflowPunct/>
                    <w:topLinePunct w:val="0"/>
                    <w:autoSpaceDE/>
                    <w:autoSpaceDN/>
                    <w:bidi w:val="0"/>
                    <w:snapToGrid/>
                    <w:ind w:left="-63" w:leftChars="-30" w:right="-63" w:rightChars="-30"/>
                    <w:jc w:val="center"/>
                    <w:rPr>
                      <w:color w:val="auto"/>
                      <w:sz w:val="21"/>
                      <w:szCs w:val="21"/>
                    </w:rPr>
                  </w:pPr>
                </w:p>
              </w:tc>
              <w:tc>
                <w:tcPr>
                  <w:tcW w:w="752" w:type="pct"/>
                  <w:tcBorders>
                    <w:tl2br w:val="nil"/>
                    <w:tr2bl w:val="nil"/>
                  </w:tcBorders>
                  <w:noWrap w:val="0"/>
                  <w:vAlign w:val="center"/>
                </w:tcPr>
                <w:p w14:paraId="7DDC1EF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达标分析</w:t>
                  </w:r>
                </w:p>
              </w:tc>
              <w:tc>
                <w:tcPr>
                  <w:tcW w:w="380" w:type="pct"/>
                  <w:tcBorders>
                    <w:tl2br w:val="nil"/>
                    <w:tr2bl w:val="nil"/>
                  </w:tcBorders>
                  <w:noWrap w:val="0"/>
                  <w:vAlign w:val="center"/>
                </w:tcPr>
                <w:p w14:paraId="299BEEF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70298F2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58145B4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679884C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超标</w:t>
                  </w:r>
                </w:p>
              </w:tc>
              <w:tc>
                <w:tcPr>
                  <w:tcW w:w="380" w:type="pct"/>
                  <w:tcBorders>
                    <w:tl2br w:val="nil"/>
                    <w:tr2bl w:val="nil"/>
                  </w:tcBorders>
                  <w:noWrap w:val="0"/>
                  <w:vAlign w:val="center"/>
                </w:tcPr>
                <w:p w14:paraId="52DF5B0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24ED377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7A47491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22A4E01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4" w:type="pct"/>
                  <w:tcBorders>
                    <w:tl2br w:val="nil"/>
                    <w:tr2bl w:val="nil"/>
                  </w:tcBorders>
                  <w:noWrap w:val="0"/>
                  <w:vAlign w:val="center"/>
                </w:tcPr>
                <w:p w14:paraId="15980C7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480" w:type="pct"/>
                  <w:tcBorders>
                    <w:tl2br w:val="nil"/>
                    <w:tr2bl w:val="nil"/>
                  </w:tcBorders>
                  <w:noWrap w:val="0"/>
                  <w:vAlign w:val="center"/>
                </w:tcPr>
                <w:p w14:paraId="1DB1907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r>
            <w:tr w14:paraId="5827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restart"/>
                  <w:tcBorders>
                    <w:tl2br w:val="nil"/>
                    <w:tr2bl w:val="nil"/>
                  </w:tcBorders>
                  <w:noWrap w:val="0"/>
                  <w:vAlign w:val="center"/>
                </w:tcPr>
                <w:p w14:paraId="1701770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W4</w:t>
                  </w:r>
                </w:p>
              </w:tc>
              <w:tc>
                <w:tcPr>
                  <w:tcW w:w="752" w:type="pct"/>
                  <w:tcBorders>
                    <w:tl2br w:val="nil"/>
                    <w:tr2bl w:val="nil"/>
                  </w:tcBorders>
                  <w:noWrap w:val="0"/>
                  <w:vAlign w:val="center"/>
                </w:tcPr>
                <w:p w14:paraId="0AA090F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Sij</w:t>
                  </w:r>
                  <w:r>
                    <w:rPr>
                      <w:rFonts w:hint="eastAsia" w:ascii="Times New Roman" w:hAnsi="Times New Roman" w:eastAsia="宋体" w:cs="Times New Roman"/>
                      <w:color w:val="auto"/>
                      <w:sz w:val="21"/>
                      <w:szCs w:val="21"/>
                      <w:u w:val="none"/>
                      <w:lang w:val="en-US" w:eastAsia="zh-CN" w:bidi="ar"/>
                    </w:rPr>
                    <w:t>(</w:t>
                  </w:r>
                  <w:r>
                    <w:rPr>
                      <w:rStyle w:val="72"/>
                      <w:color w:val="auto"/>
                      <w:sz w:val="21"/>
                      <w:szCs w:val="21"/>
                      <w:lang w:val="en-US" w:eastAsia="zh-CN" w:bidi="ar"/>
                    </w:rPr>
                    <w:t>最大值</w:t>
                  </w:r>
                  <w:r>
                    <w:rPr>
                      <w:rStyle w:val="72"/>
                      <w:rFonts w:hint="eastAsia"/>
                      <w:color w:val="auto"/>
                      <w:sz w:val="21"/>
                      <w:szCs w:val="21"/>
                      <w:lang w:val="en-US" w:eastAsia="zh-CN" w:bidi="ar"/>
                    </w:rPr>
                    <w:t>)</w:t>
                  </w:r>
                </w:p>
              </w:tc>
              <w:tc>
                <w:tcPr>
                  <w:tcW w:w="380" w:type="pct"/>
                  <w:tcBorders>
                    <w:tl2br w:val="nil"/>
                    <w:tr2bl w:val="nil"/>
                  </w:tcBorders>
                  <w:noWrap w:val="0"/>
                  <w:vAlign w:val="center"/>
                </w:tcPr>
                <w:p w14:paraId="1D850FF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380" w:type="pct"/>
                  <w:tcBorders>
                    <w:tl2br w:val="nil"/>
                    <w:tr2bl w:val="nil"/>
                  </w:tcBorders>
                  <w:noWrap w:val="0"/>
                  <w:vAlign w:val="center"/>
                </w:tcPr>
                <w:p w14:paraId="6E614CA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2C1852D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0.97</w:t>
                  </w:r>
                </w:p>
              </w:tc>
              <w:tc>
                <w:tcPr>
                  <w:tcW w:w="380" w:type="pct"/>
                  <w:tcBorders>
                    <w:tl2br w:val="nil"/>
                    <w:tr2bl w:val="nil"/>
                  </w:tcBorders>
                  <w:noWrap w:val="0"/>
                  <w:vAlign w:val="center"/>
                </w:tcPr>
                <w:p w14:paraId="42482E1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380" w:type="pct"/>
                  <w:tcBorders>
                    <w:tl2br w:val="nil"/>
                    <w:tr2bl w:val="nil"/>
                  </w:tcBorders>
                  <w:noWrap w:val="0"/>
                  <w:vAlign w:val="center"/>
                </w:tcPr>
                <w:p w14:paraId="698614F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380" w:type="pct"/>
                  <w:tcBorders>
                    <w:tl2br w:val="nil"/>
                    <w:tr2bl w:val="nil"/>
                  </w:tcBorders>
                  <w:noWrap w:val="0"/>
                  <w:vAlign w:val="center"/>
                </w:tcPr>
                <w:p w14:paraId="48A5C90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0.63</w:t>
                  </w:r>
                </w:p>
              </w:tc>
              <w:tc>
                <w:tcPr>
                  <w:tcW w:w="380" w:type="pct"/>
                  <w:tcBorders>
                    <w:tl2br w:val="nil"/>
                    <w:tr2bl w:val="nil"/>
                  </w:tcBorders>
                  <w:noWrap w:val="0"/>
                  <w:vAlign w:val="center"/>
                </w:tcPr>
                <w:p w14:paraId="2D07EA6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473A13E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384" w:type="pct"/>
                  <w:tcBorders>
                    <w:tl2br w:val="nil"/>
                    <w:tr2bl w:val="nil"/>
                  </w:tcBorders>
                  <w:noWrap w:val="0"/>
                  <w:vAlign w:val="center"/>
                </w:tcPr>
                <w:p w14:paraId="618531E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w:t>
                  </w:r>
                </w:p>
              </w:tc>
              <w:tc>
                <w:tcPr>
                  <w:tcW w:w="480" w:type="pct"/>
                  <w:tcBorders>
                    <w:tl2br w:val="nil"/>
                    <w:tr2bl w:val="nil"/>
                  </w:tcBorders>
                  <w:noWrap w:val="0"/>
                  <w:vAlign w:val="center"/>
                </w:tcPr>
                <w:p w14:paraId="0AEF504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0.04</w:t>
                  </w:r>
                </w:p>
              </w:tc>
            </w:tr>
            <w:tr w14:paraId="38BE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continue"/>
                  <w:tcBorders>
                    <w:tl2br w:val="nil"/>
                    <w:tr2bl w:val="nil"/>
                  </w:tcBorders>
                  <w:noWrap w:val="0"/>
                  <w:vAlign w:val="center"/>
                </w:tcPr>
                <w:p w14:paraId="4785F75D">
                  <w:pPr>
                    <w:pStyle w:val="147"/>
                    <w:keepNext w:val="0"/>
                    <w:keepLines w:val="0"/>
                    <w:pageBreakBefore w:val="0"/>
                    <w:kinsoku/>
                    <w:wordWrap/>
                    <w:overflowPunct/>
                    <w:topLinePunct w:val="0"/>
                    <w:autoSpaceDE/>
                    <w:autoSpaceDN/>
                    <w:bidi w:val="0"/>
                    <w:snapToGrid/>
                    <w:ind w:left="-63" w:leftChars="-30" w:right="-63" w:rightChars="-30"/>
                    <w:jc w:val="center"/>
                    <w:rPr>
                      <w:color w:val="auto"/>
                      <w:sz w:val="21"/>
                      <w:szCs w:val="21"/>
                    </w:rPr>
                  </w:pPr>
                </w:p>
              </w:tc>
              <w:tc>
                <w:tcPr>
                  <w:tcW w:w="752" w:type="pct"/>
                  <w:tcBorders>
                    <w:tl2br w:val="nil"/>
                    <w:tr2bl w:val="nil"/>
                  </w:tcBorders>
                  <w:noWrap w:val="0"/>
                  <w:vAlign w:val="center"/>
                </w:tcPr>
                <w:p w14:paraId="7113EF9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达标分析</w:t>
                  </w:r>
                </w:p>
              </w:tc>
              <w:tc>
                <w:tcPr>
                  <w:tcW w:w="380" w:type="pct"/>
                  <w:tcBorders>
                    <w:tl2br w:val="nil"/>
                    <w:tr2bl w:val="nil"/>
                  </w:tcBorders>
                  <w:noWrap w:val="0"/>
                  <w:vAlign w:val="center"/>
                </w:tcPr>
                <w:p w14:paraId="6DEE756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64A6D51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6A120E1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4BB05FF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超标</w:t>
                  </w:r>
                </w:p>
              </w:tc>
              <w:tc>
                <w:tcPr>
                  <w:tcW w:w="380" w:type="pct"/>
                  <w:tcBorders>
                    <w:tl2br w:val="nil"/>
                    <w:tr2bl w:val="nil"/>
                  </w:tcBorders>
                  <w:noWrap w:val="0"/>
                  <w:vAlign w:val="center"/>
                </w:tcPr>
                <w:p w14:paraId="3B1A90D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4725458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28C23A8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6D3F939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4" w:type="pct"/>
                  <w:tcBorders>
                    <w:tl2br w:val="nil"/>
                    <w:tr2bl w:val="nil"/>
                  </w:tcBorders>
                  <w:noWrap w:val="0"/>
                  <w:vAlign w:val="center"/>
                </w:tcPr>
                <w:p w14:paraId="64F599B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480" w:type="pct"/>
                  <w:tcBorders>
                    <w:tl2br w:val="nil"/>
                    <w:tr2bl w:val="nil"/>
                  </w:tcBorders>
                  <w:noWrap w:val="0"/>
                  <w:vAlign w:val="center"/>
                </w:tcPr>
                <w:p w14:paraId="5F8280F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r>
            <w:tr w14:paraId="632F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restart"/>
                  <w:tcBorders>
                    <w:tl2br w:val="nil"/>
                    <w:tr2bl w:val="nil"/>
                  </w:tcBorders>
                  <w:noWrap w:val="0"/>
                  <w:vAlign w:val="center"/>
                </w:tcPr>
                <w:p w14:paraId="65DDB5D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W5</w:t>
                  </w:r>
                </w:p>
              </w:tc>
              <w:tc>
                <w:tcPr>
                  <w:tcW w:w="752" w:type="pct"/>
                  <w:tcBorders>
                    <w:tl2br w:val="nil"/>
                    <w:tr2bl w:val="nil"/>
                  </w:tcBorders>
                  <w:noWrap w:val="0"/>
                  <w:vAlign w:val="center"/>
                </w:tcPr>
                <w:p w14:paraId="240EE01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Sij</w:t>
                  </w:r>
                  <w:r>
                    <w:rPr>
                      <w:rFonts w:hint="eastAsia" w:ascii="Times New Roman" w:hAnsi="Times New Roman" w:eastAsia="宋体" w:cs="Times New Roman"/>
                      <w:color w:val="auto"/>
                      <w:sz w:val="21"/>
                      <w:szCs w:val="21"/>
                      <w:u w:val="none"/>
                      <w:lang w:val="en-US" w:eastAsia="zh-CN" w:bidi="ar"/>
                    </w:rPr>
                    <w:t>(</w:t>
                  </w:r>
                  <w:r>
                    <w:rPr>
                      <w:rStyle w:val="72"/>
                      <w:color w:val="auto"/>
                      <w:sz w:val="21"/>
                      <w:szCs w:val="21"/>
                      <w:lang w:val="en-US" w:eastAsia="zh-CN" w:bidi="ar"/>
                    </w:rPr>
                    <w:t>最大值</w:t>
                  </w:r>
                  <w:r>
                    <w:rPr>
                      <w:rStyle w:val="72"/>
                      <w:rFonts w:hint="eastAsia"/>
                      <w:color w:val="auto"/>
                      <w:sz w:val="21"/>
                      <w:szCs w:val="21"/>
                      <w:lang w:val="en-US" w:eastAsia="zh-CN" w:bidi="ar"/>
                    </w:rPr>
                    <w:t>)</w:t>
                  </w:r>
                </w:p>
              </w:tc>
              <w:tc>
                <w:tcPr>
                  <w:tcW w:w="380" w:type="pct"/>
                  <w:tcBorders>
                    <w:tl2br w:val="nil"/>
                    <w:tr2bl w:val="nil"/>
                  </w:tcBorders>
                  <w:noWrap w:val="0"/>
                  <w:vAlign w:val="center"/>
                </w:tcPr>
                <w:p w14:paraId="1618404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w:t>
                  </w:r>
                </w:p>
              </w:tc>
              <w:tc>
                <w:tcPr>
                  <w:tcW w:w="380" w:type="pct"/>
                  <w:tcBorders>
                    <w:tl2br w:val="nil"/>
                    <w:tr2bl w:val="nil"/>
                  </w:tcBorders>
                  <w:noWrap w:val="0"/>
                  <w:vAlign w:val="center"/>
                </w:tcPr>
                <w:p w14:paraId="702E015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2501E61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0.87</w:t>
                  </w:r>
                </w:p>
              </w:tc>
              <w:tc>
                <w:tcPr>
                  <w:tcW w:w="380" w:type="pct"/>
                  <w:tcBorders>
                    <w:tl2br w:val="nil"/>
                    <w:tr2bl w:val="nil"/>
                  </w:tcBorders>
                  <w:noWrap w:val="0"/>
                  <w:vAlign w:val="center"/>
                </w:tcPr>
                <w:p w14:paraId="5ACE4E9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380" w:type="pct"/>
                  <w:tcBorders>
                    <w:tl2br w:val="nil"/>
                    <w:tr2bl w:val="nil"/>
                  </w:tcBorders>
                  <w:noWrap w:val="0"/>
                  <w:vAlign w:val="center"/>
                </w:tcPr>
                <w:p w14:paraId="4C5FACE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0.48</w:t>
                  </w:r>
                </w:p>
              </w:tc>
              <w:tc>
                <w:tcPr>
                  <w:tcW w:w="380" w:type="pct"/>
                  <w:tcBorders>
                    <w:tl2br w:val="nil"/>
                    <w:tr2bl w:val="nil"/>
                  </w:tcBorders>
                  <w:noWrap w:val="0"/>
                  <w:vAlign w:val="center"/>
                </w:tcPr>
                <w:p w14:paraId="266AD1C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380" w:type="pct"/>
                  <w:tcBorders>
                    <w:tl2br w:val="nil"/>
                    <w:tr2bl w:val="nil"/>
                  </w:tcBorders>
                  <w:noWrap w:val="0"/>
                  <w:vAlign w:val="center"/>
                </w:tcPr>
                <w:p w14:paraId="2E3B7A3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1F60DC7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384" w:type="pct"/>
                  <w:tcBorders>
                    <w:tl2br w:val="nil"/>
                    <w:tr2bl w:val="nil"/>
                  </w:tcBorders>
                  <w:noWrap w:val="0"/>
                  <w:vAlign w:val="center"/>
                </w:tcPr>
                <w:p w14:paraId="1CCF615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80" w:type="pct"/>
                  <w:tcBorders>
                    <w:tl2br w:val="nil"/>
                    <w:tr2bl w:val="nil"/>
                  </w:tcBorders>
                  <w:noWrap w:val="0"/>
                  <w:vAlign w:val="center"/>
                </w:tcPr>
                <w:p w14:paraId="771E3F3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542F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338" w:type="pct"/>
                  <w:vMerge w:val="continue"/>
                  <w:tcBorders>
                    <w:tl2br w:val="nil"/>
                    <w:tr2bl w:val="nil"/>
                  </w:tcBorders>
                  <w:noWrap w:val="0"/>
                  <w:vAlign w:val="center"/>
                </w:tcPr>
                <w:p w14:paraId="7836BDB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ascii="Times New Roman" w:hAnsi="Times New Roman" w:eastAsia="宋体" w:cs="Times New Roman"/>
                      <w:color w:val="auto"/>
                      <w:sz w:val="21"/>
                      <w:szCs w:val="21"/>
                      <w:lang w:val="en-US" w:eastAsia="zh-CN" w:bidi="ar"/>
                    </w:rPr>
                  </w:pPr>
                </w:p>
              </w:tc>
              <w:tc>
                <w:tcPr>
                  <w:tcW w:w="752" w:type="pct"/>
                  <w:tcBorders>
                    <w:tl2br w:val="nil"/>
                    <w:tr2bl w:val="nil"/>
                  </w:tcBorders>
                  <w:noWrap w:val="0"/>
                  <w:vAlign w:val="center"/>
                </w:tcPr>
                <w:p w14:paraId="5AF765D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达标分析</w:t>
                  </w:r>
                </w:p>
              </w:tc>
              <w:tc>
                <w:tcPr>
                  <w:tcW w:w="380" w:type="pct"/>
                  <w:tcBorders>
                    <w:tl2br w:val="nil"/>
                    <w:tr2bl w:val="nil"/>
                  </w:tcBorders>
                  <w:noWrap w:val="0"/>
                  <w:vAlign w:val="center"/>
                </w:tcPr>
                <w:p w14:paraId="76436C0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70BC5EE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1170D69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58BFAB3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超标</w:t>
                  </w:r>
                </w:p>
              </w:tc>
              <w:tc>
                <w:tcPr>
                  <w:tcW w:w="380" w:type="pct"/>
                  <w:tcBorders>
                    <w:tl2br w:val="nil"/>
                    <w:tr2bl w:val="nil"/>
                  </w:tcBorders>
                  <w:noWrap w:val="0"/>
                  <w:vAlign w:val="center"/>
                </w:tcPr>
                <w:p w14:paraId="573A652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416BCF8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0" w:type="pct"/>
                  <w:tcBorders>
                    <w:tl2br w:val="nil"/>
                    <w:tr2bl w:val="nil"/>
                  </w:tcBorders>
                  <w:noWrap w:val="0"/>
                  <w:vAlign w:val="center"/>
                </w:tcPr>
                <w:p w14:paraId="06C6493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
                    </w:rPr>
                    <w:t>/</w:t>
                  </w:r>
                </w:p>
              </w:tc>
              <w:tc>
                <w:tcPr>
                  <w:tcW w:w="380" w:type="pct"/>
                  <w:tcBorders>
                    <w:tl2br w:val="nil"/>
                    <w:tr2bl w:val="nil"/>
                  </w:tcBorders>
                  <w:noWrap w:val="0"/>
                  <w:vAlign w:val="center"/>
                </w:tcPr>
                <w:p w14:paraId="30F58EE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384" w:type="pct"/>
                  <w:tcBorders>
                    <w:tl2br w:val="nil"/>
                    <w:tr2bl w:val="nil"/>
                  </w:tcBorders>
                  <w:noWrap w:val="0"/>
                  <w:vAlign w:val="center"/>
                </w:tcPr>
                <w:p w14:paraId="378CB54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c>
                <w:tcPr>
                  <w:tcW w:w="480" w:type="pct"/>
                  <w:tcBorders>
                    <w:tl2br w:val="nil"/>
                    <w:tr2bl w:val="nil"/>
                  </w:tcBorders>
                  <w:noWrap w:val="0"/>
                  <w:vAlign w:val="center"/>
                </w:tcPr>
                <w:p w14:paraId="3BB46C6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i w:val="0"/>
                      <w:iCs w:val="0"/>
                      <w:color w:val="auto"/>
                      <w:kern w:val="2"/>
                      <w:sz w:val="21"/>
                      <w:szCs w:val="21"/>
                      <w:u w:val="none"/>
                      <w:lang w:val="en-US" w:eastAsia="zh-CN" w:bidi="ar-SA"/>
                    </w:rPr>
                  </w:pPr>
                  <w:r>
                    <w:rPr>
                      <w:rStyle w:val="72"/>
                      <w:color w:val="auto"/>
                      <w:sz w:val="21"/>
                      <w:szCs w:val="21"/>
                      <w:lang w:val="en-US" w:eastAsia="zh-CN" w:bidi="ar"/>
                    </w:rPr>
                    <w:t>达标</w:t>
                  </w:r>
                </w:p>
              </w:tc>
            </w:tr>
          </w:tbl>
          <w:p w14:paraId="170DDD2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从上表可看出，地表水运粮河在监测期间各监测断面上各监测因子除BOD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外，pH、COD、氨氮、总磷、高锰酸盐指数、石油类、粪大肠菌群监测值均满足《地表水环境质量标准》（GB3838-2002）IV类水标准要求。BOD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最大超标倍数为0.48，可能是由于境内生活、农业等的面源污染无序排放，部分河道长时间未清淤导致水污染。目前宿州市已开展运粮河人工湿地水质净化等工作，</w:t>
            </w:r>
            <w:r>
              <w:rPr>
                <w:rFonts w:hint="default" w:ascii="Times New Roman" w:hAnsi="Times New Roman" w:eastAsia="宋体" w:cs="Times New Roman"/>
                <w:color w:val="auto"/>
                <w:sz w:val="24"/>
                <w:szCs w:val="32"/>
              </w:rPr>
              <w:t>各项水污染防治措施实施后，运</w:t>
            </w:r>
            <w:r>
              <w:rPr>
                <w:rFonts w:hint="default" w:ascii="Times New Roman" w:hAnsi="Times New Roman" w:eastAsia="宋体" w:cs="Times New Roman"/>
                <w:color w:val="auto"/>
                <w:sz w:val="24"/>
                <w:szCs w:val="32"/>
                <w:highlight w:val="none"/>
              </w:rPr>
              <w:t>粮河水环境质量将得到有效改善。</w:t>
            </w:r>
          </w:p>
          <w:p w14:paraId="3BB124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由上表可知，</w:t>
            </w:r>
            <w:r>
              <w:rPr>
                <w:rFonts w:hint="eastAsia"/>
                <w:color w:val="auto"/>
                <w:sz w:val="24"/>
                <w:szCs w:val="24"/>
              </w:rPr>
              <w:t>运粮河</w:t>
            </w:r>
            <w:r>
              <w:rPr>
                <w:color w:val="auto"/>
                <w:sz w:val="24"/>
                <w:szCs w:val="24"/>
              </w:rPr>
              <w:t>各监测断面水质监测因子均满足《地表水环境质量标准》（GB3838-2002）中的Ⅳ类水质标准要求。</w:t>
            </w:r>
          </w:p>
          <w:p w14:paraId="79DE22AA">
            <w:pPr>
              <w:spacing w:line="360" w:lineRule="auto"/>
              <w:ind w:firstLine="482" w:firstLineChars="200"/>
              <w:rPr>
                <w:highlight w:val="none"/>
              </w:rPr>
            </w:pPr>
            <w:r>
              <w:rPr>
                <w:b/>
                <w:bCs/>
                <w:sz w:val="24"/>
                <w:szCs w:val="32"/>
                <w:highlight w:val="none"/>
              </w:rPr>
              <w:t>3、声环境质量状况</w:t>
            </w:r>
          </w:p>
          <w:p w14:paraId="1D6DC28C">
            <w:pPr>
              <w:spacing w:line="360" w:lineRule="auto"/>
              <w:ind w:firstLine="480" w:firstLineChars="200"/>
              <w:rPr>
                <w:rFonts w:hint="eastAsia"/>
                <w:color w:val="auto"/>
                <w:kern w:val="1"/>
                <w:sz w:val="24"/>
                <w:lang w:val="en-US" w:eastAsia="zh-CN"/>
              </w:rPr>
            </w:pPr>
            <w:r>
              <w:rPr>
                <w:rFonts w:hint="eastAsia"/>
                <w:color w:val="auto"/>
                <w:kern w:val="1"/>
                <w:sz w:val="24"/>
              </w:rPr>
              <w:t>根据《建设项目环境影响报告表编制技术指南（污染影响类）》，厂界外周边50m范围内存在声环境保护目标的建设项目，应监测保护目标声环境质量现状并评价达标情况。</w:t>
            </w:r>
            <w:r>
              <w:rPr>
                <w:rFonts w:hint="eastAsia"/>
                <w:color w:val="auto"/>
                <w:kern w:val="1"/>
                <w:sz w:val="24"/>
                <w:lang w:eastAsia="zh-CN"/>
              </w:rPr>
              <w:t>根据现场勘查，本项目最近声环境保护目标为西侧5 m的汪寨村（N1）及西北侧20 m的桃园矿工人村（N2），属</w:t>
            </w:r>
            <w:r>
              <w:rPr>
                <w:rFonts w:hint="eastAsia"/>
                <w:color w:val="auto"/>
                <w:kern w:val="1"/>
                <w:sz w:val="24"/>
                <w:lang w:val="en-US" w:eastAsia="zh-CN"/>
              </w:rPr>
              <w:t>于</w:t>
            </w:r>
            <w:r>
              <w:rPr>
                <w:rFonts w:hint="eastAsia"/>
                <w:color w:val="auto"/>
                <w:kern w:val="1"/>
                <w:sz w:val="24"/>
                <w:lang w:eastAsia="zh-CN"/>
              </w:rPr>
              <w:t>敏感保护对象。</w:t>
            </w:r>
          </w:p>
          <w:p w14:paraId="131864A1">
            <w:pPr>
              <w:spacing w:line="360" w:lineRule="auto"/>
              <w:ind w:firstLine="480" w:firstLineChars="200"/>
              <w:rPr>
                <w:rFonts w:hint="eastAsia"/>
                <w:color w:val="auto"/>
                <w:kern w:val="1"/>
                <w:sz w:val="24"/>
                <w:lang w:val="en-US" w:eastAsia="zh-CN"/>
              </w:rPr>
            </w:pPr>
            <w:r>
              <w:rPr>
                <w:rFonts w:hint="eastAsia"/>
                <w:color w:val="auto"/>
                <w:kern w:val="1"/>
                <w:sz w:val="24"/>
                <w:lang w:val="en-US" w:eastAsia="zh-CN"/>
              </w:rPr>
              <w:t>安徽峰态检测科技有限公司于2025年8月20日（昼间天气晴，风速2.1 m/s）对上述两处敏感点进行了噪声现状监测，监测结果见表3-8。</w:t>
            </w:r>
          </w:p>
          <w:p w14:paraId="6950535D">
            <w:pPr>
              <w:widowControl/>
              <w:numPr>
                <w:ilvl w:val="0"/>
                <w:numId w:val="12"/>
              </w:numPr>
              <w:spacing w:line="360" w:lineRule="auto"/>
              <w:ind w:left="0" w:leftChars="0" w:firstLine="0" w:firstLineChars="0"/>
              <w:jc w:val="center"/>
              <w:rPr>
                <w:rFonts w:hint="eastAsia"/>
                <w:b/>
                <w:bCs/>
                <w:color w:val="auto"/>
                <w:kern w:val="1"/>
                <w:sz w:val="24"/>
                <w:lang w:val="en-US" w:eastAsia="zh-CN"/>
              </w:rPr>
            </w:pPr>
            <w:r>
              <w:rPr>
                <w:rFonts w:hint="eastAsia" w:ascii="宋体" w:hAnsi="宋体" w:eastAsia="宋体" w:cs="宋体"/>
                <w:sz w:val="24"/>
                <w:szCs w:val="24"/>
                <w:lang w:val="en-US" w:eastAsia="zh-CN"/>
              </w:rPr>
              <w:t xml:space="preserve"> </w:t>
            </w:r>
            <w:r>
              <w:rPr>
                <w:rFonts w:ascii="Times New Roman" w:hAnsi="Times New Roman" w:cs="Times New Roman"/>
                <w:b/>
                <w:bCs/>
                <w:sz w:val="24"/>
                <w:szCs w:val="24"/>
              </w:rPr>
              <w:t>噪声检测结果</w:t>
            </w:r>
            <w:r>
              <w:rPr>
                <w:rFonts w:hint="eastAsia" w:ascii="宋体" w:hAnsi="宋体" w:eastAsia="宋体" w:cs="宋体"/>
                <w:b/>
                <w:bCs/>
                <w:sz w:val="24"/>
                <w:szCs w:val="24"/>
                <w:lang w:val="en-US" w:eastAsia="zh-CN"/>
              </w:rPr>
              <w:t xml:space="preserve">  </w:t>
            </w:r>
            <w:r>
              <w:rPr>
                <w:rFonts w:ascii="Times New Roman" w:hAnsi="Times New Roman"/>
                <w:b/>
                <w:bCs/>
                <w:sz w:val="24"/>
                <w:szCs w:val="24"/>
              </w:rPr>
              <w:t>单位：dB</w:t>
            </w:r>
            <w:r>
              <w:rPr>
                <w:rFonts w:ascii="Times New Roman" w:hAnsi="宋体"/>
                <w:b/>
                <w:bCs/>
                <w:sz w:val="24"/>
                <w:szCs w:val="24"/>
              </w:rPr>
              <w:t>（</w:t>
            </w:r>
            <w:r>
              <w:rPr>
                <w:rFonts w:ascii="Times New Roman" w:hAnsi="Times New Roman"/>
                <w:b/>
                <w:bCs/>
                <w:sz w:val="24"/>
                <w:szCs w:val="24"/>
              </w:rPr>
              <w:t>A</w:t>
            </w:r>
            <w:r>
              <w:rPr>
                <w:rFonts w:ascii="Times New Roman" w:hAnsi="宋体"/>
                <w:b/>
                <w:bCs/>
                <w:sz w:val="24"/>
                <w:szCs w:val="24"/>
              </w:rPr>
              <w:t>）</w:t>
            </w:r>
          </w:p>
          <w:tbl>
            <w:tblPr>
              <w:tblStyle w:val="35"/>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1"/>
              <w:gridCol w:w="2047"/>
              <w:gridCol w:w="3255"/>
            </w:tblGrid>
            <w:tr w14:paraId="2E5C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501" w:type="dxa"/>
                  <w:vMerge w:val="restart"/>
                  <w:vAlign w:val="center"/>
                </w:tcPr>
                <w:p w14:paraId="74A6C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检测点位</w:t>
                  </w:r>
                </w:p>
              </w:tc>
              <w:tc>
                <w:tcPr>
                  <w:tcW w:w="5302" w:type="dxa"/>
                  <w:gridSpan w:val="2"/>
                  <w:vAlign w:val="top"/>
                </w:tcPr>
                <w:p w14:paraId="634A9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检测结果</w:t>
                  </w:r>
                </w:p>
              </w:tc>
            </w:tr>
            <w:tr w14:paraId="1A48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vMerge w:val="continue"/>
                  <w:vAlign w:val="top"/>
                </w:tcPr>
                <w:p w14:paraId="7E405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p>
              </w:tc>
              <w:tc>
                <w:tcPr>
                  <w:tcW w:w="5302" w:type="dxa"/>
                  <w:gridSpan w:val="2"/>
                  <w:vAlign w:val="top"/>
                </w:tcPr>
                <w:p w14:paraId="06490B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昼间</w:t>
                  </w:r>
                </w:p>
              </w:tc>
            </w:tr>
            <w:tr w14:paraId="226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vMerge w:val="continue"/>
                  <w:vAlign w:val="top"/>
                </w:tcPr>
                <w:p w14:paraId="1F65D6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p>
              </w:tc>
              <w:tc>
                <w:tcPr>
                  <w:tcW w:w="2047" w:type="dxa"/>
                  <w:vAlign w:val="top"/>
                </w:tcPr>
                <w:p w14:paraId="63E98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时间</w:t>
                  </w:r>
                </w:p>
              </w:tc>
              <w:tc>
                <w:tcPr>
                  <w:tcW w:w="3255" w:type="dxa"/>
                  <w:vAlign w:val="top"/>
                </w:tcPr>
                <w:p w14:paraId="07BCE7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测量值</w:t>
                  </w:r>
                </w:p>
              </w:tc>
            </w:tr>
            <w:tr w14:paraId="1372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shd w:val="clear" w:color="auto" w:fill="auto"/>
                  <w:vAlign w:val="top"/>
                </w:tcPr>
                <w:p w14:paraId="667846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1"/>
                      <w:sz w:val="21"/>
                      <w:szCs w:val="21"/>
                      <w:vertAlign w:val="baseline"/>
                      <w:lang w:val="en-US" w:eastAsia="zh-CN" w:bidi="ar-SA"/>
                    </w:rPr>
                  </w:pPr>
                  <w:r>
                    <w:rPr>
                      <w:rFonts w:hint="eastAsia"/>
                      <w:color w:val="auto"/>
                      <w:kern w:val="1"/>
                      <w:sz w:val="21"/>
                      <w:szCs w:val="21"/>
                      <w:vertAlign w:val="baseline"/>
                      <w:lang w:val="en-US" w:eastAsia="zh-CN"/>
                    </w:rPr>
                    <w:t>汪家寨N1</w:t>
                  </w:r>
                </w:p>
              </w:tc>
              <w:tc>
                <w:tcPr>
                  <w:tcW w:w="2047" w:type="dxa"/>
                  <w:vAlign w:val="top"/>
                </w:tcPr>
                <w:p w14:paraId="65BC4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default"/>
                      <w:color w:val="auto"/>
                      <w:kern w:val="1"/>
                      <w:sz w:val="21"/>
                      <w:szCs w:val="21"/>
                      <w:vertAlign w:val="baseline"/>
                      <w:lang w:val="en-US" w:eastAsia="zh-CN"/>
                    </w:rPr>
                    <w:t>15:27-15:37</w:t>
                  </w:r>
                </w:p>
              </w:tc>
              <w:tc>
                <w:tcPr>
                  <w:tcW w:w="3255" w:type="dxa"/>
                  <w:vAlign w:val="top"/>
                </w:tcPr>
                <w:p w14:paraId="56CF3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40.2</w:t>
                  </w:r>
                </w:p>
              </w:tc>
            </w:tr>
            <w:tr w14:paraId="1837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01" w:type="dxa"/>
                  <w:shd w:val="clear" w:color="auto" w:fill="auto"/>
                  <w:vAlign w:val="top"/>
                </w:tcPr>
                <w:p w14:paraId="00384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1"/>
                      <w:sz w:val="21"/>
                      <w:szCs w:val="21"/>
                      <w:vertAlign w:val="baseline"/>
                      <w:lang w:val="en-US" w:eastAsia="zh-CN" w:bidi="ar-SA"/>
                    </w:rPr>
                  </w:pPr>
                  <w:r>
                    <w:rPr>
                      <w:rFonts w:hint="eastAsia"/>
                      <w:color w:val="auto"/>
                      <w:kern w:val="1"/>
                      <w:sz w:val="21"/>
                      <w:szCs w:val="21"/>
                      <w:vertAlign w:val="baseline"/>
                      <w:lang w:val="en-US" w:eastAsia="zh-CN"/>
                    </w:rPr>
                    <w:t>桃园矿工人村N2</w:t>
                  </w:r>
                </w:p>
              </w:tc>
              <w:tc>
                <w:tcPr>
                  <w:tcW w:w="2047" w:type="dxa"/>
                  <w:vAlign w:val="top"/>
                </w:tcPr>
                <w:p w14:paraId="127FE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default"/>
                      <w:color w:val="auto"/>
                      <w:kern w:val="1"/>
                      <w:sz w:val="21"/>
                      <w:szCs w:val="21"/>
                      <w:vertAlign w:val="baseline"/>
                      <w:lang w:val="en-US" w:eastAsia="zh-CN"/>
                    </w:rPr>
                    <w:t>15:13-15:23</w:t>
                  </w:r>
                </w:p>
              </w:tc>
              <w:tc>
                <w:tcPr>
                  <w:tcW w:w="3255" w:type="dxa"/>
                  <w:vAlign w:val="top"/>
                </w:tcPr>
                <w:p w14:paraId="0CCDA3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42</w:t>
                  </w:r>
                </w:p>
              </w:tc>
            </w:tr>
            <w:tr w14:paraId="4F07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shd w:val="clear" w:color="auto" w:fill="auto"/>
                  <w:vAlign w:val="top"/>
                </w:tcPr>
                <w:p w14:paraId="62D3C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备注</w:t>
                  </w:r>
                </w:p>
              </w:tc>
              <w:tc>
                <w:tcPr>
                  <w:tcW w:w="5302" w:type="dxa"/>
                  <w:gridSpan w:val="2"/>
                  <w:vAlign w:val="top"/>
                </w:tcPr>
                <w:p w14:paraId="292F3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1"/>
                      <w:sz w:val="21"/>
                      <w:szCs w:val="21"/>
                      <w:vertAlign w:val="baseline"/>
                      <w:lang w:val="en-US" w:eastAsia="zh-CN"/>
                    </w:rPr>
                  </w:pPr>
                  <w:r>
                    <w:rPr>
                      <w:rFonts w:hint="eastAsia"/>
                      <w:color w:val="auto"/>
                      <w:kern w:val="1"/>
                      <w:sz w:val="21"/>
                      <w:szCs w:val="21"/>
                      <w:vertAlign w:val="baseline"/>
                      <w:lang w:val="en-US" w:eastAsia="zh-CN"/>
                    </w:rPr>
                    <w:t>2025.8.20：昼间天气晴，风速2.1m/s</w:t>
                  </w:r>
                </w:p>
              </w:tc>
            </w:tr>
          </w:tbl>
          <w:p w14:paraId="14883C6B">
            <w:pPr>
              <w:widowControl/>
              <w:numPr>
                <w:ilvl w:val="0"/>
                <w:numId w:val="12"/>
              </w:numPr>
              <w:spacing w:line="360" w:lineRule="auto"/>
              <w:ind w:left="0" w:leftChars="0" w:firstLine="0" w:firstLineChars="0"/>
              <w:jc w:val="center"/>
              <w:rPr>
                <w:rFonts w:ascii="Times New Roman" w:hAnsi="Times New Roman" w:eastAsia="宋体" w:cs="Times New Roman"/>
                <w:b/>
                <w:sz w:val="24"/>
              </w:rPr>
            </w:pPr>
            <w:r>
              <w:rPr>
                <w:rFonts w:hint="eastAsia" w:ascii="宋体" w:hAnsi="宋体" w:eastAsia="宋体" w:cs="宋体"/>
                <w:sz w:val="24"/>
                <w:szCs w:val="24"/>
                <w:lang w:val="en-US" w:eastAsia="zh-CN"/>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lang w:val="en-US" w:eastAsia="zh-CN"/>
              </w:rPr>
              <w:t>声环境质量标准</w:t>
            </w:r>
            <w:r>
              <w:rPr>
                <w:rFonts w:ascii="Times New Roman" w:hAnsi="Times New Roman" w:eastAsia="宋体" w:cs="Times New Roman"/>
                <w:b/>
                <w:sz w:val="24"/>
              </w:rPr>
              <w:t xml:space="preserve">  单位：dB(A)</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0"/>
              <w:gridCol w:w="1260"/>
              <w:gridCol w:w="1800"/>
            </w:tblGrid>
            <w:tr w14:paraId="4FC0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23ABF046">
                  <w:pPr>
                    <w:jc w:val="center"/>
                    <w:rPr>
                      <w:rFonts w:ascii="Times New Roman" w:hAnsi="Times New Roman" w:eastAsia="宋体" w:cs="Times New Roman"/>
                      <w:kern w:val="0"/>
                      <w:szCs w:val="21"/>
                    </w:rPr>
                  </w:pPr>
                  <w:r>
                    <w:rPr>
                      <w:rFonts w:ascii="Times New Roman" w:hAnsi="Times New Roman" w:eastAsia="宋体" w:cs="Times New Roman"/>
                      <w:kern w:val="0"/>
                      <w:szCs w:val="21"/>
                    </w:rPr>
                    <w:t>类别</w:t>
                  </w:r>
                </w:p>
              </w:tc>
              <w:tc>
                <w:tcPr>
                  <w:tcW w:w="714" w:type="pct"/>
                  <w:vAlign w:val="center"/>
                </w:tcPr>
                <w:p w14:paraId="7AD4DBD1">
                  <w:pPr>
                    <w:jc w:val="center"/>
                    <w:rPr>
                      <w:rFonts w:ascii="Times New Roman" w:hAnsi="Times New Roman" w:eastAsia="宋体" w:cs="Times New Roman"/>
                      <w:kern w:val="0"/>
                      <w:szCs w:val="21"/>
                    </w:rPr>
                  </w:pPr>
                  <w:r>
                    <w:rPr>
                      <w:rFonts w:ascii="Times New Roman" w:hAnsi="Times New Roman" w:eastAsia="宋体" w:cs="Times New Roman"/>
                      <w:kern w:val="0"/>
                      <w:szCs w:val="21"/>
                    </w:rPr>
                    <w:t>昼  间</w:t>
                  </w:r>
                </w:p>
              </w:tc>
              <w:tc>
                <w:tcPr>
                  <w:tcW w:w="1020" w:type="pct"/>
                  <w:vAlign w:val="center"/>
                </w:tcPr>
                <w:p w14:paraId="14A893B6">
                  <w:pPr>
                    <w:jc w:val="center"/>
                    <w:rPr>
                      <w:rFonts w:ascii="Times New Roman" w:hAnsi="Times New Roman" w:eastAsia="宋体" w:cs="Times New Roman"/>
                      <w:kern w:val="0"/>
                      <w:szCs w:val="21"/>
                    </w:rPr>
                  </w:pPr>
                  <w:r>
                    <w:rPr>
                      <w:rFonts w:ascii="Times New Roman" w:hAnsi="Times New Roman" w:eastAsia="宋体" w:cs="Times New Roman"/>
                      <w:kern w:val="0"/>
                      <w:szCs w:val="21"/>
                    </w:rPr>
                    <w:t>夜  间</w:t>
                  </w:r>
                </w:p>
              </w:tc>
            </w:tr>
            <w:tr w14:paraId="6CD1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0C07D9B6">
                  <w:pPr>
                    <w:widowControl/>
                    <w:jc w:val="center"/>
                    <w:rPr>
                      <w:rFonts w:ascii="Times New Roman" w:hAnsi="Times New Roman" w:eastAsia="宋体" w:cs="Times New Roman"/>
                      <w:kern w:val="0"/>
                      <w:szCs w:val="21"/>
                    </w:rPr>
                  </w:pPr>
                  <w:bookmarkStart w:id="6" w:name="_Hlk206083296"/>
                  <w:r>
                    <w:rPr>
                      <w:rFonts w:ascii="Times New Roman" w:hAnsi="Times New Roman" w:eastAsia="宋体" w:cs="Times New Roman"/>
                      <w:szCs w:val="21"/>
                    </w:rPr>
                    <w:t>《声</w:t>
                  </w:r>
                  <w:r>
                    <w:rPr>
                      <w:rFonts w:hint="eastAsia" w:ascii="Times New Roman" w:hAnsi="Times New Roman" w:eastAsia="宋体" w:cs="Times New Roman"/>
                      <w:szCs w:val="21"/>
                    </w:rPr>
                    <w:t>环境质量标准</w:t>
                  </w:r>
                  <w:r>
                    <w:rPr>
                      <w:rFonts w:ascii="Times New Roman" w:hAnsi="Times New Roman" w:eastAsia="宋体" w:cs="Times New Roman"/>
                      <w:szCs w:val="21"/>
                    </w:rPr>
                    <w:t>》（GB</w:t>
                  </w:r>
                  <w:r>
                    <w:rPr>
                      <w:rFonts w:hint="eastAsia" w:ascii="Times New Roman" w:hAnsi="Times New Roman" w:eastAsia="宋体" w:cs="Times New Roman"/>
                      <w:szCs w:val="21"/>
                    </w:rPr>
                    <w:t>3096</w:t>
                  </w:r>
                  <w:r>
                    <w:rPr>
                      <w:rFonts w:ascii="Times New Roman" w:hAnsi="Times New Roman" w:eastAsia="宋体" w:cs="Times New Roman"/>
                      <w:szCs w:val="21"/>
                    </w:rPr>
                    <w:t>-2008）</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类</w:t>
                  </w:r>
                  <w:bookmarkEnd w:id="6"/>
                </w:p>
              </w:tc>
              <w:tc>
                <w:tcPr>
                  <w:tcW w:w="714" w:type="pct"/>
                  <w:vAlign w:val="center"/>
                </w:tcPr>
                <w:p w14:paraId="630FFFF1">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0</w:t>
                  </w:r>
                </w:p>
              </w:tc>
              <w:tc>
                <w:tcPr>
                  <w:tcW w:w="1020" w:type="pct"/>
                  <w:vAlign w:val="center"/>
                </w:tcPr>
                <w:p w14:paraId="62388DF2">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0</w:t>
                  </w:r>
                </w:p>
              </w:tc>
            </w:tr>
          </w:tbl>
          <w:p w14:paraId="710C82E2">
            <w:pPr>
              <w:spacing w:line="360" w:lineRule="auto"/>
              <w:ind w:firstLine="480" w:firstLineChars="200"/>
              <w:rPr>
                <w:rFonts w:hint="default"/>
                <w:color w:val="auto"/>
                <w:kern w:val="1"/>
                <w:sz w:val="24"/>
                <w:lang w:val="en-US" w:eastAsia="zh-CN"/>
              </w:rPr>
            </w:pPr>
            <w:r>
              <w:rPr>
                <w:rFonts w:hint="eastAsia"/>
                <w:color w:val="auto"/>
                <w:kern w:val="1"/>
                <w:sz w:val="24"/>
                <w:lang w:val="en-US" w:eastAsia="zh-CN"/>
              </w:rPr>
              <w:t>监测结果表明，汪寨村（N1）昼间噪声值为40.2 dB，桃园矿工人村（N2）昼间噪声值为42.0 dB，满足《声环境质量标准》（GB3096-2008）2类标准要求。因此，项目周边敏感点当前声环境质量状况良好，满足2类声环境功能区标准要求。</w:t>
            </w:r>
          </w:p>
          <w:p w14:paraId="5B9E226A">
            <w:pPr>
              <w:spacing w:line="360" w:lineRule="auto"/>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4、地下水环境质量状况</w:t>
            </w:r>
          </w:p>
          <w:p w14:paraId="1EFA2786">
            <w:pPr>
              <w:spacing w:line="360" w:lineRule="auto"/>
              <w:ind w:firstLine="480" w:firstLineChars="200"/>
              <w:rPr>
                <w:rFonts w:hint="default" w:ascii="Times New Roman" w:hAnsi="Times New Roman" w:cs="Times New Roman"/>
                <w:kern w:val="0"/>
                <w:sz w:val="24"/>
                <w:szCs w:val="24"/>
              </w:rPr>
            </w:pPr>
            <w:r>
              <w:rPr>
                <w:rFonts w:hint="default" w:ascii="Times New Roman" w:hAnsi="Times New Roman" w:cs="Times New Roman"/>
                <w:sz w:val="24"/>
                <w:szCs w:val="24"/>
              </w:rPr>
              <w:t>项目厂界外500m范围内无地下水集中式饮用水水源和热水、矿泉水、温泉等特殊地下水资源</w:t>
            </w:r>
            <w:r>
              <w:rPr>
                <w:rFonts w:hint="default" w:ascii="Times New Roman" w:hAnsi="Times New Roman" w:cs="Times New Roman"/>
                <w:kern w:val="0"/>
                <w:sz w:val="24"/>
                <w:szCs w:val="24"/>
              </w:rPr>
              <w:t>。</w:t>
            </w:r>
          </w:p>
          <w:p w14:paraId="3B666E03">
            <w:pPr>
              <w:spacing w:line="360" w:lineRule="auto"/>
              <w:ind w:firstLine="482" w:firstLineChars="200"/>
              <w:rPr>
                <w:rFonts w:hint="default" w:ascii="Times New Roman" w:hAnsi="Times New Roman" w:cs="Times New Roman"/>
                <w:b/>
                <w:bCs/>
                <w:sz w:val="24"/>
                <w:szCs w:val="32"/>
              </w:rPr>
            </w:pPr>
            <w:r>
              <w:rPr>
                <w:rFonts w:hint="default" w:ascii="Times New Roman" w:hAnsi="Times New Roman" w:cs="Times New Roman"/>
                <w:b/>
                <w:bCs/>
                <w:sz w:val="24"/>
                <w:szCs w:val="32"/>
              </w:rPr>
              <w:t>5、</w:t>
            </w:r>
            <w:r>
              <w:rPr>
                <w:rFonts w:hint="default" w:ascii="Times New Roman" w:hAnsi="Times New Roman" w:cs="Times New Roman"/>
                <w:b/>
                <w:bCs/>
                <w:sz w:val="24"/>
              </w:rPr>
              <w:t>生态环境</w:t>
            </w:r>
          </w:p>
          <w:p w14:paraId="39A178BE">
            <w:pPr>
              <w:pStyle w:val="54"/>
              <w:spacing w:line="360" w:lineRule="auto"/>
              <w:ind w:firstLine="480" w:firstLineChars="200"/>
              <w:rPr>
                <w:rFonts w:hint="eastAsia"/>
                <w:kern w:val="0"/>
                <w:szCs w:val="21"/>
              </w:rPr>
            </w:pPr>
            <w:r>
              <w:rPr>
                <w:rFonts w:hint="default" w:ascii="Times New Roman" w:hAnsi="Times New Roman" w:cs="Times New Roman"/>
              </w:rPr>
              <w:t>项目选址位于</w:t>
            </w:r>
            <w:r>
              <w:rPr>
                <w:rFonts w:hint="eastAsia"/>
                <w:sz w:val="24"/>
                <w:lang w:val="en-US" w:eastAsia="zh-CN"/>
              </w:rPr>
              <w:t>安徽省宿州市桃园镇桃园村寨东组进矿路北侧</w:t>
            </w:r>
            <w:r>
              <w:rPr>
                <w:rFonts w:hint="default" w:ascii="Times New Roman" w:hAnsi="Times New Roman" w:cs="Times New Roman"/>
              </w:rPr>
              <w:t>，项目用地范围内无生态环境保护目标</w:t>
            </w:r>
            <w:r>
              <w:rPr>
                <w:rFonts w:hint="default" w:ascii="Times New Roman" w:hAnsi="Times New Roman" w:cs="Times New Roman"/>
                <w:color w:val="auto"/>
              </w:rPr>
              <w:t>。</w:t>
            </w:r>
          </w:p>
        </w:tc>
      </w:tr>
      <w:tr w14:paraId="53F3D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681" w:type="dxa"/>
            <w:noWrap w:val="0"/>
            <w:vAlign w:val="center"/>
          </w:tcPr>
          <w:p w14:paraId="31B60F05">
            <w:pPr>
              <w:adjustRightInd w:val="0"/>
              <w:snapToGrid w:val="0"/>
              <w:jc w:val="center"/>
              <w:rPr>
                <w:b/>
                <w:kern w:val="0"/>
                <w:szCs w:val="21"/>
              </w:rPr>
            </w:pPr>
            <w:r>
              <w:rPr>
                <w:b/>
                <w:kern w:val="0"/>
                <w:szCs w:val="21"/>
              </w:rPr>
              <w:t>环境</w:t>
            </w:r>
          </w:p>
          <w:p w14:paraId="3907D37E">
            <w:pPr>
              <w:adjustRightInd w:val="0"/>
              <w:snapToGrid w:val="0"/>
              <w:jc w:val="center"/>
              <w:rPr>
                <w:b/>
                <w:kern w:val="0"/>
                <w:szCs w:val="21"/>
              </w:rPr>
            </w:pPr>
            <w:r>
              <w:rPr>
                <w:b/>
                <w:kern w:val="0"/>
                <w:szCs w:val="21"/>
              </w:rPr>
              <w:t>保护</w:t>
            </w:r>
          </w:p>
          <w:p w14:paraId="762A25C4">
            <w:pPr>
              <w:adjustRightInd w:val="0"/>
              <w:snapToGrid w:val="0"/>
              <w:jc w:val="center"/>
              <w:rPr>
                <w:kern w:val="0"/>
                <w:szCs w:val="21"/>
              </w:rPr>
            </w:pPr>
            <w:r>
              <w:rPr>
                <w:b/>
                <w:kern w:val="0"/>
                <w:szCs w:val="21"/>
              </w:rPr>
              <w:t>目标</w:t>
            </w:r>
          </w:p>
        </w:tc>
        <w:tc>
          <w:tcPr>
            <w:tcW w:w="9051" w:type="dxa"/>
            <w:noWrap w:val="0"/>
            <w:vAlign w:val="top"/>
          </w:tcPr>
          <w:p w14:paraId="67D31617">
            <w:pPr>
              <w:spacing w:line="360" w:lineRule="auto"/>
              <w:ind w:firstLine="480" w:firstLineChars="200"/>
              <w:jc w:val="left"/>
              <w:rPr>
                <w:rFonts w:hint="eastAsia"/>
                <w:sz w:val="24"/>
                <w:lang w:eastAsia="zh-CN"/>
              </w:rPr>
            </w:pPr>
            <w:r>
              <w:rPr>
                <w:sz w:val="24"/>
              </w:rPr>
              <w:t>本项目位于</w:t>
            </w:r>
            <w:r>
              <w:rPr>
                <w:rFonts w:hint="eastAsia"/>
                <w:sz w:val="24"/>
                <w:lang w:val="en-US" w:eastAsia="zh-CN"/>
              </w:rPr>
              <w:t>安徽省宿州市桃园镇桃园村寨东组进矿路北侧</w:t>
            </w:r>
            <w:r>
              <w:rPr>
                <w:sz w:val="24"/>
              </w:rPr>
              <w:t>，项目区周边无其它自然保护区、风景旅游点和文物古迹等需要特殊保护的环境敏感对象。总体上不因本项目的实施而改变区域环境现有功能，具体环境保护</w:t>
            </w:r>
            <w:r>
              <w:rPr>
                <w:rFonts w:hint="eastAsia"/>
                <w:sz w:val="24"/>
              </w:rPr>
              <w:t>目标</w:t>
            </w:r>
            <w:r>
              <w:rPr>
                <w:sz w:val="24"/>
              </w:rPr>
              <w:t>见下表</w:t>
            </w:r>
            <w:r>
              <w:rPr>
                <w:rFonts w:hint="eastAsia"/>
                <w:sz w:val="24"/>
                <w:lang w:eastAsia="zh-CN"/>
              </w:rPr>
              <w:t>：</w:t>
            </w:r>
          </w:p>
          <w:p w14:paraId="03164371">
            <w:pPr>
              <w:pStyle w:val="54"/>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szCs w:val="32"/>
              </w:rPr>
              <w:t>（1）保护项目区500m范围环境空气质量达到《环境空气质量标准》（GB3095-2012）二级标准要求。</w:t>
            </w:r>
          </w:p>
          <w:p w14:paraId="3D01ADE1">
            <w:pPr>
              <w:pStyle w:val="54"/>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szCs w:val="32"/>
              </w:rPr>
              <w:t>（2）保护地表水体运粮河</w:t>
            </w:r>
            <w:r>
              <w:rPr>
                <w:rFonts w:hint="eastAsia" w:ascii="Times New Roman" w:hAnsi="Times New Roman" w:cs="Times New Roman"/>
                <w:color w:val="auto"/>
                <w:sz w:val="24"/>
                <w:szCs w:val="32"/>
                <w:lang w:eastAsia="zh-CN"/>
              </w:rPr>
              <w:t>、</w:t>
            </w:r>
            <w:r>
              <w:rPr>
                <w:rFonts w:hint="eastAsia" w:ascii="Times New Roman" w:hAnsi="Times New Roman" w:cs="Times New Roman"/>
                <w:color w:val="auto"/>
                <w:sz w:val="24"/>
                <w:szCs w:val="32"/>
                <w:lang w:val="en-US" w:eastAsia="zh-CN"/>
              </w:rPr>
              <w:t>二沟</w:t>
            </w:r>
            <w:r>
              <w:rPr>
                <w:rFonts w:ascii="Times New Roman" w:hAnsi="Times New Roman" w:cs="Times New Roman"/>
                <w:color w:val="auto"/>
                <w:sz w:val="24"/>
                <w:szCs w:val="32"/>
              </w:rPr>
              <w:t>水质达到《地表水环境质量标准》（GB3838-2002）中Ⅳ类水质标准要求。</w:t>
            </w:r>
          </w:p>
          <w:p w14:paraId="05E0FA32">
            <w:pPr>
              <w:pStyle w:val="54"/>
              <w:spacing w:line="360" w:lineRule="auto"/>
              <w:ind w:firstLine="480" w:firstLineChars="200"/>
              <w:rPr>
                <w:rFonts w:hint="eastAsia"/>
                <w:lang w:eastAsia="zh-CN"/>
              </w:rPr>
            </w:pPr>
            <w:r>
              <w:rPr>
                <w:rFonts w:ascii="Times New Roman" w:hAnsi="Times New Roman" w:cs="Times New Roman"/>
                <w:color w:val="auto"/>
                <w:sz w:val="24"/>
                <w:szCs w:val="32"/>
              </w:rPr>
              <w:t>（3）保护项目区厂界50m范围声环境达到《声环境质量标准》（GB3096-2008）中</w:t>
            </w:r>
            <w:r>
              <w:rPr>
                <w:rFonts w:hint="eastAsia" w:ascii="Times New Roman" w:hAnsi="Times New Roman" w:cs="Times New Roman"/>
                <w:color w:val="auto"/>
                <w:sz w:val="24"/>
                <w:szCs w:val="32"/>
                <w:lang w:val="en-US" w:eastAsia="zh-CN"/>
              </w:rPr>
              <w:t>2</w:t>
            </w:r>
            <w:r>
              <w:rPr>
                <w:rFonts w:ascii="Times New Roman" w:hAnsi="Times New Roman" w:cs="Times New Roman"/>
                <w:color w:val="auto"/>
                <w:sz w:val="24"/>
                <w:szCs w:val="32"/>
              </w:rPr>
              <w:t>类标准要求。</w:t>
            </w:r>
          </w:p>
          <w:p w14:paraId="54B89ECD">
            <w:pPr>
              <w:numPr>
                <w:ilvl w:val="0"/>
                <w:numId w:val="12"/>
              </w:numPr>
              <w:tabs>
                <w:tab w:val="left" w:pos="420"/>
                <w:tab w:val="clear" w:pos="0"/>
              </w:tabs>
              <w:spacing w:line="360" w:lineRule="auto"/>
              <w:ind w:left="0" w:leftChars="0" w:firstLine="0" w:firstLineChars="0"/>
              <w:jc w:val="center"/>
              <w:rPr>
                <w:b/>
                <w:sz w:val="24"/>
                <w:szCs w:val="32"/>
              </w:rPr>
            </w:pPr>
            <w:r>
              <w:rPr>
                <w:b/>
                <w:sz w:val="24"/>
                <w:szCs w:val="32"/>
              </w:rPr>
              <w:t>环境保护目标及保护级别</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229"/>
              <w:gridCol w:w="696"/>
              <w:gridCol w:w="749"/>
              <w:gridCol w:w="928"/>
              <w:gridCol w:w="900"/>
              <w:gridCol w:w="1868"/>
              <w:gridCol w:w="791"/>
              <w:gridCol w:w="883"/>
            </w:tblGrid>
            <w:tr w14:paraId="47B3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442" w:type="pct"/>
                  <w:vMerge w:val="restart"/>
                  <w:noWrap w:val="0"/>
                  <w:vAlign w:val="center"/>
                </w:tcPr>
                <w:p w14:paraId="402DC13D">
                  <w:pPr>
                    <w:pStyle w:val="54"/>
                    <w:jc w:val="center"/>
                    <w:rPr>
                      <w:color w:val="auto"/>
                      <w:sz w:val="21"/>
                      <w:szCs w:val="21"/>
                    </w:rPr>
                  </w:pPr>
                  <w:r>
                    <w:rPr>
                      <w:rFonts w:hint="eastAsia"/>
                      <w:color w:val="auto"/>
                      <w:sz w:val="21"/>
                      <w:szCs w:val="21"/>
                    </w:rPr>
                    <w:t>环境要素</w:t>
                  </w:r>
                </w:p>
              </w:tc>
              <w:tc>
                <w:tcPr>
                  <w:tcW w:w="696" w:type="pct"/>
                  <w:vMerge w:val="restart"/>
                  <w:noWrap w:val="0"/>
                  <w:vAlign w:val="center"/>
                </w:tcPr>
                <w:p w14:paraId="29034C53">
                  <w:pPr>
                    <w:pStyle w:val="54"/>
                    <w:jc w:val="center"/>
                    <w:rPr>
                      <w:color w:val="auto"/>
                      <w:sz w:val="21"/>
                      <w:szCs w:val="21"/>
                    </w:rPr>
                  </w:pPr>
                  <w:r>
                    <w:rPr>
                      <w:color w:val="auto"/>
                      <w:sz w:val="21"/>
                      <w:szCs w:val="21"/>
                    </w:rPr>
                    <w:t>名称</w:t>
                  </w:r>
                </w:p>
              </w:tc>
              <w:tc>
                <w:tcPr>
                  <w:tcW w:w="818" w:type="pct"/>
                  <w:gridSpan w:val="2"/>
                  <w:noWrap w:val="0"/>
                  <w:vAlign w:val="center"/>
                </w:tcPr>
                <w:p w14:paraId="59A37979">
                  <w:pPr>
                    <w:pStyle w:val="54"/>
                    <w:jc w:val="center"/>
                    <w:rPr>
                      <w:color w:val="auto"/>
                      <w:sz w:val="21"/>
                      <w:szCs w:val="21"/>
                    </w:rPr>
                  </w:pPr>
                  <w:r>
                    <w:rPr>
                      <w:color w:val="auto"/>
                      <w:sz w:val="21"/>
                      <w:szCs w:val="21"/>
                    </w:rPr>
                    <w:t>坐标</w:t>
                  </w:r>
                </w:p>
              </w:tc>
              <w:tc>
                <w:tcPr>
                  <w:tcW w:w="525" w:type="pct"/>
                  <w:vMerge w:val="restart"/>
                  <w:noWrap w:val="0"/>
                  <w:vAlign w:val="center"/>
                </w:tcPr>
                <w:p w14:paraId="11CEC31E">
                  <w:pPr>
                    <w:pStyle w:val="54"/>
                    <w:jc w:val="center"/>
                    <w:rPr>
                      <w:color w:val="auto"/>
                      <w:sz w:val="21"/>
                      <w:szCs w:val="21"/>
                    </w:rPr>
                  </w:pPr>
                  <w:r>
                    <w:rPr>
                      <w:color w:val="auto"/>
                      <w:sz w:val="21"/>
                      <w:szCs w:val="21"/>
                    </w:rPr>
                    <w:t>保护对象</w:t>
                  </w:r>
                </w:p>
              </w:tc>
              <w:tc>
                <w:tcPr>
                  <w:tcW w:w="509" w:type="pct"/>
                  <w:vMerge w:val="restart"/>
                  <w:noWrap w:val="0"/>
                  <w:vAlign w:val="center"/>
                </w:tcPr>
                <w:p w14:paraId="77CD6DEB">
                  <w:pPr>
                    <w:pStyle w:val="54"/>
                    <w:jc w:val="center"/>
                    <w:rPr>
                      <w:color w:val="auto"/>
                      <w:sz w:val="21"/>
                      <w:szCs w:val="21"/>
                    </w:rPr>
                  </w:pPr>
                  <w:r>
                    <w:rPr>
                      <w:color w:val="auto"/>
                      <w:sz w:val="21"/>
                      <w:szCs w:val="21"/>
                    </w:rPr>
                    <w:t>保护内容</w:t>
                  </w:r>
                </w:p>
              </w:tc>
              <w:tc>
                <w:tcPr>
                  <w:tcW w:w="1058" w:type="pct"/>
                  <w:vMerge w:val="restart"/>
                  <w:noWrap w:val="0"/>
                  <w:vAlign w:val="center"/>
                </w:tcPr>
                <w:p w14:paraId="13633A9B">
                  <w:pPr>
                    <w:pStyle w:val="54"/>
                    <w:jc w:val="center"/>
                    <w:rPr>
                      <w:color w:val="auto"/>
                      <w:sz w:val="21"/>
                      <w:szCs w:val="21"/>
                    </w:rPr>
                  </w:pPr>
                  <w:r>
                    <w:rPr>
                      <w:color w:val="auto"/>
                      <w:sz w:val="21"/>
                      <w:szCs w:val="21"/>
                    </w:rPr>
                    <w:t>环境功能区</w:t>
                  </w:r>
                </w:p>
              </w:tc>
              <w:tc>
                <w:tcPr>
                  <w:tcW w:w="448" w:type="pct"/>
                  <w:vMerge w:val="restart"/>
                  <w:noWrap w:val="0"/>
                  <w:vAlign w:val="center"/>
                </w:tcPr>
                <w:p w14:paraId="6A229657">
                  <w:pPr>
                    <w:pStyle w:val="54"/>
                    <w:jc w:val="center"/>
                    <w:rPr>
                      <w:color w:val="auto"/>
                      <w:sz w:val="21"/>
                      <w:szCs w:val="21"/>
                    </w:rPr>
                  </w:pPr>
                  <w:r>
                    <w:rPr>
                      <w:color w:val="auto"/>
                      <w:sz w:val="21"/>
                      <w:szCs w:val="21"/>
                    </w:rPr>
                    <w:t>相对厂址方位</w:t>
                  </w:r>
                </w:p>
              </w:tc>
              <w:tc>
                <w:tcPr>
                  <w:tcW w:w="500" w:type="pct"/>
                  <w:vMerge w:val="restart"/>
                  <w:noWrap w:val="0"/>
                  <w:vAlign w:val="center"/>
                </w:tcPr>
                <w:p w14:paraId="5FE97EB6">
                  <w:pPr>
                    <w:pStyle w:val="54"/>
                    <w:jc w:val="center"/>
                    <w:rPr>
                      <w:color w:val="auto"/>
                      <w:sz w:val="21"/>
                      <w:szCs w:val="21"/>
                    </w:rPr>
                  </w:pPr>
                  <w:r>
                    <w:rPr>
                      <w:color w:val="auto"/>
                      <w:sz w:val="21"/>
                      <w:szCs w:val="21"/>
                    </w:rPr>
                    <w:t>相对厂界距</w:t>
                  </w:r>
                  <w:r>
                    <w:rPr>
                      <w:rFonts w:ascii="Times New Roman" w:hAnsi="Times New Roman"/>
                      <w:color w:val="auto"/>
                      <w:sz w:val="21"/>
                      <w:szCs w:val="21"/>
                    </w:rPr>
                    <w:t>离（m）</w:t>
                  </w:r>
                </w:p>
              </w:tc>
            </w:tr>
            <w:tr w14:paraId="1092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42" w:type="pct"/>
                  <w:vMerge w:val="continue"/>
                  <w:noWrap w:val="0"/>
                  <w:vAlign w:val="center"/>
                </w:tcPr>
                <w:p w14:paraId="022584FD">
                  <w:pPr>
                    <w:pStyle w:val="54"/>
                    <w:jc w:val="center"/>
                    <w:rPr>
                      <w:color w:val="auto"/>
                      <w:sz w:val="21"/>
                      <w:szCs w:val="21"/>
                    </w:rPr>
                  </w:pPr>
                </w:p>
              </w:tc>
              <w:tc>
                <w:tcPr>
                  <w:tcW w:w="696" w:type="pct"/>
                  <w:vMerge w:val="continue"/>
                  <w:noWrap w:val="0"/>
                  <w:vAlign w:val="top"/>
                </w:tcPr>
                <w:p w14:paraId="26B5C6A6">
                  <w:pPr>
                    <w:pStyle w:val="54"/>
                    <w:jc w:val="center"/>
                    <w:rPr>
                      <w:color w:val="auto"/>
                      <w:sz w:val="21"/>
                      <w:szCs w:val="21"/>
                    </w:rPr>
                  </w:pPr>
                </w:p>
              </w:tc>
              <w:tc>
                <w:tcPr>
                  <w:tcW w:w="394" w:type="pct"/>
                  <w:noWrap w:val="0"/>
                  <w:vAlign w:val="center"/>
                </w:tcPr>
                <w:p w14:paraId="2DECE88F">
                  <w:pPr>
                    <w:pStyle w:val="54"/>
                    <w:jc w:val="center"/>
                    <w:rPr>
                      <w:rFonts w:ascii="Times New Roman" w:hAnsi="Times New Roman"/>
                      <w:color w:val="auto"/>
                      <w:sz w:val="21"/>
                      <w:szCs w:val="21"/>
                    </w:rPr>
                  </w:pPr>
                  <w:r>
                    <w:rPr>
                      <w:rFonts w:ascii="Times New Roman" w:hAnsi="Times New Roman"/>
                      <w:color w:val="auto"/>
                      <w:sz w:val="21"/>
                      <w:szCs w:val="21"/>
                    </w:rPr>
                    <w:t>X</w:t>
                  </w:r>
                </w:p>
              </w:tc>
              <w:tc>
                <w:tcPr>
                  <w:tcW w:w="424" w:type="pct"/>
                  <w:noWrap w:val="0"/>
                  <w:vAlign w:val="center"/>
                </w:tcPr>
                <w:p w14:paraId="624A014A">
                  <w:pPr>
                    <w:pStyle w:val="54"/>
                    <w:jc w:val="center"/>
                    <w:rPr>
                      <w:rFonts w:ascii="Times New Roman" w:hAnsi="Times New Roman"/>
                      <w:color w:val="auto"/>
                      <w:sz w:val="21"/>
                      <w:szCs w:val="21"/>
                    </w:rPr>
                  </w:pPr>
                  <w:r>
                    <w:rPr>
                      <w:rFonts w:ascii="Times New Roman" w:hAnsi="Times New Roman"/>
                      <w:color w:val="auto"/>
                      <w:sz w:val="21"/>
                      <w:szCs w:val="21"/>
                    </w:rPr>
                    <w:t>Y</w:t>
                  </w:r>
                </w:p>
              </w:tc>
              <w:tc>
                <w:tcPr>
                  <w:tcW w:w="525" w:type="pct"/>
                  <w:vMerge w:val="continue"/>
                  <w:noWrap w:val="0"/>
                  <w:vAlign w:val="center"/>
                </w:tcPr>
                <w:p w14:paraId="053F8AF4">
                  <w:pPr>
                    <w:pStyle w:val="54"/>
                    <w:jc w:val="center"/>
                    <w:rPr>
                      <w:color w:val="auto"/>
                      <w:sz w:val="21"/>
                      <w:szCs w:val="21"/>
                    </w:rPr>
                  </w:pPr>
                </w:p>
              </w:tc>
              <w:tc>
                <w:tcPr>
                  <w:tcW w:w="509" w:type="pct"/>
                  <w:vMerge w:val="continue"/>
                  <w:noWrap w:val="0"/>
                  <w:vAlign w:val="center"/>
                </w:tcPr>
                <w:p w14:paraId="0CC6AD1F">
                  <w:pPr>
                    <w:pStyle w:val="54"/>
                    <w:jc w:val="center"/>
                    <w:rPr>
                      <w:color w:val="auto"/>
                      <w:sz w:val="21"/>
                      <w:szCs w:val="21"/>
                    </w:rPr>
                  </w:pPr>
                </w:p>
              </w:tc>
              <w:tc>
                <w:tcPr>
                  <w:tcW w:w="1058" w:type="pct"/>
                  <w:vMerge w:val="continue"/>
                  <w:noWrap w:val="0"/>
                  <w:vAlign w:val="center"/>
                </w:tcPr>
                <w:p w14:paraId="183492D5">
                  <w:pPr>
                    <w:pStyle w:val="54"/>
                    <w:jc w:val="center"/>
                    <w:rPr>
                      <w:color w:val="auto"/>
                      <w:sz w:val="21"/>
                      <w:szCs w:val="21"/>
                    </w:rPr>
                  </w:pPr>
                </w:p>
              </w:tc>
              <w:tc>
                <w:tcPr>
                  <w:tcW w:w="448" w:type="pct"/>
                  <w:vMerge w:val="continue"/>
                  <w:noWrap w:val="0"/>
                  <w:vAlign w:val="center"/>
                </w:tcPr>
                <w:p w14:paraId="7E560655">
                  <w:pPr>
                    <w:pStyle w:val="54"/>
                    <w:jc w:val="center"/>
                    <w:rPr>
                      <w:color w:val="auto"/>
                      <w:sz w:val="21"/>
                      <w:szCs w:val="21"/>
                    </w:rPr>
                  </w:pPr>
                </w:p>
              </w:tc>
              <w:tc>
                <w:tcPr>
                  <w:tcW w:w="500" w:type="pct"/>
                  <w:vMerge w:val="continue"/>
                  <w:noWrap w:val="0"/>
                  <w:vAlign w:val="center"/>
                </w:tcPr>
                <w:p w14:paraId="4DA74473">
                  <w:pPr>
                    <w:pStyle w:val="54"/>
                    <w:jc w:val="center"/>
                    <w:rPr>
                      <w:color w:val="auto"/>
                      <w:sz w:val="21"/>
                      <w:szCs w:val="21"/>
                    </w:rPr>
                  </w:pPr>
                </w:p>
              </w:tc>
            </w:tr>
            <w:tr w14:paraId="3A05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noWrap w:val="0"/>
                  <w:vAlign w:val="center"/>
                </w:tcPr>
                <w:p w14:paraId="52A93676">
                  <w:pPr>
                    <w:jc w:val="center"/>
                    <w:rPr>
                      <w:szCs w:val="21"/>
                    </w:rPr>
                  </w:pPr>
                  <w:r>
                    <w:rPr>
                      <w:szCs w:val="21"/>
                    </w:rPr>
                    <w:t>大气环境</w:t>
                  </w:r>
                </w:p>
              </w:tc>
              <w:tc>
                <w:tcPr>
                  <w:tcW w:w="696" w:type="pct"/>
                  <w:noWrap w:val="0"/>
                  <w:vAlign w:val="center"/>
                </w:tcPr>
                <w:p w14:paraId="752DD73A">
                  <w:pPr>
                    <w:jc w:val="center"/>
                    <w:rPr>
                      <w:rFonts w:hint="default" w:eastAsia="宋体"/>
                      <w:szCs w:val="21"/>
                      <w:lang w:val="en-US" w:eastAsia="zh-CN"/>
                    </w:rPr>
                  </w:pPr>
                  <w:r>
                    <w:rPr>
                      <w:rFonts w:hint="eastAsia"/>
                      <w:szCs w:val="21"/>
                      <w:lang w:val="en-US" w:eastAsia="zh-CN"/>
                    </w:rPr>
                    <w:t>汪寨村</w:t>
                  </w:r>
                </w:p>
              </w:tc>
              <w:tc>
                <w:tcPr>
                  <w:tcW w:w="394" w:type="pct"/>
                  <w:noWrap w:val="0"/>
                  <w:vAlign w:val="center"/>
                </w:tcPr>
                <w:p w14:paraId="523523E1">
                  <w:pPr>
                    <w:jc w:val="center"/>
                    <w:rPr>
                      <w:rFonts w:hint="default" w:eastAsia="宋体"/>
                      <w:szCs w:val="21"/>
                      <w:lang w:val="en-US" w:eastAsia="zh-CN"/>
                    </w:rPr>
                  </w:pPr>
                  <w:r>
                    <w:rPr>
                      <w:rFonts w:hint="eastAsia"/>
                      <w:szCs w:val="21"/>
                      <w:lang w:val="en-US" w:eastAsia="zh-CN"/>
                    </w:rPr>
                    <w:t>-12</w:t>
                  </w:r>
                </w:p>
              </w:tc>
              <w:tc>
                <w:tcPr>
                  <w:tcW w:w="424" w:type="pct"/>
                  <w:noWrap w:val="0"/>
                  <w:vAlign w:val="center"/>
                </w:tcPr>
                <w:p w14:paraId="43E3F34E">
                  <w:pPr>
                    <w:jc w:val="center"/>
                    <w:rPr>
                      <w:rFonts w:hint="default" w:eastAsia="宋体"/>
                      <w:szCs w:val="21"/>
                      <w:lang w:val="en-US" w:eastAsia="zh-CN"/>
                    </w:rPr>
                  </w:pPr>
                  <w:r>
                    <w:rPr>
                      <w:rFonts w:hint="eastAsia"/>
                      <w:szCs w:val="21"/>
                      <w:lang w:val="en-US" w:eastAsia="zh-CN"/>
                    </w:rPr>
                    <w:t>0</w:t>
                  </w:r>
                </w:p>
              </w:tc>
              <w:tc>
                <w:tcPr>
                  <w:tcW w:w="525" w:type="pct"/>
                  <w:noWrap w:val="0"/>
                  <w:vAlign w:val="center"/>
                </w:tcPr>
                <w:p w14:paraId="7D6129C0">
                  <w:pPr>
                    <w:jc w:val="center"/>
                    <w:rPr>
                      <w:rFonts w:hint="eastAsia" w:eastAsia="宋体"/>
                      <w:szCs w:val="21"/>
                      <w:lang w:eastAsia="zh-CN"/>
                    </w:rPr>
                  </w:pPr>
                  <w:r>
                    <w:rPr>
                      <w:rFonts w:hint="eastAsia"/>
                      <w:szCs w:val="21"/>
                      <w:lang w:val="en-US" w:eastAsia="zh-CN"/>
                    </w:rPr>
                    <w:t>居民</w:t>
                  </w:r>
                </w:p>
              </w:tc>
              <w:tc>
                <w:tcPr>
                  <w:tcW w:w="509" w:type="pct"/>
                  <w:noWrap w:val="0"/>
                  <w:vAlign w:val="center"/>
                </w:tcPr>
                <w:p w14:paraId="3D13F313">
                  <w:pPr>
                    <w:jc w:val="center"/>
                    <w:rPr>
                      <w:rFonts w:hint="default" w:eastAsia="宋体"/>
                      <w:szCs w:val="21"/>
                      <w:lang w:val="en-US" w:eastAsia="zh-CN"/>
                    </w:rPr>
                  </w:pPr>
                  <w:r>
                    <w:rPr>
                      <w:rFonts w:hint="eastAsia"/>
                      <w:szCs w:val="21"/>
                      <w:lang w:val="en-US" w:eastAsia="zh-CN"/>
                    </w:rPr>
                    <w:t>约20户</w:t>
                  </w:r>
                </w:p>
              </w:tc>
              <w:tc>
                <w:tcPr>
                  <w:tcW w:w="1058" w:type="pct"/>
                  <w:vMerge w:val="restart"/>
                  <w:noWrap w:val="0"/>
                  <w:vAlign w:val="center"/>
                </w:tcPr>
                <w:p w14:paraId="61D68966">
                  <w:pPr>
                    <w:ind w:left="-84" w:leftChars="-40" w:right="-84" w:rightChars="-40"/>
                    <w:jc w:val="center"/>
                    <w:rPr>
                      <w:szCs w:val="21"/>
                    </w:rPr>
                  </w:pPr>
                  <w:r>
                    <w:rPr>
                      <w:color w:val="auto"/>
                      <w:szCs w:val="21"/>
                    </w:rPr>
                    <w:t>《环境空气质量标准》（GB3095-2012）中二类区</w:t>
                  </w:r>
                </w:p>
              </w:tc>
              <w:tc>
                <w:tcPr>
                  <w:tcW w:w="448" w:type="pct"/>
                  <w:noWrap w:val="0"/>
                  <w:vAlign w:val="center"/>
                </w:tcPr>
                <w:p w14:paraId="7B111CAF">
                  <w:pPr>
                    <w:jc w:val="center"/>
                    <w:rPr>
                      <w:rFonts w:hint="default" w:eastAsia="宋体"/>
                      <w:szCs w:val="21"/>
                      <w:lang w:val="en-US" w:eastAsia="zh-CN"/>
                    </w:rPr>
                  </w:pPr>
                  <w:r>
                    <w:rPr>
                      <w:rFonts w:hint="eastAsia"/>
                      <w:szCs w:val="21"/>
                      <w:lang w:val="en-US" w:eastAsia="zh-CN"/>
                    </w:rPr>
                    <w:t>W</w:t>
                  </w:r>
                </w:p>
              </w:tc>
              <w:tc>
                <w:tcPr>
                  <w:tcW w:w="500" w:type="pct"/>
                  <w:noWrap w:val="0"/>
                  <w:vAlign w:val="center"/>
                </w:tcPr>
                <w:p w14:paraId="659D19CD">
                  <w:pPr>
                    <w:jc w:val="center"/>
                    <w:rPr>
                      <w:rFonts w:hint="default" w:eastAsia="宋体"/>
                      <w:szCs w:val="21"/>
                      <w:lang w:val="en-US" w:eastAsia="zh-CN"/>
                    </w:rPr>
                  </w:pPr>
                  <w:r>
                    <w:rPr>
                      <w:rFonts w:hint="eastAsia"/>
                      <w:szCs w:val="21"/>
                      <w:lang w:val="en-US" w:eastAsia="zh-CN"/>
                    </w:rPr>
                    <w:t>5</w:t>
                  </w:r>
                </w:p>
              </w:tc>
            </w:tr>
            <w:tr w14:paraId="47FC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noWrap w:val="0"/>
                  <w:vAlign w:val="center"/>
                </w:tcPr>
                <w:p w14:paraId="3A09B402">
                  <w:pPr>
                    <w:jc w:val="center"/>
                    <w:rPr>
                      <w:szCs w:val="21"/>
                    </w:rPr>
                  </w:pPr>
                </w:p>
              </w:tc>
              <w:tc>
                <w:tcPr>
                  <w:tcW w:w="696" w:type="pct"/>
                  <w:shd w:val="clear" w:color="auto" w:fill="auto"/>
                  <w:noWrap w:val="0"/>
                  <w:vAlign w:val="center"/>
                </w:tcPr>
                <w:p w14:paraId="0E90812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桃园矿工人村</w:t>
                  </w:r>
                </w:p>
              </w:tc>
              <w:tc>
                <w:tcPr>
                  <w:tcW w:w="394" w:type="pct"/>
                  <w:shd w:val="clear" w:color="auto" w:fill="auto"/>
                  <w:noWrap w:val="0"/>
                  <w:vAlign w:val="center"/>
                </w:tcPr>
                <w:p w14:paraId="54BFC78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w:t>
                  </w:r>
                </w:p>
              </w:tc>
              <w:tc>
                <w:tcPr>
                  <w:tcW w:w="424" w:type="pct"/>
                  <w:shd w:val="clear" w:color="auto" w:fill="auto"/>
                  <w:noWrap w:val="0"/>
                  <w:vAlign w:val="center"/>
                </w:tcPr>
                <w:p w14:paraId="663C05C0">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20</w:t>
                  </w:r>
                </w:p>
              </w:tc>
              <w:tc>
                <w:tcPr>
                  <w:tcW w:w="525" w:type="pct"/>
                  <w:shd w:val="clear" w:color="auto" w:fill="auto"/>
                  <w:noWrap w:val="0"/>
                  <w:vAlign w:val="center"/>
                </w:tcPr>
                <w:p w14:paraId="71EFD01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居民</w:t>
                  </w:r>
                </w:p>
              </w:tc>
              <w:tc>
                <w:tcPr>
                  <w:tcW w:w="509" w:type="pct"/>
                  <w:shd w:val="clear" w:color="auto" w:fill="auto"/>
                  <w:noWrap w:val="0"/>
                  <w:vAlign w:val="center"/>
                </w:tcPr>
                <w:p w14:paraId="2823FEC6">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约2000户</w:t>
                  </w:r>
                </w:p>
              </w:tc>
              <w:tc>
                <w:tcPr>
                  <w:tcW w:w="1058" w:type="pct"/>
                  <w:vMerge w:val="continue"/>
                  <w:noWrap w:val="0"/>
                  <w:vAlign w:val="center"/>
                </w:tcPr>
                <w:p w14:paraId="39F34734">
                  <w:pPr>
                    <w:ind w:left="-84" w:leftChars="-40" w:right="-84" w:rightChars="-40"/>
                    <w:jc w:val="center"/>
                    <w:rPr>
                      <w:color w:val="auto"/>
                      <w:szCs w:val="21"/>
                    </w:rPr>
                  </w:pPr>
                </w:p>
              </w:tc>
              <w:tc>
                <w:tcPr>
                  <w:tcW w:w="448" w:type="pct"/>
                  <w:shd w:val="clear" w:color="auto" w:fill="auto"/>
                  <w:noWrap w:val="0"/>
                  <w:vAlign w:val="center"/>
                </w:tcPr>
                <w:p w14:paraId="24B6536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w:t>
                  </w:r>
                </w:p>
              </w:tc>
              <w:tc>
                <w:tcPr>
                  <w:tcW w:w="500" w:type="pct"/>
                  <w:shd w:val="clear" w:color="auto" w:fill="auto"/>
                  <w:noWrap w:val="0"/>
                  <w:vAlign w:val="center"/>
                </w:tcPr>
                <w:p w14:paraId="3EEC0A77">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20</w:t>
                  </w:r>
                </w:p>
              </w:tc>
            </w:tr>
            <w:tr w14:paraId="049F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noWrap w:val="0"/>
                  <w:vAlign w:val="center"/>
                </w:tcPr>
                <w:p w14:paraId="2CB400C0">
                  <w:pPr>
                    <w:jc w:val="center"/>
                    <w:rPr>
                      <w:szCs w:val="21"/>
                    </w:rPr>
                  </w:pPr>
                </w:p>
              </w:tc>
              <w:tc>
                <w:tcPr>
                  <w:tcW w:w="696" w:type="pct"/>
                  <w:noWrap w:val="0"/>
                  <w:vAlign w:val="center"/>
                </w:tcPr>
                <w:p w14:paraId="63301897">
                  <w:pPr>
                    <w:jc w:val="center"/>
                    <w:rPr>
                      <w:rFonts w:hint="default" w:eastAsia="宋体"/>
                      <w:szCs w:val="21"/>
                      <w:lang w:val="en-US" w:eastAsia="zh-CN"/>
                    </w:rPr>
                  </w:pPr>
                  <w:r>
                    <w:rPr>
                      <w:rFonts w:hint="eastAsia"/>
                      <w:szCs w:val="21"/>
                      <w:lang w:val="en-US" w:eastAsia="zh-CN"/>
                    </w:rPr>
                    <w:t>桃园矿学校</w:t>
                  </w:r>
                </w:p>
              </w:tc>
              <w:tc>
                <w:tcPr>
                  <w:tcW w:w="394" w:type="pct"/>
                  <w:noWrap w:val="0"/>
                  <w:vAlign w:val="center"/>
                </w:tcPr>
                <w:p w14:paraId="23915A99">
                  <w:pPr>
                    <w:jc w:val="center"/>
                    <w:rPr>
                      <w:rFonts w:hint="default" w:eastAsia="宋体"/>
                      <w:szCs w:val="21"/>
                      <w:lang w:val="en-US" w:eastAsia="zh-CN"/>
                    </w:rPr>
                  </w:pPr>
                  <w:r>
                    <w:rPr>
                      <w:rFonts w:hint="eastAsia"/>
                      <w:szCs w:val="21"/>
                      <w:lang w:val="en-US" w:eastAsia="zh-CN"/>
                    </w:rPr>
                    <w:t>-213</w:t>
                  </w:r>
                </w:p>
              </w:tc>
              <w:tc>
                <w:tcPr>
                  <w:tcW w:w="424" w:type="pct"/>
                  <w:noWrap w:val="0"/>
                  <w:vAlign w:val="center"/>
                </w:tcPr>
                <w:p w14:paraId="29B700B1">
                  <w:pPr>
                    <w:jc w:val="center"/>
                    <w:rPr>
                      <w:rFonts w:hint="default" w:eastAsia="宋体"/>
                      <w:szCs w:val="21"/>
                      <w:lang w:val="en-US" w:eastAsia="zh-CN"/>
                    </w:rPr>
                  </w:pPr>
                  <w:r>
                    <w:rPr>
                      <w:rFonts w:hint="eastAsia"/>
                      <w:szCs w:val="21"/>
                      <w:lang w:val="en-US" w:eastAsia="zh-CN"/>
                    </w:rPr>
                    <w:t>268</w:t>
                  </w:r>
                </w:p>
              </w:tc>
              <w:tc>
                <w:tcPr>
                  <w:tcW w:w="525" w:type="pct"/>
                  <w:noWrap w:val="0"/>
                  <w:vAlign w:val="center"/>
                </w:tcPr>
                <w:p w14:paraId="6A5B238B">
                  <w:pPr>
                    <w:jc w:val="center"/>
                  </w:pPr>
                  <w:r>
                    <w:rPr>
                      <w:rFonts w:hint="eastAsia"/>
                      <w:szCs w:val="21"/>
                      <w:lang w:val="en-US" w:eastAsia="zh-CN"/>
                    </w:rPr>
                    <w:t>师生</w:t>
                  </w:r>
                </w:p>
              </w:tc>
              <w:tc>
                <w:tcPr>
                  <w:tcW w:w="509" w:type="pct"/>
                  <w:noWrap w:val="0"/>
                  <w:vAlign w:val="center"/>
                </w:tcPr>
                <w:p w14:paraId="01E33347">
                  <w:pPr>
                    <w:jc w:val="center"/>
                    <w:rPr>
                      <w:rFonts w:hint="default" w:eastAsia="宋体"/>
                      <w:szCs w:val="21"/>
                      <w:lang w:val="en-US" w:eastAsia="zh-CN"/>
                    </w:rPr>
                  </w:pPr>
                  <w:r>
                    <w:rPr>
                      <w:rFonts w:hint="eastAsia"/>
                      <w:szCs w:val="21"/>
                      <w:lang w:val="en-US" w:eastAsia="zh-CN"/>
                    </w:rPr>
                    <w:t>约500余人</w:t>
                  </w:r>
                </w:p>
              </w:tc>
              <w:tc>
                <w:tcPr>
                  <w:tcW w:w="1058" w:type="pct"/>
                  <w:vMerge w:val="continue"/>
                  <w:noWrap w:val="0"/>
                  <w:vAlign w:val="center"/>
                </w:tcPr>
                <w:p w14:paraId="3AAA15D1">
                  <w:pPr>
                    <w:jc w:val="center"/>
                    <w:rPr>
                      <w:szCs w:val="21"/>
                    </w:rPr>
                  </w:pPr>
                </w:p>
              </w:tc>
              <w:tc>
                <w:tcPr>
                  <w:tcW w:w="448" w:type="pct"/>
                  <w:noWrap w:val="0"/>
                  <w:vAlign w:val="center"/>
                </w:tcPr>
                <w:p w14:paraId="66FED91B">
                  <w:pPr>
                    <w:jc w:val="center"/>
                    <w:rPr>
                      <w:rFonts w:hint="default" w:eastAsia="宋体"/>
                      <w:szCs w:val="21"/>
                      <w:lang w:val="en-US" w:eastAsia="zh-CN"/>
                    </w:rPr>
                  </w:pPr>
                  <w:r>
                    <w:rPr>
                      <w:rFonts w:hint="eastAsia" w:eastAsia="宋体"/>
                      <w:szCs w:val="21"/>
                      <w:lang w:val="en-US" w:eastAsia="zh-CN"/>
                    </w:rPr>
                    <w:t>NW</w:t>
                  </w:r>
                </w:p>
              </w:tc>
              <w:tc>
                <w:tcPr>
                  <w:tcW w:w="500" w:type="pct"/>
                  <w:noWrap w:val="0"/>
                  <w:vAlign w:val="center"/>
                </w:tcPr>
                <w:p w14:paraId="3CB2854F">
                  <w:pPr>
                    <w:jc w:val="center"/>
                    <w:rPr>
                      <w:rFonts w:hint="default" w:eastAsia="宋体"/>
                      <w:szCs w:val="21"/>
                      <w:lang w:val="en-US" w:eastAsia="zh-CN"/>
                    </w:rPr>
                  </w:pPr>
                  <w:r>
                    <w:rPr>
                      <w:rFonts w:hint="eastAsia"/>
                      <w:szCs w:val="21"/>
                      <w:lang w:val="en-US" w:eastAsia="zh-CN"/>
                    </w:rPr>
                    <w:t>343</w:t>
                  </w:r>
                </w:p>
              </w:tc>
            </w:tr>
            <w:tr w14:paraId="36EA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continue"/>
                  <w:noWrap w:val="0"/>
                  <w:vAlign w:val="center"/>
                </w:tcPr>
                <w:p w14:paraId="33359FC0">
                  <w:pPr>
                    <w:jc w:val="center"/>
                    <w:rPr>
                      <w:szCs w:val="21"/>
                    </w:rPr>
                  </w:pPr>
                </w:p>
              </w:tc>
              <w:tc>
                <w:tcPr>
                  <w:tcW w:w="696" w:type="pct"/>
                  <w:noWrap w:val="0"/>
                  <w:vAlign w:val="center"/>
                </w:tcPr>
                <w:p w14:paraId="4B8A4746">
                  <w:pPr>
                    <w:jc w:val="center"/>
                    <w:rPr>
                      <w:rFonts w:hint="default"/>
                      <w:szCs w:val="21"/>
                      <w:lang w:val="en-US" w:eastAsia="zh-CN"/>
                    </w:rPr>
                  </w:pPr>
                  <w:r>
                    <w:rPr>
                      <w:rFonts w:hint="eastAsia"/>
                      <w:szCs w:val="21"/>
                      <w:lang w:val="en-US" w:eastAsia="zh-CN"/>
                    </w:rPr>
                    <w:t>桃园镇中心小学</w:t>
                  </w:r>
                </w:p>
              </w:tc>
              <w:tc>
                <w:tcPr>
                  <w:tcW w:w="394" w:type="pct"/>
                  <w:noWrap w:val="0"/>
                  <w:vAlign w:val="center"/>
                </w:tcPr>
                <w:p w14:paraId="5076CAEF">
                  <w:pPr>
                    <w:jc w:val="center"/>
                    <w:rPr>
                      <w:rFonts w:hint="default"/>
                      <w:szCs w:val="21"/>
                      <w:lang w:val="en-US" w:eastAsia="zh-CN"/>
                    </w:rPr>
                  </w:pPr>
                  <w:r>
                    <w:rPr>
                      <w:rFonts w:hint="eastAsia"/>
                      <w:szCs w:val="21"/>
                      <w:lang w:val="en-US" w:eastAsia="zh-CN"/>
                    </w:rPr>
                    <w:t>-346</w:t>
                  </w:r>
                </w:p>
              </w:tc>
              <w:tc>
                <w:tcPr>
                  <w:tcW w:w="424" w:type="pct"/>
                  <w:noWrap w:val="0"/>
                  <w:vAlign w:val="center"/>
                </w:tcPr>
                <w:p w14:paraId="3F41849B">
                  <w:pPr>
                    <w:jc w:val="center"/>
                    <w:rPr>
                      <w:rFonts w:hint="default"/>
                      <w:szCs w:val="21"/>
                      <w:lang w:val="en-US" w:eastAsia="zh-CN"/>
                    </w:rPr>
                  </w:pPr>
                  <w:r>
                    <w:rPr>
                      <w:rFonts w:hint="eastAsia"/>
                      <w:szCs w:val="21"/>
                      <w:lang w:val="en-US" w:eastAsia="zh-CN"/>
                    </w:rPr>
                    <w:t>-293</w:t>
                  </w:r>
                </w:p>
              </w:tc>
              <w:tc>
                <w:tcPr>
                  <w:tcW w:w="525" w:type="pct"/>
                  <w:noWrap w:val="0"/>
                  <w:vAlign w:val="center"/>
                </w:tcPr>
                <w:p w14:paraId="5D4EA174">
                  <w:pPr>
                    <w:jc w:val="center"/>
                    <w:rPr>
                      <w:rFonts w:hint="eastAsia"/>
                      <w:szCs w:val="21"/>
                    </w:rPr>
                  </w:pPr>
                  <w:r>
                    <w:rPr>
                      <w:rFonts w:hint="eastAsia"/>
                      <w:szCs w:val="21"/>
                      <w:lang w:val="en-US" w:eastAsia="zh-CN"/>
                    </w:rPr>
                    <w:t>师生</w:t>
                  </w:r>
                </w:p>
              </w:tc>
              <w:tc>
                <w:tcPr>
                  <w:tcW w:w="509" w:type="pct"/>
                  <w:noWrap w:val="0"/>
                  <w:vAlign w:val="center"/>
                </w:tcPr>
                <w:p w14:paraId="611BF7C1">
                  <w:pPr>
                    <w:jc w:val="center"/>
                    <w:rPr>
                      <w:rFonts w:hint="default"/>
                      <w:szCs w:val="21"/>
                      <w:lang w:val="en-US" w:eastAsia="zh-CN"/>
                    </w:rPr>
                  </w:pPr>
                  <w:r>
                    <w:rPr>
                      <w:rFonts w:hint="eastAsia"/>
                      <w:szCs w:val="21"/>
                      <w:lang w:val="en-US" w:eastAsia="zh-CN"/>
                    </w:rPr>
                    <w:t>约300余人</w:t>
                  </w:r>
                </w:p>
              </w:tc>
              <w:tc>
                <w:tcPr>
                  <w:tcW w:w="1058" w:type="pct"/>
                  <w:vMerge w:val="continue"/>
                  <w:noWrap w:val="0"/>
                  <w:vAlign w:val="center"/>
                </w:tcPr>
                <w:p w14:paraId="43EAA35B">
                  <w:pPr>
                    <w:jc w:val="center"/>
                    <w:rPr>
                      <w:szCs w:val="21"/>
                    </w:rPr>
                  </w:pPr>
                </w:p>
              </w:tc>
              <w:tc>
                <w:tcPr>
                  <w:tcW w:w="448" w:type="pct"/>
                  <w:noWrap w:val="0"/>
                  <w:vAlign w:val="center"/>
                </w:tcPr>
                <w:p w14:paraId="2D127E11">
                  <w:pPr>
                    <w:jc w:val="center"/>
                    <w:rPr>
                      <w:rFonts w:hint="default"/>
                      <w:szCs w:val="21"/>
                      <w:lang w:val="en-US" w:eastAsia="zh-CN"/>
                    </w:rPr>
                  </w:pPr>
                  <w:r>
                    <w:rPr>
                      <w:rFonts w:hint="eastAsia"/>
                      <w:szCs w:val="21"/>
                      <w:lang w:val="en-US" w:eastAsia="zh-CN"/>
                    </w:rPr>
                    <w:t>SW</w:t>
                  </w:r>
                </w:p>
              </w:tc>
              <w:tc>
                <w:tcPr>
                  <w:tcW w:w="500" w:type="pct"/>
                  <w:noWrap w:val="0"/>
                  <w:vAlign w:val="center"/>
                </w:tcPr>
                <w:p w14:paraId="1334F966">
                  <w:pPr>
                    <w:jc w:val="center"/>
                    <w:rPr>
                      <w:rFonts w:hint="default"/>
                      <w:szCs w:val="21"/>
                      <w:lang w:val="en-US" w:eastAsia="zh-CN"/>
                    </w:rPr>
                  </w:pPr>
                  <w:r>
                    <w:rPr>
                      <w:rFonts w:hint="eastAsia"/>
                      <w:szCs w:val="21"/>
                      <w:lang w:val="en-US" w:eastAsia="zh-CN"/>
                    </w:rPr>
                    <w:t>453</w:t>
                  </w:r>
                </w:p>
              </w:tc>
            </w:tr>
            <w:tr w14:paraId="0BB7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restart"/>
                  <w:noWrap w:val="0"/>
                  <w:vAlign w:val="center"/>
                </w:tcPr>
                <w:p w14:paraId="528CECD0">
                  <w:pPr>
                    <w:jc w:val="center"/>
                    <w:rPr>
                      <w:rFonts w:hint="eastAsia"/>
                      <w:szCs w:val="21"/>
                    </w:rPr>
                  </w:pPr>
                  <w:r>
                    <w:rPr>
                      <w:rFonts w:hint="eastAsia"/>
                      <w:szCs w:val="21"/>
                    </w:rPr>
                    <w:t>水环境</w:t>
                  </w:r>
                </w:p>
              </w:tc>
              <w:tc>
                <w:tcPr>
                  <w:tcW w:w="696" w:type="pct"/>
                  <w:noWrap w:val="0"/>
                  <w:vAlign w:val="center"/>
                </w:tcPr>
                <w:p w14:paraId="52B27DBA">
                  <w:pPr>
                    <w:jc w:val="center"/>
                    <w:rPr>
                      <w:rFonts w:hint="default"/>
                      <w:szCs w:val="21"/>
                      <w:lang w:val="en-US" w:eastAsia="zh-CN"/>
                    </w:rPr>
                  </w:pPr>
                  <w:r>
                    <w:rPr>
                      <w:rFonts w:hint="eastAsia"/>
                      <w:szCs w:val="21"/>
                      <w:lang w:val="en-US" w:eastAsia="zh-CN"/>
                    </w:rPr>
                    <w:t>二沟</w:t>
                  </w:r>
                </w:p>
              </w:tc>
              <w:tc>
                <w:tcPr>
                  <w:tcW w:w="394" w:type="pct"/>
                  <w:noWrap w:val="0"/>
                  <w:vAlign w:val="center"/>
                </w:tcPr>
                <w:p w14:paraId="262A73EA">
                  <w:pPr>
                    <w:jc w:val="center"/>
                    <w:rPr>
                      <w:rFonts w:hint="eastAsia" w:eastAsia="宋体"/>
                      <w:szCs w:val="21"/>
                      <w:lang w:val="en-US" w:eastAsia="zh-CN"/>
                    </w:rPr>
                  </w:pPr>
                  <w:r>
                    <w:rPr>
                      <w:rFonts w:hint="eastAsia"/>
                      <w:szCs w:val="21"/>
                      <w:lang w:val="en-US" w:eastAsia="zh-CN"/>
                    </w:rPr>
                    <w:t>/</w:t>
                  </w:r>
                </w:p>
              </w:tc>
              <w:tc>
                <w:tcPr>
                  <w:tcW w:w="424" w:type="pct"/>
                  <w:noWrap w:val="0"/>
                  <w:vAlign w:val="center"/>
                </w:tcPr>
                <w:p w14:paraId="1B4782BF">
                  <w:pPr>
                    <w:jc w:val="center"/>
                    <w:rPr>
                      <w:rFonts w:hint="eastAsia" w:eastAsia="宋体"/>
                      <w:szCs w:val="21"/>
                      <w:lang w:val="en-US" w:eastAsia="zh-CN"/>
                    </w:rPr>
                  </w:pPr>
                  <w:r>
                    <w:rPr>
                      <w:rFonts w:hint="eastAsia"/>
                      <w:szCs w:val="21"/>
                      <w:lang w:val="en-US" w:eastAsia="zh-CN"/>
                    </w:rPr>
                    <w:t>/</w:t>
                  </w:r>
                </w:p>
              </w:tc>
              <w:tc>
                <w:tcPr>
                  <w:tcW w:w="525" w:type="pct"/>
                  <w:vMerge w:val="restart"/>
                  <w:noWrap w:val="0"/>
                  <w:vAlign w:val="center"/>
                </w:tcPr>
                <w:p w14:paraId="699D7E78">
                  <w:pPr>
                    <w:jc w:val="center"/>
                    <w:rPr>
                      <w:rFonts w:hint="eastAsia" w:ascii="Times New Roman" w:hAnsi="Times New Roman" w:eastAsia="宋体" w:cs="Times New Roman"/>
                      <w:kern w:val="2"/>
                      <w:sz w:val="21"/>
                      <w:szCs w:val="21"/>
                      <w:lang w:val="en-US" w:eastAsia="zh-CN" w:bidi="ar-SA"/>
                    </w:rPr>
                  </w:pPr>
                  <w:r>
                    <w:rPr>
                      <w:rFonts w:hint="eastAsia"/>
                      <w:szCs w:val="21"/>
                    </w:rPr>
                    <w:t>河流</w:t>
                  </w:r>
                </w:p>
              </w:tc>
              <w:tc>
                <w:tcPr>
                  <w:tcW w:w="509" w:type="pct"/>
                  <w:vMerge w:val="restart"/>
                  <w:noWrap w:val="0"/>
                  <w:vAlign w:val="center"/>
                </w:tcPr>
                <w:p w14:paraId="2FC5DD2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水环境</w:t>
                  </w:r>
                </w:p>
              </w:tc>
              <w:tc>
                <w:tcPr>
                  <w:tcW w:w="1058" w:type="pct"/>
                  <w:vMerge w:val="restart"/>
                  <w:noWrap w:val="0"/>
                  <w:vAlign w:val="center"/>
                </w:tcPr>
                <w:p w14:paraId="14BB8AFA">
                  <w:pPr>
                    <w:widowControl/>
                    <w:ind w:left="-84" w:leftChars="-40" w:right="-84" w:rightChars="-40"/>
                    <w:jc w:val="center"/>
                    <w:rPr>
                      <w:rFonts w:ascii="Times New Roman" w:hAnsi="Times New Roman" w:eastAsia="宋体" w:cs="Times New Roman"/>
                      <w:kern w:val="2"/>
                      <w:sz w:val="21"/>
                      <w:szCs w:val="21"/>
                      <w:lang w:val="en-US" w:eastAsia="zh-CN" w:bidi="ar-SA"/>
                    </w:rPr>
                  </w:pPr>
                  <w:r>
                    <w:rPr>
                      <w:color w:val="auto"/>
                      <w:szCs w:val="21"/>
                    </w:rPr>
                    <w:t>《地表水环境质量标准》（GB3838-2002）中Ⅳ类功能水域</w:t>
                  </w:r>
                </w:p>
              </w:tc>
              <w:tc>
                <w:tcPr>
                  <w:tcW w:w="448" w:type="pct"/>
                  <w:noWrap w:val="0"/>
                  <w:vAlign w:val="center"/>
                </w:tcPr>
                <w:p w14:paraId="60F8C9FC">
                  <w:pPr>
                    <w:jc w:val="center"/>
                    <w:rPr>
                      <w:rFonts w:hint="default"/>
                      <w:szCs w:val="21"/>
                      <w:lang w:val="en-US" w:eastAsia="zh-CN"/>
                    </w:rPr>
                  </w:pPr>
                  <w:r>
                    <w:rPr>
                      <w:rFonts w:hint="eastAsia"/>
                      <w:szCs w:val="21"/>
                      <w:lang w:val="en-US" w:eastAsia="zh-CN"/>
                    </w:rPr>
                    <w:t>E</w:t>
                  </w:r>
                </w:p>
              </w:tc>
              <w:tc>
                <w:tcPr>
                  <w:tcW w:w="500" w:type="pct"/>
                  <w:noWrap w:val="0"/>
                  <w:vAlign w:val="center"/>
                </w:tcPr>
                <w:p w14:paraId="52A15DA3">
                  <w:pPr>
                    <w:jc w:val="center"/>
                    <w:rPr>
                      <w:rFonts w:hint="default" w:eastAsia="宋体"/>
                      <w:szCs w:val="21"/>
                      <w:lang w:val="en-US" w:eastAsia="zh-CN"/>
                    </w:rPr>
                  </w:pPr>
                  <w:r>
                    <w:rPr>
                      <w:rFonts w:hint="eastAsia"/>
                      <w:szCs w:val="21"/>
                      <w:lang w:val="en-US" w:eastAsia="zh-CN"/>
                    </w:rPr>
                    <w:t>135</w:t>
                  </w:r>
                </w:p>
              </w:tc>
            </w:tr>
            <w:tr w14:paraId="7A25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noWrap w:val="0"/>
                  <w:vAlign w:val="center"/>
                </w:tcPr>
                <w:p w14:paraId="2EACE61D">
                  <w:pPr>
                    <w:jc w:val="center"/>
                    <w:rPr>
                      <w:rFonts w:hint="eastAsia"/>
                      <w:szCs w:val="21"/>
                    </w:rPr>
                  </w:pPr>
                </w:p>
              </w:tc>
              <w:tc>
                <w:tcPr>
                  <w:tcW w:w="696" w:type="pct"/>
                  <w:shd w:val="clear" w:color="auto" w:fill="auto"/>
                  <w:noWrap w:val="0"/>
                  <w:vAlign w:val="center"/>
                </w:tcPr>
                <w:p w14:paraId="3D6AEF4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运粮河</w:t>
                  </w:r>
                </w:p>
              </w:tc>
              <w:tc>
                <w:tcPr>
                  <w:tcW w:w="394" w:type="pct"/>
                  <w:shd w:val="clear" w:color="auto" w:fill="auto"/>
                  <w:noWrap w:val="0"/>
                  <w:vAlign w:val="center"/>
                </w:tcPr>
                <w:p w14:paraId="2FB7F326">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424" w:type="pct"/>
                  <w:shd w:val="clear" w:color="auto" w:fill="auto"/>
                  <w:noWrap w:val="0"/>
                  <w:vAlign w:val="center"/>
                </w:tcPr>
                <w:p w14:paraId="37662E4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525" w:type="pct"/>
                  <w:vMerge w:val="continue"/>
                  <w:shd w:val="clear" w:color="auto" w:fill="auto"/>
                  <w:noWrap w:val="0"/>
                  <w:vAlign w:val="center"/>
                </w:tcPr>
                <w:p w14:paraId="7D0D21D3">
                  <w:pPr>
                    <w:jc w:val="center"/>
                    <w:rPr>
                      <w:rFonts w:hint="eastAsia" w:ascii="Times New Roman" w:hAnsi="Times New Roman" w:eastAsia="宋体" w:cs="Times New Roman"/>
                      <w:kern w:val="2"/>
                      <w:sz w:val="21"/>
                      <w:szCs w:val="21"/>
                      <w:lang w:val="en-US" w:eastAsia="zh-CN" w:bidi="ar-SA"/>
                    </w:rPr>
                  </w:pPr>
                </w:p>
              </w:tc>
              <w:tc>
                <w:tcPr>
                  <w:tcW w:w="509" w:type="pct"/>
                  <w:vMerge w:val="continue"/>
                  <w:shd w:val="clear" w:color="auto" w:fill="auto"/>
                  <w:noWrap w:val="0"/>
                  <w:vAlign w:val="center"/>
                </w:tcPr>
                <w:p w14:paraId="2AA84BF7">
                  <w:pPr>
                    <w:jc w:val="center"/>
                    <w:rPr>
                      <w:rFonts w:hint="eastAsia" w:ascii="Times New Roman" w:hAnsi="Times New Roman" w:eastAsia="宋体" w:cs="Times New Roman"/>
                      <w:kern w:val="2"/>
                      <w:sz w:val="21"/>
                      <w:szCs w:val="21"/>
                      <w:lang w:val="en-US" w:eastAsia="zh-CN" w:bidi="ar-SA"/>
                    </w:rPr>
                  </w:pPr>
                </w:p>
              </w:tc>
              <w:tc>
                <w:tcPr>
                  <w:tcW w:w="1058" w:type="pct"/>
                  <w:vMerge w:val="continue"/>
                  <w:shd w:val="clear" w:color="auto" w:fill="auto"/>
                  <w:noWrap w:val="0"/>
                  <w:vAlign w:val="center"/>
                </w:tcPr>
                <w:p w14:paraId="371EE77E">
                  <w:pPr>
                    <w:widowControl/>
                    <w:ind w:left="-84" w:leftChars="-40" w:right="-84" w:rightChars="-40"/>
                    <w:jc w:val="center"/>
                    <w:rPr>
                      <w:rFonts w:ascii="Times New Roman" w:hAnsi="Times New Roman" w:eastAsia="宋体" w:cs="Times New Roman"/>
                      <w:kern w:val="2"/>
                      <w:sz w:val="21"/>
                      <w:szCs w:val="21"/>
                      <w:lang w:val="en-US" w:eastAsia="zh-CN" w:bidi="ar-SA"/>
                    </w:rPr>
                  </w:pPr>
                </w:p>
              </w:tc>
              <w:tc>
                <w:tcPr>
                  <w:tcW w:w="448" w:type="pct"/>
                  <w:shd w:val="clear" w:color="auto" w:fill="auto"/>
                  <w:noWrap w:val="0"/>
                  <w:vAlign w:val="center"/>
                </w:tcPr>
                <w:p w14:paraId="276AB88F">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W</w:t>
                  </w:r>
                </w:p>
              </w:tc>
              <w:tc>
                <w:tcPr>
                  <w:tcW w:w="500" w:type="pct"/>
                  <w:shd w:val="clear" w:color="auto" w:fill="auto"/>
                  <w:noWrap w:val="0"/>
                  <w:vAlign w:val="center"/>
                </w:tcPr>
                <w:p w14:paraId="18DEC57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1306</w:t>
                  </w:r>
                </w:p>
              </w:tc>
            </w:tr>
            <w:tr w14:paraId="04E7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0"/>
                  <w:vAlign w:val="center"/>
                </w:tcPr>
                <w:p w14:paraId="7ADA9FB5">
                  <w:pPr>
                    <w:jc w:val="center"/>
                    <w:rPr>
                      <w:rFonts w:hint="eastAsia"/>
                      <w:szCs w:val="21"/>
                    </w:rPr>
                  </w:pPr>
                  <w:r>
                    <w:rPr>
                      <w:rFonts w:hint="eastAsia"/>
                      <w:szCs w:val="21"/>
                    </w:rPr>
                    <w:t>声环境</w:t>
                  </w:r>
                </w:p>
              </w:tc>
              <w:tc>
                <w:tcPr>
                  <w:tcW w:w="696" w:type="pct"/>
                  <w:noWrap w:val="0"/>
                  <w:vAlign w:val="center"/>
                </w:tcPr>
                <w:p w14:paraId="4393FB3D">
                  <w:pPr>
                    <w:jc w:val="center"/>
                    <w:rPr>
                      <w:rFonts w:hint="default" w:eastAsia="宋体"/>
                      <w:szCs w:val="21"/>
                      <w:lang w:val="en-US" w:eastAsia="zh-CN"/>
                    </w:rPr>
                  </w:pPr>
                  <w:r>
                    <w:rPr>
                      <w:rFonts w:hint="eastAsia"/>
                      <w:szCs w:val="21"/>
                      <w:lang w:val="en-US" w:eastAsia="zh-CN"/>
                    </w:rPr>
                    <w:t>厂界四周</w:t>
                  </w:r>
                </w:p>
              </w:tc>
              <w:tc>
                <w:tcPr>
                  <w:tcW w:w="394" w:type="pct"/>
                  <w:noWrap w:val="0"/>
                  <w:vAlign w:val="center"/>
                </w:tcPr>
                <w:p w14:paraId="1CE678A8">
                  <w:pPr>
                    <w:jc w:val="center"/>
                    <w:rPr>
                      <w:rFonts w:hint="default" w:eastAsia="宋体"/>
                      <w:szCs w:val="21"/>
                      <w:lang w:val="en-US" w:eastAsia="zh-CN"/>
                    </w:rPr>
                  </w:pPr>
                  <w:r>
                    <w:rPr>
                      <w:rFonts w:hint="eastAsia" w:eastAsia="宋体"/>
                      <w:szCs w:val="21"/>
                      <w:lang w:val="en-US" w:eastAsia="zh-CN"/>
                    </w:rPr>
                    <w:t>/</w:t>
                  </w:r>
                </w:p>
              </w:tc>
              <w:tc>
                <w:tcPr>
                  <w:tcW w:w="424" w:type="pct"/>
                  <w:noWrap w:val="0"/>
                  <w:vAlign w:val="center"/>
                </w:tcPr>
                <w:p w14:paraId="590845D3">
                  <w:pPr>
                    <w:jc w:val="center"/>
                    <w:rPr>
                      <w:rFonts w:hint="default" w:eastAsia="宋体"/>
                      <w:szCs w:val="21"/>
                      <w:lang w:val="en-US" w:eastAsia="zh-CN"/>
                    </w:rPr>
                  </w:pPr>
                  <w:r>
                    <w:rPr>
                      <w:rFonts w:hint="eastAsia" w:eastAsia="宋体"/>
                      <w:szCs w:val="21"/>
                      <w:lang w:val="en-US" w:eastAsia="zh-CN"/>
                    </w:rPr>
                    <w:t>/</w:t>
                  </w:r>
                </w:p>
              </w:tc>
              <w:tc>
                <w:tcPr>
                  <w:tcW w:w="1035" w:type="pct"/>
                  <w:gridSpan w:val="2"/>
                  <w:noWrap w:val="0"/>
                  <w:vAlign w:val="center"/>
                </w:tcPr>
                <w:p w14:paraId="50FB2DFA">
                  <w:pPr>
                    <w:jc w:val="center"/>
                    <w:rPr>
                      <w:rFonts w:hint="eastAsia" w:eastAsia="宋体"/>
                      <w:szCs w:val="21"/>
                      <w:lang w:val="en-US" w:eastAsia="zh-CN"/>
                    </w:rPr>
                  </w:pPr>
                  <w:r>
                    <w:rPr>
                      <w:rFonts w:hint="eastAsia"/>
                      <w:szCs w:val="21"/>
                      <w:lang w:val="en-US" w:eastAsia="zh-CN"/>
                    </w:rPr>
                    <w:t>/</w:t>
                  </w:r>
                </w:p>
              </w:tc>
              <w:tc>
                <w:tcPr>
                  <w:tcW w:w="1058" w:type="pct"/>
                  <w:noWrap w:val="0"/>
                  <w:vAlign w:val="center"/>
                </w:tcPr>
                <w:p w14:paraId="295B01CA">
                  <w:pPr>
                    <w:widowControl/>
                    <w:ind w:left="-84" w:leftChars="-40" w:right="-84" w:rightChars="-40"/>
                    <w:jc w:val="center"/>
                    <w:rPr>
                      <w:rFonts w:hint="eastAsia" w:eastAsia="宋体"/>
                      <w:szCs w:val="21"/>
                      <w:lang w:val="en-US" w:eastAsia="zh-CN"/>
                    </w:rPr>
                  </w:pPr>
                  <w:r>
                    <w:rPr>
                      <w:color w:val="auto"/>
                      <w:szCs w:val="21"/>
                    </w:rPr>
                    <w:t>《声环境质量标准》（GB3096-2008）中</w:t>
                  </w:r>
                  <w:r>
                    <w:rPr>
                      <w:rFonts w:hint="eastAsia"/>
                      <w:color w:val="auto"/>
                      <w:szCs w:val="21"/>
                      <w:lang w:val="en-US" w:eastAsia="zh-CN"/>
                    </w:rPr>
                    <w:t>2</w:t>
                  </w:r>
                  <w:r>
                    <w:rPr>
                      <w:color w:val="auto"/>
                      <w:szCs w:val="21"/>
                    </w:rPr>
                    <w:t>类声环境功能区</w:t>
                  </w:r>
                </w:p>
              </w:tc>
              <w:tc>
                <w:tcPr>
                  <w:tcW w:w="448" w:type="pct"/>
                  <w:noWrap w:val="0"/>
                  <w:vAlign w:val="center"/>
                </w:tcPr>
                <w:p w14:paraId="77CCD08F">
                  <w:pPr>
                    <w:jc w:val="center"/>
                    <w:rPr>
                      <w:rFonts w:hint="eastAsia" w:eastAsia="宋体"/>
                      <w:szCs w:val="21"/>
                      <w:lang w:val="en-US" w:eastAsia="zh-CN"/>
                    </w:rPr>
                  </w:pPr>
                  <w:r>
                    <w:rPr>
                      <w:rFonts w:hint="eastAsia"/>
                      <w:szCs w:val="21"/>
                      <w:lang w:val="en-US" w:eastAsia="zh-CN"/>
                    </w:rPr>
                    <w:t>/</w:t>
                  </w:r>
                </w:p>
              </w:tc>
              <w:tc>
                <w:tcPr>
                  <w:tcW w:w="500" w:type="pct"/>
                  <w:noWrap w:val="0"/>
                  <w:vAlign w:val="center"/>
                </w:tcPr>
                <w:p w14:paraId="4C7F43D0">
                  <w:pPr>
                    <w:jc w:val="center"/>
                    <w:rPr>
                      <w:rFonts w:hint="default" w:eastAsia="宋体"/>
                      <w:szCs w:val="21"/>
                      <w:lang w:val="en-US" w:eastAsia="zh-CN"/>
                    </w:rPr>
                  </w:pPr>
                  <w:r>
                    <w:rPr>
                      <w:rFonts w:hint="eastAsia"/>
                      <w:szCs w:val="21"/>
                      <w:lang w:val="en-US" w:eastAsia="zh-CN"/>
                    </w:rPr>
                    <w:t>50</w:t>
                  </w:r>
                </w:p>
              </w:tc>
            </w:tr>
          </w:tbl>
          <w:p w14:paraId="0B489A11">
            <w:pPr>
              <w:widowControl/>
              <w:ind w:firstLine="420" w:firstLineChars="200"/>
              <w:jc w:val="left"/>
              <w:rPr>
                <w:bCs/>
                <w:color w:val="auto"/>
                <w:sz w:val="24"/>
              </w:rPr>
            </w:pPr>
            <w:r>
              <w:rPr>
                <w:bCs/>
                <w:color w:val="auto"/>
                <w:szCs w:val="21"/>
              </w:rPr>
              <w:t>注：本项目</w:t>
            </w:r>
            <w:r>
              <w:rPr>
                <w:rFonts w:hint="eastAsia"/>
                <w:bCs/>
                <w:color w:val="auto"/>
                <w:szCs w:val="21"/>
              </w:rPr>
              <w:t>以</w:t>
            </w:r>
            <w:r>
              <w:rPr>
                <w:bCs/>
                <w:color w:val="auto"/>
                <w:szCs w:val="21"/>
              </w:rPr>
              <w:t>厂</w:t>
            </w:r>
            <w:r>
              <w:rPr>
                <w:rFonts w:hint="eastAsia"/>
                <w:bCs/>
                <w:color w:val="auto"/>
                <w:szCs w:val="21"/>
                <w:lang w:eastAsia="zh-CN"/>
              </w:rPr>
              <w:t>区</w:t>
            </w:r>
            <w:r>
              <w:rPr>
                <w:rFonts w:hint="eastAsia"/>
                <w:bCs/>
                <w:color w:val="auto"/>
                <w:szCs w:val="21"/>
                <w:lang w:val="en-US" w:eastAsia="zh-CN"/>
              </w:rPr>
              <w:t>西</w:t>
            </w:r>
            <w:r>
              <w:rPr>
                <w:rFonts w:hint="eastAsia"/>
                <w:bCs/>
                <w:color w:val="auto"/>
                <w:szCs w:val="21"/>
                <w:lang w:eastAsia="zh-CN"/>
              </w:rPr>
              <w:t>北</w:t>
            </w:r>
            <w:r>
              <w:rPr>
                <w:rFonts w:hint="eastAsia"/>
                <w:bCs/>
                <w:color w:val="auto"/>
                <w:szCs w:val="21"/>
              </w:rPr>
              <w:t>角（</w:t>
            </w:r>
            <w:r>
              <w:rPr>
                <w:rFonts w:ascii="Times New Roman" w:hAnsi="Times New Roman" w:eastAsia="宋体" w:cs="Times New Roman"/>
                <w:bCs/>
                <w:color w:val="auto"/>
                <w:szCs w:val="21"/>
                <w:highlight w:val="none"/>
              </w:rPr>
              <w:t>N117.013</w:t>
            </w:r>
            <w:r>
              <w:rPr>
                <w:rFonts w:hint="eastAsia" w:cs="Times New Roman"/>
                <w:bCs/>
                <w:color w:val="auto"/>
                <w:szCs w:val="21"/>
                <w:highlight w:val="none"/>
                <w:lang w:val="en-US" w:eastAsia="zh-CN"/>
              </w:rPr>
              <w:t>444</w:t>
            </w:r>
            <w:r>
              <w:rPr>
                <w:rFonts w:ascii="Times New Roman" w:hAnsi="Times New Roman" w:eastAsia="宋体" w:cs="Times New Roman"/>
                <w:bCs/>
                <w:color w:val="auto"/>
                <w:szCs w:val="21"/>
                <w:highlight w:val="none"/>
              </w:rPr>
              <w:t>°, E33.533</w:t>
            </w:r>
            <w:r>
              <w:rPr>
                <w:rFonts w:hint="eastAsia" w:cs="Times New Roman"/>
                <w:bCs/>
                <w:color w:val="auto"/>
                <w:szCs w:val="21"/>
                <w:highlight w:val="none"/>
                <w:lang w:val="en-US" w:eastAsia="zh-CN"/>
              </w:rPr>
              <w:t>641</w:t>
            </w:r>
            <w:r>
              <w:rPr>
                <w:rFonts w:ascii="Times New Roman" w:hAnsi="Times New Roman" w:eastAsia="宋体" w:cs="Times New Roman"/>
                <w:color w:val="auto"/>
                <w:highlight w:val="none"/>
              </w:rPr>
              <w:t>°</w:t>
            </w:r>
            <w:r>
              <w:rPr>
                <w:rFonts w:hint="eastAsia"/>
                <w:bCs/>
                <w:color w:val="auto"/>
                <w:szCs w:val="21"/>
              </w:rPr>
              <w:t>）为</w:t>
            </w:r>
            <w:r>
              <w:rPr>
                <w:bCs/>
                <w:color w:val="auto"/>
                <w:szCs w:val="21"/>
              </w:rPr>
              <w:t>坐标原点</w:t>
            </w:r>
            <w:r>
              <w:rPr>
                <w:bCs/>
                <w:color w:val="auto"/>
                <w:sz w:val="24"/>
              </w:rPr>
              <w:t>。</w:t>
            </w:r>
          </w:p>
        </w:tc>
      </w:tr>
      <w:tr w14:paraId="2EA4C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81" w:type="dxa"/>
            <w:noWrap w:val="0"/>
            <w:tcMar>
              <w:left w:w="28" w:type="dxa"/>
              <w:right w:w="28" w:type="dxa"/>
            </w:tcMar>
            <w:vAlign w:val="center"/>
          </w:tcPr>
          <w:p w14:paraId="422A663D">
            <w:pPr>
              <w:adjustRightInd w:val="0"/>
              <w:snapToGrid w:val="0"/>
              <w:jc w:val="center"/>
              <w:rPr>
                <w:b/>
                <w:kern w:val="0"/>
                <w:szCs w:val="21"/>
              </w:rPr>
            </w:pPr>
            <w:r>
              <w:rPr>
                <w:b/>
                <w:kern w:val="0"/>
                <w:szCs w:val="21"/>
              </w:rPr>
              <w:t>污染</w:t>
            </w:r>
          </w:p>
          <w:p w14:paraId="106E4320">
            <w:pPr>
              <w:adjustRightInd w:val="0"/>
              <w:snapToGrid w:val="0"/>
              <w:jc w:val="center"/>
              <w:rPr>
                <w:b/>
                <w:kern w:val="0"/>
                <w:szCs w:val="21"/>
              </w:rPr>
            </w:pPr>
            <w:r>
              <w:rPr>
                <w:b/>
                <w:kern w:val="0"/>
                <w:szCs w:val="21"/>
              </w:rPr>
              <w:t>物排</w:t>
            </w:r>
          </w:p>
          <w:p w14:paraId="61EA8AE8">
            <w:pPr>
              <w:adjustRightInd w:val="0"/>
              <w:snapToGrid w:val="0"/>
              <w:jc w:val="center"/>
              <w:rPr>
                <w:b/>
                <w:kern w:val="0"/>
                <w:szCs w:val="21"/>
              </w:rPr>
            </w:pPr>
            <w:r>
              <w:rPr>
                <w:b/>
                <w:kern w:val="0"/>
                <w:szCs w:val="21"/>
              </w:rPr>
              <w:t>放控</w:t>
            </w:r>
          </w:p>
          <w:p w14:paraId="15A9D016">
            <w:pPr>
              <w:adjustRightInd w:val="0"/>
              <w:snapToGrid w:val="0"/>
              <w:jc w:val="center"/>
              <w:rPr>
                <w:b/>
                <w:kern w:val="0"/>
                <w:szCs w:val="21"/>
              </w:rPr>
            </w:pPr>
            <w:r>
              <w:rPr>
                <w:b/>
                <w:kern w:val="0"/>
                <w:szCs w:val="21"/>
              </w:rPr>
              <w:t>制标</w:t>
            </w:r>
          </w:p>
          <w:p w14:paraId="6EE37806">
            <w:pPr>
              <w:adjustRightInd w:val="0"/>
              <w:snapToGrid w:val="0"/>
              <w:jc w:val="center"/>
              <w:rPr>
                <w:kern w:val="0"/>
                <w:szCs w:val="21"/>
              </w:rPr>
            </w:pPr>
            <w:r>
              <w:rPr>
                <w:b/>
                <w:kern w:val="0"/>
                <w:szCs w:val="21"/>
              </w:rPr>
              <w:t>准</w:t>
            </w:r>
          </w:p>
        </w:tc>
        <w:tc>
          <w:tcPr>
            <w:tcW w:w="9051" w:type="dxa"/>
            <w:noWrap w:val="0"/>
            <w:vAlign w:val="top"/>
          </w:tcPr>
          <w:p w14:paraId="3864F2AA">
            <w:pPr>
              <w:pStyle w:val="31"/>
              <w:spacing w:before="0" w:beforeAutospacing="0" w:after="0" w:afterAutospacing="0" w:line="360" w:lineRule="auto"/>
              <w:ind w:firstLine="482" w:firstLineChars="200"/>
              <w:rPr>
                <w:rFonts w:ascii="Times New Roman" w:hAnsi="Times New Roman"/>
                <w:b/>
                <w:kern w:val="2"/>
              </w:rPr>
            </w:pPr>
            <w:r>
              <w:rPr>
                <w:rFonts w:ascii="Times New Roman" w:hAnsi="Times New Roman"/>
                <w:b/>
                <w:kern w:val="2"/>
              </w:rPr>
              <w:t>1、废气排放标准</w:t>
            </w:r>
          </w:p>
          <w:p w14:paraId="22378EC2">
            <w:pPr>
              <w:widowControl/>
              <w:spacing w:line="360" w:lineRule="auto"/>
              <w:ind w:firstLine="480" w:firstLineChars="200"/>
              <w:rPr>
                <w:color w:val="4F81BD"/>
                <w:kern w:val="0"/>
                <w:sz w:val="24"/>
                <w:lang w:bidi="ar"/>
              </w:rPr>
            </w:pPr>
            <w:r>
              <w:rPr>
                <w:rFonts w:hint="eastAsia" w:ascii="Times New Roman" w:hAnsi="Times New Roman" w:cs="Times New Roman"/>
                <w:kern w:val="0"/>
                <w:sz w:val="24"/>
                <w:szCs w:val="24"/>
              </w:rPr>
              <w:t>本项目生产过程中非甲烷总烃有组织排放执行</w:t>
            </w:r>
            <w:r>
              <w:rPr>
                <w:rFonts w:hint="eastAsia" w:ascii="Times New Roman" w:hAnsi="Times New Roman" w:cs="Times New Roman"/>
                <w:kern w:val="0"/>
                <w:sz w:val="24"/>
                <w:szCs w:val="24"/>
                <w:lang w:val="en-US" w:eastAsia="zh-CN"/>
              </w:rPr>
              <w:t>安徽省地方标准《固定源挥发性有机物综合排放标准，第6部分：其他行业》（DB34/4812.6-2024）表1中挥发性有机物排放限值</w:t>
            </w:r>
            <w:r>
              <w:rPr>
                <w:rFonts w:hint="eastAsia" w:ascii="Times New Roman" w:hAnsi="Times New Roman" w:cs="Times New Roman"/>
                <w:kern w:val="0"/>
                <w:sz w:val="24"/>
                <w:szCs w:val="24"/>
              </w:rPr>
              <w:t>；厂区内非甲烷总烃无组织排放执行</w:t>
            </w:r>
            <w:r>
              <w:rPr>
                <w:rFonts w:hint="eastAsia" w:ascii="Times New Roman" w:hAnsi="Times New Roman" w:cs="Times New Roman"/>
                <w:kern w:val="0"/>
                <w:sz w:val="24"/>
                <w:szCs w:val="24"/>
                <w:lang w:val="en-US" w:eastAsia="zh-CN"/>
              </w:rPr>
              <w:t>安徽省地方标准《固定源挥发性有机物综合排放标准，第6部分：其他行业》（DB34/4812.6-2024）表4中无组织排放限值</w:t>
            </w:r>
            <w:r>
              <w:rPr>
                <w:rFonts w:hint="eastAsia" w:ascii="Times New Roman" w:hAnsi="Times New Roman" w:cs="Times New Roman"/>
                <w:kern w:val="0"/>
                <w:sz w:val="24"/>
                <w:szCs w:val="24"/>
              </w:rPr>
              <w:t>；</w:t>
            </w:r>
            <w:r>
              <w:rPr>
                <w:rFonts w:hint="eastAsia" w:ascii="Times New Roman" w:hAnsi="Times New Roman" w:cs="Times New Roman"/>
                <w:kern w:val="0"/>
                <w:sz w:val="24"/>
                <w:szCs w:val="24"/>
                <w:lang w:val="en-US" w:eastAsia="zh-CN"/>
              </w:rPr>
              <w:t>企业边界</w:t>
            </w:r>
            <w:r>
              <w:rPr>
                <w:rFonts w:hint="eastAsia" w:ascii="Times New Roman" w:hAnsi="Times New Roman" w:cs="Times New Roman"/>
                <w:kern w:val="0"/>
                <w:sz w:val="24"/>
                <w:szCs w:val="24"/>
              </w:rPr>
              <w:t>非甲烷总烃无组织排放执行</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合成树脂工业污染物排放标准</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GB31572-2015</w:t>
            </w:r>
            <w:r>
              <w:rPr>
                <w:rFonts w:hint="eastAsia" w:ascii="Times New Roman" w:hAnsi="Times New Roman" w:cs="Times New Roman"/>
                <w:kern w:val="0"/>
                <w:sz w:val="24"/>
                <w:szCs w:val="24"/>
                <w:lang w:eastAsia="zh-CN"/>
              </w:rPr>
              <w:t>）</w:t>
            </w:r>
            <w:r>
              <w:rPr>
                <w:rFonts w:hint="eastAsia" w:ascii="Times New Roman" w:hAnsi="Times New Roman" w:cs="Times New Roman"/>
                <w:kern w:val="0"/>
                <w:sz w:val="24"/>
                <w:szCs w:val="24"/>
                <w:lang w:val="en-US" w:eastAsia="zh-CN"/>
              </w:rPr>
              <w:t>表9中无组织排放限值。</w:t>
            </w:r>
            <w:r>
              <w:rPr>
                <w:rFonts w:hint="eastAsia" w:ascii="Times New Roman" w:hAnsi="Times New Roman" w:cs="Times New Roman"/>
                <w:kern w:val="0"/>
                <w:sz w:val="24"/>
                <w:szCs w:val="24"/>
              </w:rPr>
              <w:t>具体标准值如下表</w:t>
            </w:r>
            <w:r>
              <w:rPr>
                <w:kern w:val="0"/>
                <w:sz w:val="24"/>
                <w:lang w:bidi="ar"/>
              </w:rPr>
              <w:t>。</w:t>
            </w:r>
            <w:bookmarkStart w:id="7" w:name="_Toc6576_WPSOffice_Level3"/>
            <w:bookmarkStart w:id="8" w:name="_Toc27452_WPSOffice_Level3"/>
            <w:bookmarkStart w:id="9" w:name="_Toc30444_WPSOffice_Level3"/>
            <w:bookmarkStart w:id="10" w:name="_Toc16244_WPSOffice_Level3"/>
            <w:bookmarkStart w:id="11" w:name="_Toc23559_WPSOffice_Level3"/>
            <w:bookmarkStart w:id="12" w:name="_Toc3163_WPSOffice_Level3"/>
            <w:bookmarkStart w:id="13" w:name="_Toc32586_WPSOffice_Level3"/>
          </w:p>
          <w:p w14:paraId="134231C3">
            <w:pPr>
              <w:keepNext w:val="0"/>
              <w:keepLines w:val="0"/>
              <w:pageBreakBefore w:val="0"/>
              <w:widowControl w:val="0"/>
              <w:numPr>
                <w:ilvl w:val="0"/>
                <w:numId w:val="12"/>
              </w:numPr>
              <w:tabs>
                <w:tab w:val="left" w:pos="420"/>
                <w:tab w:val="clear" w:pos="0"/>
              </w:tabs>
              <w:kinsoku/>
              <w:wordWrap/>
              <w:overflowPunct/>
              <w:topLinePunct w:val="0"/>
              <w:autoSpaceDE/>
              <w:autoSpaceDN/>
              <w:bidi w:val="0"/>
              <w:adjustRightInd/>
              <w:snapToGrid/>
              <w:spacing w:line="240" w:lineRule="auto"/>
              <w:ind w:left="0" w:leftChars="0" w:firstLine="0" w:firstLineChars="0"/>
              <w:jc w:val="center"/>
              <w:textAlignment w:val="auto"/>
              <w:rPr>
                <w:b/>
                <w:snapToGrid w:val="0"/>
                <w:kern w:val="0"/>
                <w:sz w:val="24"/>
              </w:rPr>
            </w:pPr>
            <w:r>
              <w:rPr>
                <w:rFonts w:hint="eastAsia" w:ascii="Times New Roman" w:hAnsi="Times New Roman" w:cs="Times New Roman"/>
                <w:b/>
                <w:bCs/>
                <w:kern w:val="0"/>
                <w:sz w:val="24"/>
                <w:szCs w:val="24"/>
                <w:lang w:val="en-US" w:eastAsia="zh-CN"/>
              </w:rPr>
              <w:t>固定源挥发性有机物综合排放标准，第6部分：其他行业</w:t>
            </w:r>
            <w:r>
              <w:rPr>
                <w:rFonts w:hint="eastAsia" w:cs="Times New Roman"/>
                <w:b/>
                <w:bCs/>
                <w:kern w:val="0"/>
                <w:sz w:val="24"/>
                <w:szCs w:val="24"/>
                <w:lang w:val="en-US" w:eastAsia="zh-CN"/>
              </w:rPr>
              <w:t xml:space="preserve">  单位：mg/m</w:t>
            </w:r>
            <w:r>
              <w:rPr>
                <w:rFonts w:hint="eastAsia" w:cs="Times New Roman"/>
                <w:b/>
                <w:bCs/>
                <w:kern w:val="0"/>
                <w:sz w:val="24"/>
                <w:szCs w:val="24"/>
                <w:vertAlign w:val="superscript"/>
                <w:lang w:val="en-US" w:eastAsia="zh-CN"/>
              </w:rPr>
              <w:t>3</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2067"/>
              <w:gridCol w:w="2679"/>
              <w:gridCol w:w="2608"/>
            </w:tblGrid>
            <w:tr w14:paraId="2ACC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restart"/>
                  <w:noWrap w:val="0"/>
                  <w:vAlign w:val="center"/>
                </w:tcPr>
                <w:p w14:paraId="4A0544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cs="Times New Roman"/>
                      <w:b/>
                      <w:bCs/>
                      <w:kern w:val="0"/>
                      <w:sz w:val="21"/>
                      <w:szCs w:val="21"/>
                      <w:vertAlign w:val="baseline"/>
                      <w:lang w:val="en-US" w:eastAsia="zh-CN"/>
                    </w:rPr>
                    <w:t>污染物项目</w:t>
                  </w:r>
                </w:p>
              </w:tc>
              <w:tc>
                <w:tcPr>
                  <w:tcW w:w="2689" w:type="pct"/>
                  <w:gridSpan w:val="2"/>
                  <w:noWrap w:val="0"/>
                  <w:vAlign w:val="center"/>
                </w:tcPr>
                <w:p w14:paraId="427885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b/>
                      <w:bCs/>
                      <w:kern w:val="0"/>
                      <w:sz w:val="21"/>
                      <w:szCs w:val="21"/>
                      <w:vertAlign w:val="baseline"/>
                    </w:rPr>
                  </w:pPr>
                  <w:r>
                    <w:rPr>
                      <w:rFonts w:hint="eastAsia" w:cs="Times New Roman"/>
                      <w:b/>
                      <w:bCs/>
                      <w:kern w:val="0"/>
                      <w:sz w:val="21"/>
                      <w:szCs w:val="21"/>
                      <w:vertAlign w:val="baseline"/>
                      <w:lang w:val="en-US" w:eastAsia="zh-CN"/>
                    </w:rPr>
                    <w:t>大气污染物排放限值</w:t>
                  </w:r>
                </w:p>
              </w:tc>
              <w:tc>
                <w:tcPr>
                  <w:tcW w:w="1478" w:type="pct"/>
                  <w:vMerge w:val="restart"/>
                  <w:noWrap w:val="0"/>
                  <w:vAlign w:val="center"/>
                </w:tcPr>
                <w:p w14:paraId="4EA1F7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污染物排放监控位置</w:t>
                  </w:r>
                </w:p>
              </w:tc>
            </w:tr>
            <w:tr w14:paraId="3511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vMerge w:val="continue"/>
                  <w:noWrap w:val="0"/>
                  <w:vAlign w:val="center"/>
                </w:tcPr>
                <w:p w14:paraId="528308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kern w:val="0"/>
                      <w:sz w:val="21"/>
                      <w:szCs w:val="21"/>
                      <w:vertAlign w:val="baseline"/>
                    </w:rPr>
                  </w:pPr>
                </w:p>
              </w:tc>
              <w:tc>
                <w:tcPr>
                  <w:tcW w:w="1171" w:type="pct"/>
                  <w:noWrap w:val="0"/>
                  <w:vAlign w:val="center"/>
                </w:tcPr>
                <w:p w14:paraId="6846F5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最高允许排放浓度</w:t>
                  </w:r>
                </w:p>
              </w:tc>
              <w:tc>
                <w:tcPr>
                  <w:tcW w:w="1518" w:type="pct"/>
                  <w:noWrap w:val="0"/>
                  <w:vAlign w:val="center"/>
                </w:tcPr>
                <w:p w14:paraId="49BD51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kern w:val="0"/>
                      <w:sz w:val="21"/>
                      <w:szCs w:val="21"/>
                      <w:vertAlign w:val="baseline"/>
                      <w:lang w:val="en-US" w:eastAsia="zh-CN"/>
                    </w:rPr>
                  </w:pPr>
                  <w:r>
                    <w:rPr>
                      <w:rFonts w:hint="eastAsia" w:ascii="Times New Roman" w:hAnsi="Times New Roman" w:eastAsia="宋体" w:cs="Times New Roman"/>
                      <w:b/>
                      <w:bCs/>
                      <w:kern w:val="0"/>
                      <w:sz w:val="21"/>
                      <w:szCs w:val="21"/>
                      <w:vertAlign w:val="baseline"/>
                      <w:lang w:val="en-US" w:eastAsia="zh-CN"/>
                    </w:rPr>
                    <w:t>最高允许排放速率kg/h</w:t>
                  </w:r>
                </w:p>
              </w:tc>
              <w:tc>
                <w:tcPr>
                  <w:tcW w:w="1478" w:type="pct"/>
                  <w:vMerge w:val="continue"/>
                  <w:noWrap w:val="0"/>
                  <w:vAlign w:val="center"/>
                </w:tcPr>
                <w:p w14:paraId="26CC24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s="Times New Roman"/>
                      <w:kern w:val="0"/>
                      <w:sz w:val="21"/>
                      <w:szCs w:val="21"/>
                      <w:vertAlign w:val="baseline"/>
                    </w:rPr>
                  </w:pPr>
                </w:p>
              </w:tc>
            </w:tr>
            <w:tr w14:paraId="54A0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14:paraId="05B07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非甲烷总烃</w:t>
                  </w:r>
                </w:p>
              </w:tc>
              <w:tc>
                <w:tcPr>
                  <w:tcW w:w="1171" w:type="pct"/>
                  <w:noWrap w:val="0"/>
                  <w:vAlign w:val="center"/>
                </w:tcPr>
                <w:p w14:paraId="6AF579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cs="Times New Roman"/>
                      <w:kern w:val="0"/>
                      <w:sz w:val="21"/>
                      <w:szCs w:val="21"/>
                      <w:vertAlign w:val="baseline"/>
                      <w:lang w:val="en-US" w:eastAsia="zh-CN"/>
                    </w:rPr>
                    <w:t>40</w:t>
                  </w:r>
                </w:p>
              </w:tc>
              <w:tc>
                <w:tcPr>
                  <w:tcW w:w="1518" w:type="pct"/>
                  <w:noWrap w:val="0"/>
                  <w:vAlign w:val="center"/>
                </w:tcPr>
                <w:p w14:paraId="15DA0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1.6</w:t>
                  </w:r>
                </w:p>
              </w:tc>
              <w:tc>
                <w:tcPr>
                  <w:tcW w:w="1478" w:type="pct"/>
                  <w:noWrap w:val="0"/>
                  <w:vAlign w:val="center"/>
                </w:tcPr>
                <w:p w14:paraId="51354B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eastAsia="宋体" w:cs="Times New Roman"/>
                      <w:kern w:val="0"/>
                      <w:sz w:val="21"/>
                      <w:szCs w:val="21"/>
                      <w:vertAlign w:val="baseline"/>
                      <w:lang w:val="en-US" w:eastAsia="zh-CN"/>
                    </w:rPr>
                    <w:t>车间或生产设施的排气筒</w:t>
                  </w:r>
                </w:p>
              </w:tc>
            </w:tr>
          </w:tbl>
          <w:p w14:paraId="45264FFB">
            <w:pPr>
              <w:keepNext w:val="0"/>
              <w:keepLines w:val="0"/>
              <w:pageBreakBefore w:val="0"/>
              <w:widowControl w:val="0"/>
              <w:numPr>
                <w:ilvl w:val="0"/>
                <w:numId w:val="12"/>
              </w:numPr>
              <w:tabs>
                <w:tab w:val="left" w:pos="420"/>
                <w:tab w:val="clear" w:pos="0"/>
              </w:tabs>
              <w:kinsoku/>
              <w:wordWrap/>
              <w:overflowPunct/>
              <w:topLinePunct w:val="0"/>
              <w:autoSpaceDE/>
              <w:autoSpaceDN/>
              <w:bidi w:val="0"/>
              <w:adjustRightInd/>
              <w:snapToGrid/>
              <w:spacing w:before="120" w:beforeLines="50" w:line="240" w:lineRule="auto"/>
              <w:ind w:left="0" w:leftChars="0" w:firstLine="0" w:firstLineChars="0"/>
              <w:jc w:val="center"/>
              <w:textAlignment w:val="auto"/>
              <w:rPr>
                <w:b/>
                <w:snapToGrid w:val="0"/>
                <w:kern w:val="0"/>
                <w:sz w:val="24"/>
              </w:rPr>
            </w:pPr>
            <w:r>
              <w:rPr>
                <w:rFonts w:hint="eastAsia" w:ascii="Times New Roman" w:hAnsi="Times New Roman" w:cs="Times New Roman"/>
                <w:b/>
                <w:bCs/>
                <w:kern w:val="0"/>
                <w:sz w:val="24"/>
                <w:szCs w:val="24"/>
                <w:lang w:val="en-US" w:eastAsia="zh-CN"/>
              </w:rPr>
              <w:t xml:space="preserve">固定源挥发性有机物综合排放标准，第6部分：其他行业  </w:t>
            </w:r>
            <w:r>
              <w:rPr>
                <w:rFonts w:hint="eastAsia" w:cs="Times New Roman"/>
                <w:b/>
                <w:bCs/>
                <w:kern w:val="0"/>
                <w:sz w:val="24"/>
                <w:szCs w:val="24"/>
                <w:lang w:val="en-US" w:eastAsia="zh-CN"/>
              </w:rPr>
              <w:t>单位：mg/m</w:t>
            </w:r>
            <w:r>
              <w:rPr>
                <w:rFonts w:hint="eastAsia" w:cs="Times New Roman"/>
                <w:b/>
                <w:bCs/>
                <w:kern w:val="0"/>
                <w:sz w:val="24"/>
                <w:szCs w:val="24"/>
                <w:vertAlign w:val="superscript"/>
                <w:lang w:val="en-US" w:eastAsia="zh-CN"/>
              </w:rPr>
              <w:t>3</w:t>
            </w:r>
          </w:p>
          <w:tbl>
            <w:tblPr>
              <w:tblStyle w:val="34"/>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569"/>
              <w:gridCol w:w="2527"/>
              <w:gridCol w:w="3347"/>
            </w:tblGrid>
            <w:tr w14:paraId="1784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3" w:type="dxa"/>
                  <w:noWrap w:val="0"/>
                  <w:vAlign w:val="center"/>
                </w:tcPr>
                <w:p w14:paraId="35D87B33">
                  <w:pPr>
                    <w:pStyle w:val="84"/>
                    <w:spacing w:line="240" w:lineRule="auto"/>
                    <w:rPr>
                      <w:rFonts w:ascii="Times New Roman" w:hAnsi="Times New Roman" w:cs="Times New Roman"/>
                      <w:bCs/>
                      <w:sz w:val="21"/>
                    </w:rPr>
                  </w:pPr>
                  <w:r>
                    <w:rPr>
                      <w:rFonts w:ascii="Times New Roman" w:hAnsi="Times New Roman" w:cs="Times New Roman"/>
                      <w:bCs/>
                      <w:sz w:val="21"/>
                    </w:rPr>
                    <w:t>污染物项目</w:t>
                  </w:r>
                </w:p>
              </w:tc>
              <w:tc>
                <w:tcPr>
                  <w:tcW w:w="1569" w:type="dxa"/>
                  <w:noWrap w:val="0"/>
                  <w:vAlign w:val="center"/>
                </w:tcPr>
                <w:p w14:paraId="3C6FFB83">
                  <w:pPr>
                    <w:pStyle w:val="84"/>
                    <w:spacing w:line="240" w:lineRule="auto"/>
                    <w:rPr>
                      <w:rFonts w:ascii="Times New Roman" w:hAnsi="Times New Roman" w:cs="Times New Roman"/>
                      <w:bCs/>
                      <w:sz w:val="21"/>
                    </w:rPr>
                  </w:pPr>
                  <w:r>
                    <w:rPr>
                      <w:rFonts w:ascii="Times New Roman" w:hAnsi="Times New Roman" w:cs="Times New Roman"/>
                      <w:bCs/>
                      <w:sz w:val="21"/>
                    </w:rPr>
                    <w:t>特别排放限值</w:t>
                  </w:r>
                </w:p>
              </w:tc>
              <w:tc>
                <w:tcPr>
                  <w:tcW w:w="2527" w:type="dxa"/>
                  <w:noWrap w:val="0"/>
                  <w:vAlign w:val="center"/>
                </w:tcPr>
                <w:p w14:paraId="46C1452E">
                  <w:pPr>
                    <w:pStyle w:val="84"/>
                    <w:spacing w:line="240" w:lineRule="auto"/>
                    <w:rPr>
                      <w:rFonts w:ascii="Times New Roman" w:hAnsi="Times New Roman" w:cs="Times New Roman"/>
                      <w:bCs/>
                      <w:sz w:val="21"/>
                    </w:rPr>
                  </w:pPr>
                  <w:r>
                    <w:rPr>
                      <w:rFonts w:ascii="Times New Roman" w:hAnsi="Times New Roman" w:cs="Times New Roman"/>
                      <w:bCs/>
                      <w:sz w:val="21"/>
                    </w:rPr>
                    <w:t>限值含义</w:t>
                  </w:r>
                </w:p>
              </w:tc>
              <w:tc>
                <w:tcPr>
                  <w:tcW w:w="3347" w:type="dxa"/>
                  <w:noWrap w:val="0"/>
                  <w:vAlign w:val="center"/>
                </w:tcPr>
                <w:p w14:paraId="5B082BB1">
                  <w:pPr>
                    <w:pStyle w:val="84"/>
                    <w:spacing w:line="240" w:lineRule="auto"/>
                    <w:rPr>
                      <w:rFonts w:ascii="Times New Roman" w:hAnsi="Times New Roman" w:cs="Times New Roman"/>
                      <w:bCs/>
                      <w:sz w:val="21"/>
                    </w:rPr>
                  </w:pPr>
                  <w:r>
                    <w:rPr>
                      <w:rFonts w:ascii="Times New Roman" w:hAnsi="Times New Roman" w:cs="Times New Roman"/>
                      <w:bCs/>
                      <w:sz w:val="21"/>
                    </w:rPr>
                    <w:t>无组织排放监控位置</w:t>
                  </w:r>
                </w:p>
              </w:tc>
            </w:tr>
            <w:tr w14:paraId="34F2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333" w:type="dxa"/>
                  <w:vMerge w:val="restart"/>
                  <w:noWrap w:val="0"/>
                  <w:vAlign w:val="center"/>
                </w:tcPr>
                <w:p w14:paraId="7CB0D037">
                  <w:pPr>
                    <w:pStyle w:val="84"/>
                    <w:spacing w:line="240" w:lineRule="auto"/>
                    <w:rPr>
                      <w:rFonts w:ascii="Times New Roman" w:hAnsi="Times New Roman" w:cs="Times New Roman"/>
                      <w:sz w:val="21"/>
                    </w:rPr>
                  </w:pPr>
                  <w:r>
                    <w:rPr>
                      <w:rFonts w:ascii="Times New Roman" w:hAnsi="Times New Roman" w:cs="Times New Roman"/>
                      <w:sz w:val="21"/>
                    </w:rPr>
                    <w:t>NMHC</w:t>
                  </w:r>
                </w:p>
              </w:tc>
              <w:tc>
                <w:tcPr>
                  <w:tcW w:w="1569" w:type="dxa"/>
                  <w:noWrap w:val="0"/>
                  <w:vAlign w:val="center"/>
                </w:tcPr>
                <w:p w14:paraId="53C0ECB7">
                  <w:pPr>
                    <w:pStyle w:val="84"/>
                    <w:spacing w:line="240" w:lineRule="auto"/>
                    <w:rPr>
                      <w:rFonts w:ascii="Times New Roman" w:hAnsi="Times New Roman" w:cs="Times New Roman"/>
                      <w:sz w:val="21"/>
                    </w:rPr>
                  </w:pPr>
                  <w:r>
                    <w:rPr>
                      <w:rFonts w:ascii="Times New Roman" w:hAnsi="Times New Roman" w:cs="Times New Roman"/>
                      <w:sz w:val="21"/>
                    </w:rPr>
                    <w:t>6</w:t>
                  </w:r>
                </w:p>
              </w:tc>
              <w:tc>
                <w:tcPr>
                  <w:tcW w:w="2527" w:type="dxa"/>
                  <w:noWrap w:val="0"/>
                  <w:vAlign w:val="center"/>
                </w:tcPr>
                <w:p w14:paraId="35B23E1E">
                  <w:pPr>
                    <w:pStyle w:val="84"/>
                    <w:spacing w:line="240" w:lineRule="auto"/>
                    <w:rPr>
                      <w:rFonts w:ascii="Times New Roman" w:hAnsi="Times New Roman" w:cs="Times New Roman"/>
                      <w:sz w:val="21"/>
                    </w:rPr>
                  </w:pPr>
                  <w:r>
                    <w:rPr>
                      <w:rFonts w:ascii="Times New Roman" w:hAnsi="Times New Roman" w:cs="Times New Roman"/>
                      <w:sz w:val="21"/>
                    </w:rPr>
                    <w:t>监控点处1h平均浓度值</w:t>
                  </w:r>
                </w:p>
              </w:tc>
              <w:tc>
                <w:tcPr>
                  <w:tcW w:w="3347" w:type="dxa"/>
                  <w:vMerge w:val="restart"/>
                  <w:noWrap w:val="0"/>
                  <w:vAlign w:val="center"/>
                </w:tcPr>
                <w:p w14:paraId="62A279AB">
                  <w:pPr>
                    <w:pStyle w:val="84"/>
                    <w:spacing w:line="240" w:lineRule="auto"/>
                    <w:rPr>
                      <w:rFonts w:ascii="Times New Roman" w:hAnsi="Times New Roman" w:cs="Times New Roman"/>
                      <w:sz w:val="21"/>
                    </w:rPr>
                  </w:pPr>
                  <w:r>
                    <w:rPr>
                      <w:rFonts w:ascii="Times New Roman" w:hAnsi="Times New Roman" w:cs="Times New Roman"/>
                      <w:sz w:val="21"/>
                    </w:rPr>
                    <w:t>在厂房外设置监控点</w:t>
                  </w:r>
                </w:p>
              </w:tc>
            </w:tr>
            <w:tr w14:paraId="0AC5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3" w:type="dxa"/>
                  <w:vMerge w:val="continue"/>
                  <w:noWrap w:val="0"/>
                  <w:vAlign w:val="center"/>
                </w:tcPr>
                <w:p w14:paraId="720CE421">
                  <w:pPr>
                    <w:pStyle w:val="84"/>
                    <w:spacing w:line="240" w:lineRule="auto"/>
                    <w:rPr>
                      <w:rFonts w:ascii="Times New Roman" w:hAnsi="Times New Roman" w:cs="Times New Roman"/>
                      <w:sz w:val="21"/>
                    </w:rPr>
                  </w:pPr>
                </w:p>
              </w:tc>
              <w:tc>
                <w:tcPr>
                  <w:tcW w:w="1569" w:type="dxa"/>
                  <w:noWrap w:val="0"/>
                  <w:vAlign w:val="center"/>
                </w:tcPr>
                <w:p w14:paraId="0170F729">
                  <w:pPr>
                    <w:pStyle w:val="84"/>
                    <w:spacing w:line="240" w:lineRule="auto"/>
                    <w:rPr>
                      <w:rFonts w:ascii="Times New Roman" w:hAnsi="Times New Roman" w:cs="Times New Roman"/>
                      <w:sz w:val="21"/>
                    </w:rPr>
                  </w:pPr>
                  <w:r>
                    <w:rPr>
                      <w:rFonts w:ascii="Times New Roman" w:hAnsi="Times New Roman" w:cs="Times New Roman"/>
                      <w:sz w:val="21"/>
                    </w:rPr>
                    <w:t>20</w:t>
                  </w:r>
                </w:p>
              </w:tc>
              <w:tc>
                <w:tcPr>
                  <w:tcW w:w="2527" w:type="dxa"/>
                  <w:noWrap w:val="0"/>
                  <w:vAlign w:val="center"/>
                </w:tcPr>
                <w:p w14:paraId="58283733">
                  <w:pPr>
                    <w:pStyle w:val="84"/>
                    <w:spacing w:line="240" w:lineRule="auto"/>
                    <w:rPr>
                      <w:rFonts w:ascii="Times New Roman" w:hAnsi="Times New Roman" w:cs="Times New Roman"/>
                      <w:sz w:val="21"/>
                    </w:rPr>
                  </w:pPr>
                  <w:r>
                    <w:rPr>
                      <w:rFonts w:ascii="Times New Roman" w:hAnsi="Times New Roman" w:cs="Times New Roman"/>
                      <w:sz w:val="21"/>
                    </w:rPr>
                    <w:t>监控点处任意一次浓度值</w:t>
                  </w:r>
                </w:p>
              </w:tc>
              <w:tc>
                <w:tcPr>
                  <w:tcW w:w="3347" w:type="dxa"/>
                  <w:vMerge w:val="continue"/>
                  <w:noWrap w:val="0"/>
                  <w:vAlign w:val="center"/>
                </w:tcPr>
                <w:p w14:paraId="2C566AFD">
                  <w:pPr>
                    <w:pStyle w:val="84"/>
                    <w:spacing w:line="240" w:lineRule="auto"/>
                    <w:rPr>
                      <w:rFonts w:ascii="Times New Roman" w:hAnsi="Times New Roman" w:cs="Times New Roman"/>
                      <w:sz w:val="21"/>
                    </w:rPr>
                  </w:pPr>
                </w:p>
              </w:tc>
            </w:tr>
            <w:bookmarkEnd w:id="7"/>
            <w:bookmarkEnd w:id="8"/>
            <w:bookmarkEnd w:id="9"/>
            <w:bookmarkEnd w:id="10"/>
            <w:bookmarkEnd w:id="11"/>
            <w:bookmarkEnd w:id="12"/>
            <w:bookmarkEnd w:id="13"/>
          </w:tbl>
          <w:p w14:paraId="3C8D239C">
            <w:pPr>
              <w:pStyle w:val="13"/>
              <w:keepNext w:val="0"/>
              <w:keepLines w:val="0"/>
              <w:pageBreakBefore w:val="0"/>
              <w:widowControl/>
              <w:numPr>
                <w:ilvl w:val="0"/>
                <w:numId w:val="12"/>
              </w:numPr>
              <w:kinsoku/>
              <w:wordWrap/>
              <w:overflowPunct/>
              <w:topLinePunct w:val="0"/>
              <w:autoSpaceDE/>
              <w:autoSpaceDN/>
              <w:bidi w:val="0"/>
              <w:adjustRightInd/>
              <w:snapToGrid w:val="0"/>
              <w:spacing w:before="0" w:after="0" w:line="240" w:lineRule="auto"/>
              <w:ind w:left="0" w:leftChars="0" w:right="0" w:firstLine="0" w:firstLineChars="0"/>
              <w:jc w:val="left"/>
              <w:textAlignment w:val="auto"/>
              <w:rPr>
                <w:rFonts w:hint="default" w:eastAsia="宋体"/>
                <w:b/>
                <w:bCs/>
                <w:sz w:val="24"/>
                <w:szCs w:val="24"/>
                <w:lang w:val="en-US" w:eastAsia="zh-CN"/>
              </w:rPr>
            </w:pPr>
            <w:r>
              <w:rPr>
                <w:rFonts w:hint="eastAsia"/>
                <w:b/>
                <w:bCs/>
                <w:kern w:val="0"/>
                <w:sz w:val="24"/>
              </w:rPr>
              <w:t>《合成树脂工业污染物排放标准》（GB31572-2015） 单位：mg/m</w:t>
            </w:r>
            <w:r>
              <w:rPr>
                <w:rFonts w:hint="eastAsia"/>
                <w:b/>
                <w:bCs/>
                <w:kern w:val="0"/>
                <w:sz w:val="24"/>
                <w:vertAlign w:val="superscript"/>
              </w:rPr>
              <w:t>3</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5"/>
              <w:gridCol w:w="2945"/>
              <w:gridCol w:w="2945"/>
            </w:tblGrid>
            <w:tr w14:paraId="2E38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5" w:type="dxa"/>
                  <w:noWrap w:val="0"/>
                  <w:vAlign w:val="top"/>
                </w:tcPr>
                <w:p w14:paraId="1367DB75">
                  <w:pPr>
                    <w:bidi w:val="0"/>
                    <w:jc w:val="center"/>
                    <w:rPr>
                      <w:rFonts w:hint="eastAsia"/>
                      <w:b/>
                      <w:bCs/>
                      <w:lang w:val="en-US" w:eastAsia="zh-CN"/>
                    </w:rPr>
                  </w:pPr>
                  <w:r>
                    <w:rPr>
                      <w:rFonts w:hint="eastAsia"/>
                      <w:b/>
                      <w:bCs/>
                      <w:lang w:val="en-US" w:eastAsia="zh-CN"/>
                    </w:rPr>
                    <w:t>序号</w:t>
                  </w:r>
                </w:p>
              </w:tc>
              <w:tc>
                <w:tcPr>
                  <w:tcW w:w="2945" w:type="dxa"/>
                  <w:noWrap w:val="0"/>
                  <w:vAlign w:val="top"/>
                </w:tcPr>
                <w:p w14:paraId="57B73B62">
                  <w:pPr>
                    <w:bidi w:val="0"/>
                    <w:jc w:val="center"/>
                    <w:rPr>
                      <w:rFonts w:hint="default"/>
                      <w:b/>
                      <w:bCs/>
                      <w:lang w:val="en-US" w:eastAsia="zh-CN"/>
                    </w:rPr>
                  </w:pPr>
                  <w:r>
                    <w:rPr>
                      <w:rFonts w:hint="eastAsia"/>
                      <w:b/>
                      <w:bCs/>
                      <w:lang w:val="en-US" w:eastAsia="zh-CN"/>
                    </w:rPr>
                    <w:t>污染物项目</w:t>
                  </w:r>
                </w:p>
              </w:tc>
              <w:tc>
                <w:tcPr>
                  <w:tcW w:w="2945" w:type="dxa"/>
                  <w:noWrap w:val="0"/>
                  <w:vAlign w:val="top"/>
                </w:tcPr>
                <w:p w14:paraId="4E7FA6F4">
                  <w:pPr>
                    <w:bidi w:val="0"/>
                    <w:jc w:val="center"/>
                    <w:rPr>
                      <w:rFonts w:hint="eastAsia"/>
                      <w:b/>
                      <w:bCs/>
                      <w:lang w:val="en-US" w:eastAsia="zh-CN"/>
                    </w:rPr>
                  </w:pPr>
                  <w:r>
                    <w:rPr>
                      <w:rFonts w:hint="eastAsia"/>
                      <w:b/>
                      <w:bCs/>
                      <w:lang w:val="en-US" w:eastAsia="zh-CN"/>
                    </w:rPr>
                    <w:t>限值</w:t>
                  </w:r>
                </w:p>
              </w:tc>
            </w:tr>
            <w:tr w14:paraId="1CC5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5" w:type="dxa"/>
                  <w:noWrap w:val="0"/>
                  <w:vAlign w:val="top"/>
                </w:tcPr>
                <w:p w14:paraId="15D1E92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1</w:t>
                  </w:r>
                </w:p>
              </w:tc>
              <w:tc>
                <w:tcPr>
                  <w:tcW w:w="2945" w:type="dxa"/>
                  <w:noWrap w:val="0"/>
                  <w:vAlign w:val="top"/>
                </w:tcPr>
                <w:p w14:paraId="4AA2EB8F">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rPr>
                    <w:t>非甲烷总烃</w:t>
                  </w:r>
                </w:p>
              </w:tc>
              <w:tc>
                <w:tcPr>
                  <w:tcW w:w="2945" w:type="dxa"/>
                  <w:noWrap w:val="0"/>
                  <w:vAlign w:val="top"/>
                </w:tcPr>
                <w:p w14:paraId="6387BF4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4.0</w:t>
                  </w:r>
                </w:p>
              </w:tc>
            </w:tr>
          </w:tbl>
          <w:p w14:paraId="1191896F">
            <w:pPr>
              <w:pStyle w:val="13"/>
              <w:spacing w:before="0" w:after="0" w:line="360" w:lineRule="auto"/>
              <w:ind w:right="0" w:firstLine="482" w:firstLineChars="200"/>
              <w:jc w:val="left"/>
              <w:rPr>
                <w:b/>
                <w:bCs/>
                <w:sz w:val="24"/>
                <w:szCs w:val="24"/>
              </w:rPr>
            </w:pPr>
            <w:r>
              <w:rPr>
                <w:b/>
                <w:bCs/>
                <w:sz w:val="24"/>
                <w:szCs w:val="24"/>
              </w:rPr>
              <w:t>2、废水排放标准</w:t>
            </w:r>
          </w:p>
          <w:p w14:paraId="1659CCEA">
            <w:pPr>
              <w:spacing w:line="360" w:lineRule="auto"/>
              <w:ind w:firstLine="480" w:firstLineChars="200"/>
              <w:rPr>
                <w:rFonts w:hint="default"/>
                <w:sz w:val="24"/>
                <w:lang w:val="en-US"/>
              </w:rPr>
            </w:pPr>
            <w:r>
              <w:rPr>
                <w:rFonts w:hint="eastAsia" w:ascii="Times New Roman" w:hAnsi="Times New Roman" w:cs="Times New Roman"/>
                <w:kern w:val="0"/>
                <w:sz w:val="24"/>
                <w:szCs w:val="24"/>
              </w:rPr>
              <w:t>项目区</w:t>
            </w:r>
            <w:r>
              <w:rPr>
                <w:rFonts w:hint="eastAsia" w:cs="Times New Roman"/>
                <w:kern w:val="0"/>
                <w:sz w:val="24"/>
                <w:szCs w:val="24"/>
                <w:lang w:val="en-US" w:eastAsia="zh-CN"/>
              </w:rPr>
              <w:t>冷却水循环使用，仅定期补充，不外排；生</w:t>
            </w:r>
            <w:r>
              <w:rPr>
                <w:rFonts w:hint="eastAsia" w:ascii="Times New Roman" w:hAnsi="Times New Roman" w:cs="Times New Roman"/>
                <w:kern w:val="0"/>
                <w:sz w:val="24"/>
                <w:szCs w:val="24"/>
              </w:rPr>
              <w:t>活污水依托现有化粪池预处理后</w:t>
            </w:r>
            <w:r>
              <w:rPr>
                <w:rFonts w:hint="eastAsia" w:ascii="Times New Roman" w:hAnsi="Times New Roman" w:cs="Times New Roman"/>
                <w:kern w:val="0"/>
                <w:sz w:val="24"/>
                <w:szCs w:val="24"/>
                <w:lang w:val="en-US" w:eastAsia="zh-CN"/>
              </w:rPr>
              <w:t>委托环卫部门清运处置</w:t>
            </w:r>
            <w:r>
              <w:rPr>
                <w:rFonts w:hint="eastAsia" w:cs="Times New Roman"/>
                <w:kern w:val="0"/>
                <w:sz w:val="24"/>
                <w:szCs w:val="24"/>
                <w:lang w:val="en-US" w:eastAsia="zh-CN"/>
              </w:rPr>
              <w:t>。因此，本项目无外排废水，不执行相关标准。</w:t>
            </w:r>
          </w:p>
          <w:p w14:paraId="15BFBD4A">
            <w:pPr>
              <w:pStyle w:val="13"/>
              <w:keepNext w:val="0"/>
              <w:keepLines w:val="0"/>
              <w:pageBreakBefore w:val="0"/>
              <w:widowControl/>
              <w:kinsoku/>
              <w:wordWrap/>
              <w:overflowPunct/>
              <w:topLinePunct w:val="0"/>
              <w:autoSpaceDE/>
              <w:autoSpaceDN/>
              <w:bidi w:val="0"/>
              <w:adjustRightInd w:val="0"/>
              <w:snapToGrid w:val="0"/>
              <w:spacing w:before="157" w:beforeLines="50" w:after="0" w:line="360" w:lineRule="auto"/>
              <w:ind w:right="113" w:firstLine="482" w:firstLineChars="200"/>
              <w:jc w:val="left"/>
              <w:textAlignment w:val="auto"/>
              <w:rPr>
                <w:b/>
                <w:bCs/>
                <w:sz w:val="24"/>
                <w:szCs w:val="24"/>
              </w:rPr>
            </w:pPr>
            <w:r>
              <w:rPr>
                <w:b/>
                <w:bCs/>
                <w:sz w:val="24"/>
                <w:szCs w:val="24"/>
              </w:rPr>
              <w:t>3、噪声排放标准</w:t>
            </w:r>
          </w:p>
          <w:p w14:paraId="624C0A62">
            <w:pPr>
              <w:widowControl/>
              <w:spacing w:line="360" w:lineRule="auto"/>
              <w:ind w:firstLine="480" w:firstLineChars="200"/>
              <w:rPr>
                <w:rFonts w:hint="eastAsia"/>
                <w:sz w:val="24"/>
              </w:rPr>
            </w:pPr>
            <w:r>
              <w:rPr>
                <w:kern w:val="0"/>
                <w:sz w:val="24"/>
              </w:rPr>
              <w:t>营运期</w:t>
            </w:r>
            <w:r>
              <w:rPr>
                <w:rFonts w:hint="eastAsia"/>
                <w:kern w:val="0"/>
                <w:sz w:val="24"/>
              </w:rPr>
              <w:t>厂界四周</w:t>
            </w:r>
            <w:r>
              <w:rPr>
                <w:kern w:val="0"/>
                <w:sz w:val="24"/>
              </w:rPr>
              <w:t>执行</w:t>
            </w:r>
            <w:r>
              <w:rPr>
                <w:sz w:val="24"/>
              </w:rPr>
              <w:t>《工业企业厂界环境噪声排放标准》（GB</w:t>
            </w:r>
            <w:r>
              <w:rPr>
                <w:rFonts w:hint="eastAsia"/>
                <w:sz w:val="24"/>
                <w:lang w:val="en-US" w:eastAsia="zh-CN"/>
              </w:rPr>
              <w:t>12348</w:t>
            </w:r>
            <w:r>
              <w:rPr>
                <w:sz w:val="24"/>
              </w:rPr>
              <w:t>-2008）</w:t>
            </w:r>
            <w:r>
              <w:rPr>
                <w:rFonts w:hint="eastAsia"/>
                <w:sz w:val="24"/>
              </w:rPr>
              <w:t>2</w:t>
            </w:r>
            <w:r>
              <w:rPr>
                <w:sz w:val="24"/>
              </w:rPr>
              <w:t>类</w:t>
            </w:r>
            <w:r>
              <w:rPr>
                <w:rFonts w:hint="eastAsia"/>
                <w:sz w:val="24"/>
              </w:rPr>
              <w:t>标准</w:t>
            </w:r>
            <w:r>
              <w:rPr>
                <w:rFonts w:hint="eastAsia"/>
                <w:sz w:val="24"/>
                <w:lang w:eastAsia="zh-CN"/>
              </w:rPr>
              <w:t>。</w:t>
            </w:r>
            <w:r>
              <w:rPr>
                <w:sz w:val="24"/>
              </w:rPr>
              <w:t>具体见下表。</w:t>
            </w:r>
          </w:p>
          <w:p w14:paraId="6B062002">
            <w:pPr>
              <w:numPr>
                <w:ilvl w:val="0"/>
                <w:numId w:val="12"/>
              </w:numPr>
              <w:tabs>
                <w:tab w:val="left" w:pos="420"/>
                <w:tab w:val="clear" w:pos="0"/>
              </w:tabs>
              <w:spacing w:line="360" w:lineRule="auto"/>
              <w:jc w:val="center"/>
              <w:rPr>
                <w:b/>
                <w:sz w:val="24"/>
              </w:rPr>
            </w:pPr>
            <w:r>
              <w:rPr>
                <w:b/>
                <w:bCs/>
                <w:sz w:val="24"/>
              </w:rPr>
              <w:t>厂界环境噪声排放标准</w:t>
            </w:r>
            <w:r>
              <w:rPr>
                <w:b/>
                <w:sz w:val="24"/>
              </w:rPr>
              <w:t xml:space="preserve">  单位：dB</w:t>
            </w:r>
            <w:r>
              <w:rPr>
                <w:rFonts w:hint="eastAsia" w:ascii="宋体" w:hAnsi="宋体" w:cs="宋体"/>
                <w:b/>
                <w:sz w:val="24"/>
              </w:rPr>
              <w:t>(</w:t>
            </w:r>
            <w:r>
              <w:rPr>
                <w:b/>
                <w:sz w:val="24"/>
              </w:rPr>
              <w:t>A</w:t>
            </w:r>
            <w:r>
              <w:rPr>
                <w:rFonts w:hint="eastAsia" w:ascii="宋体" w:hAnsi="宋体" w:cs="宋体"/>
                <w:b/>
                <w:sz w:val="24"/>
              </w:rPr>
              <w:t>)</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0"/>
              <w:gridCol w:w="1260"/>
              <w:gridCol w:w="1800"/>
            </w:tblGrid>
            <w:tr w14:paraId="4E25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3118F8A8">
                  <w:pPr>
                    <w:jc w:val="center"/>
                    <w:rPr>
                      <w:rFonts w:ascii="Times New Roman" w:hAnsi="Times New Roman" w:eastAsia="宋体" w:cs="Times New Roman"/>
                      <w:kern w:val="0"/>
                      <w:szCs w:val="21"/>
                    </w:rPr>
                  </w:pPr>
                  <w:r>
                    <w:rPr>
                      <w:rFonts w:ascii="Times New Roman" w:hAnsi="Times New Roman" w:eastAsia="宋体" w:cs="Times New Roman"/>
                      <w:kern w:val="0"/>
                      <w:szCs w:val="21"/>
                    </w:rPr>
                    <w:t>类别</w:t>
                  </w:r>
                </w:p>
              </w:tc>
              <w:tc>
                <w:tcPr>
                  <w:tcW w:w="714" w:type="pct"/>
                  <w:vAlign w:val="center"/>
                </w:tcPr>
                <w:p w14:paraId="3C6433CB">
                  <w:pPr>
                    <w:jc w:val="center"/>
                    <w:rPr>
                      <w:rFonts w:ascii="Times New Roman" w:hAnsi="Times New Roman" w:eastAsia="宋体" w:cs="Times New Roman"/>
                      <w:kern w:val="0"/>
                      <w:szCs w:val="21"/>
                    </w:rPr>
                  </w:pPr>
                  <w:r>
                    <w:rPr>
                      <w:rFonts w:ascii="Times New Roman" w:hAnsi="Times New Roman" w:eastAsia="宋体" w:cs="Times New Roman"/>
                      <w:kern w:val="0"/>
                      <w:szCs w:val="21"/>
                    </w:rPr>
                    <w:t>昼  间</w:t>
                  </w:r>
                </w:p>
              </w:tc>
              <w:tc>
                <w:tcPr>
                  <w:tcW w:w="1020" w:type="pct"/>
                  <w:vAlign w:val="center"/>
                </w:tcPr>
                <w:p w14:paraId="6912C84E">
                  <w:pPr>
                    <w:jc w:val="center"/>
                    <w:rPr>
                      <w:rFonts w:ascii="Times New Roman" w:hAnsi="Times New Roman" w:eastAsia="宋体" w:cs="Times New Roman"/>
                      <w:kern w:val="0"/>
                      <w:szCs w:val="21"/>
                    </w:rPr>
                  </w:pPr>
                  <w:r>
                    <w:rPr>
                      <w:rFonts w:ascii="Times New Roman" w:hAnsi="Times New Roman" w:eastAsia="宋体" w:cs="Times New Roman"/>
                      <w:kern w:val="0"/>
                      <w:szCs w:val="21"/>
                    </w:rPr>
                    <w:t>夜  间</w:t>
                  </w:r>
                </w:p>
              </w:tc>
            </w:tr>
            <w:tr w14:paraId="6030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65" w:type="pct"/>
                  <w:vAlign w:val="center"/>
                </w:tcPr>
                <w:p w14:paraId="2DA6BCFF">
                  <w:pPr>
                    <w:widowControl/>
                    <w:jc w:val="center"/>
                    <w:rPr>
                      <w:rFonts w:ascii="Times New Roman" w:hAnsi="Times New Roman" w:eastAsia="宋体" w:cs="Times New Roman"/>
                      <w:kern w:val="0"/>
                      <w:szCs w:val="21"/>
                    </w:rPr>
                  </w:pPr>
                  <w:r>
                    <w:rPr>
                      <w:rFonts w:ascii="Times New Roman" w:hAnsi="Times New Roman" w:eastAsia="宋体" w:cs="Times New Roman"/>
                      <w:szCs w:val="21"/>
                    </w:rPr>
                    <w:t>《工业企业厂界环境噪声排放标准》（GB</w:t>
                  </w:r>
                  <w:r>
                    <w:rPr>
                      <w:rFonts w:hint="eastAsia" w:ascii="Times New Roman" w:hAnsi="Times New Roman" w:eastAsia="宋体" w:cs="Times New Roman"/>
                      <w:szCs w:val="21"/>
                      <w:lang w:val="en-US" w:eastAsia="zh-CN"/>
                    </w:rPr>
                    <w:t>12348</w:t>
                  </w:r>
                  <w:r>
                    <w:rPr>
                      <w:rFonts w:ascii="Times New Roman" w:hAnsi="Times New Roman" w:eastAsia="宋体" w:cs="Times New Roman"/>
                      <w:szCs w:val="21"/>
                    </w:rPr>
                    <w:t>-2008）</w:t>
                  </w:r>
                  <w:r>
                    <w:rPr>
                      <w:rFonts w:hint="eastAsia" w:ascii="Times New Roman" w:hAnsi="Times New Roman" w:eastAsia="宋体" w:cs="Times New Roman"/>
                      <w:szCs w:val="21"/>
                    </w:rPr>
                    <w:t>2</w:t>
                  </w:r>
                  <w:r>
                    <w:rPr>
                      <w:rFonts w:ascii="Times New Roman" w:hAnsi="Times New Roman" w:eastAsia="宋体" w:cs="Times New Roman"/>
                      <w:szCs w:val="21"/>
                    </w:rPr>
                    <w:t>类</w:t>
                  </w:r>
                </w:p>
              </w:tc>
              <w:tc>
                <w:tcPr>
                  <w:tcW w:w="714" w:type="pct"/>
                  <w:vAlign w:val="center"/>
                </w:tcPr>
                <w:p w14:paraId="77FCA975">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0</w:t>
                  </w:r>
                </w:p>
              </w:tc>
              <w:tc>
                <w:tcPr>
                  <w:tcW w:w="1020" w:type="pct"/>
                  <w:vAlign w:val="center"/>
                </w:tcPr>
                <w:p w14:paraId="02F65887">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r>
                    <w:rPr>
                      <w:rFonts w:hint="eastAsia" w:ascii="Times New Roman" w:hAnsi="Times New Roman" w:eastAsia="宋体" w:cs="Times New Roman"/>
                      <w:kern w:val="0"/>
                      <w:szCs w:val="21"/>
                    </w:rPr>
                    <w:t>0</w:t>
                  </w:r>
                </w:p>
              </w:tc>
            </w:tr>
          </w:tbl>
          <w:p w14:paraId="077909B0">
            <w:pPr>
              <w:pStyle w:val="13"/>
              <w:widowControl w:val="0"/>
              <w:spacing w:before="0" w:after="0" w:line="360" w:lineRule="auto"/>
              <w:ind w:right="0" w:firstLine="482" w:firstLineChars="200"/>
              <w:jc w:val="left"/>
              <w:rPr>
                <w:b/>
                <w:bCs/>
                <w:sz w:val="24"/>
                <w:szCs w:val="24"/>
              </w:rPr>
            </w:pPr>
            <w:r>
              <w:rPr>
                <w:b/>
                <w:bCs/>
                <w:sz w:val="24"/>
                <w:szCs w:val="24"/>
              </w:rPr>
              <w:t>4、固废处理处置标准</w:t>
            </w:r>
          </w:p>
          <w:p w14:paraId="31552981">
            <w:pPr>
              <w:adjustRightInd w:val="0"/>
              <w:snapToGrid w:val="0"/>
              <w:spacing w:line="360" w:lineRule="auto"/>
              <w:ind w:firstLine="480" w:firstLineChars="200"/>
            </w:pPr>
            <w:r>
              <w:rPr>
                <w:sz w:val="24"/>
              </w:rPr>
              <w:t>一般工业固体废物贮存、处置执行《一般工业固体废物贮存和填埋污染控制标准》（GB18599-2020）和《中华人民共和国固体废弃物污染环境防治法》中的有关规定；危险废物贮存执行《危险废物贮存污染控制标准》（GB18597-20</w:t>
            </w:r>
            <w:r>
              <w:rPr>
                <w:rFonts w:hint="eastAsia"/>
                <w:sz w:val="24"/>
              </w:rPr>
              <w:t>23</w:t>
            </w:r>
            <w:r>
              <w:rPr>
                <w:sz w:val="24"/>
              </w:rPr>
              <w:t>）中的有关规定。</w:t>
            </w:r>
          </w:p>
        </w:tc>
      </w:tr>
      <w:tr w14:paraId="4E2BC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0" w:hRule="atLeast"/>
          <w:jc w:val="center"/>
        </w:trPr>
        <w:tc>
          <w:tcPr>
            <w:tcW w:w="681" w:type="dxa"/>
            <w:noWrap w:val="0"/>
            <w:vAlign w:val="center"/>
          </w:tcPr>
          <w:p w14:paraId="1C125375">
            <w:pPr>
              <w:adjustRightInd w:val="0"/>
              <w:snapToGrid w:val="0"/>
              <w:jc w:val="center"/>
              <w:rPr>
                <w:b/>
                <w:kern w:val="0"/>
                <w:szCs w:val="21"/>
              </w:rPr>
            </w:pPr>
            <w:r>
              <w:rPr>
                <w:b/>
                <w:kern w:val="0"/>
                <w:szCs w:val="21"/>
              </w:rPr>
              <w:t>总量</w:t>
            </w:r>
          </w:p>
          <w:p w14:paraId="30E1DC6C">
            <w:pPr>
              <w:adjustRightInd w:val="0"/>
              <w:snapToGrid w:val="0"/>
              <w:jc w:val="center"/>
              <w:rPr>
                <w:b/>
                <w:kern w:val="0"/>
                <w:szCs w:val="21"/>
              </w:rPr>
            </w:pPr>
            <w:r>
              <w:rPr>
                <w:b/>
                <w:kern w:val="0"/>
                <w:szCs w:val="21"/>
              </w:rPr>
              <w:t>控制</w:t>
            </w:r>
          </w:p>
          <w:p w14:paraId="563005B1">
            <w:pPr>
              <w:adjustRightInd w:val="0"/>
              <w:snapToGrid w:val="0"/>
              <w:jc w:val="center"/>
              <w:rPr>
                <w:kern w:val="0"/>
                <w:szCs w:val="21"/>
              </w:rPr>
            </w:pPr>
            <w:r>
              <w:rPr>
                <w:b/>
                <w:kern w:val="0"/>
                <w:szCs w:val="21"/>
              </w:rPr>
              <w:t>指标</w:t>
            </w:r>
          </w:p>
        </w:tc>
        <w:tc>
          <w:tcPr>
            <w:tcW w:w="9051" w:type="dxa"/>
            <w:noWrap w:val="0"/>
            <w:vAlign w:val="center"/>
          </w:tcPr>
          <w:p w14:paraId="03EDEBE8">
            <w:pPr>
              <w:spacing w:line="360" w:lineRule="auto"/>
              <w:ind w:firstLine="480"/>
              <w:rPr>
                <w:rFonts w:hint="eastAsia"/>
                <w:sz w:val="24"/>
                <w:lang w:val="en-US" w:eastAsia="zh-CN"/>
              </w:rPr>
            </w:pPr>
          </w:p>
          <w:p w14:paraId="11312AE1">
            <w:pPr>
              <w:spacing w:line="360" w:lineRule="auto"/>
              <w:ind w:firstLine="480"/>
              <w:rPr>
                <w:rFonts w:hint="eastAsia"/>
                <w:sz w:val="24"/>
                <w:lang w:val="en-US" w:eastAsia="zh-CN"/>
              </w:rPr>
            </w:pPr>
          </w:p>
          <w:p w14:paraId="261D885A">
            <w:pPr>
              <w:spacing w:line="360" w:lineRule="auto"/>
              <w:rPr>
                <w:rFonts w:hint="eastAsia"/>
                <w:sz w:val="24"/>
                <w:lang w:val="en-US" w:eastAsia="zh-CN"/>
              </w:rPr>
            </w:pPr>
          </w:p>
          <w:p w14:paraId="2112C70E">
            <w:pPr>
              <w:spacing w:line="360" w:lineRule="auto"/>
              <w:ind w:firstLine="480"/>
              <w:rPr>
                <w:rFonts w:hint="eastAsia"/>
                <w:sz w:val="24"/>
                <w:lang w:val="en-US" w:eastAsia="zh-CN"/>
              </w:rPr>
            </w:pPr>
          </w:p>
          <w:p w14:paraId="7D0C6B61">
            <w:pPr>
              <w:spacing w:line="360" w:lineRule="auto"/>
              <w:ind w:firstLine="480"/>
              <w:rPr>
                <w:rFonts w:hint="eastAsia"/>
                <w:sz w:val="24"/>
                <w:lang w:val="en-US" w:eastAsia="zh-CN"/>
              </w:rPr>
            </w:pPr>
          </w:p>
          <w:p w14:paraId="6D6556FB">
            <w:pPr>
              <w:spacing w:line="360" w:lineRule="auto"/>
              <w:ind w:firstLine="480"/>
              <w:rPr>
                <w:rFonts w:hint="eastAsia"/>
                <w:sz w:val="24"/>
                <w:lang w:val="en-US" w:eastAsia="zh-CN"/>
              </w:rPr>
            </w:pPr>
          </w:p>
          <w:p w14:paraId="22C732F2">
            <w:pPr>
              <w:spacing w:line="360" w:lineRule="auto"/>
              <w:ind w:firstLine="480"/>
              <w:rPr>
                <w:rFonts w:hint="eastAsia"/>
                <w:sz w:val="24"/>
                <w:lang w:val="en-US" w:eastAsia="zh-CN"/>
              </w:rPr>
            </w:pPr>
            <w:r>
              <w:rPr>
                <w:rFonts w:hint="eastAsia"/>
                <w:sz w:val="24"/>
                <w:lang w:val="en-US" w:eastAsia="zh-CN"/>
              </w:rPr>
              <w:t>本</w:t>
            </w:r>
            <w:r>
              <w:rPr>
                <w:sz w:val="24"/>
              </w:rPr>
              <w:t>项目</w:t>
            </w:r>
            <w:r>
              <w:rPr>
                <w:rFonts w:hint="eastAsia"/>
                <w:sz w:val="24"/>
                <w:lang w:val="en-US" w:eastAsia="zh-CN"/>
              </w:rPr>
              <w:t>冷却水循环使用，不外排；生活污水经化粪池预处理后，委托具备相应资质的单位清运处置，不纳入废水总量控制指标。</w:t>
            </w:r>
          </w:p>
          <w:p w14:paraId="3BF6E06D">
            <w:pPr>
              <w:spacing w:line="360" w:lineRule="auto"/>
              <w:ind w:firstLine="480"/>
              <w:rPr>
                <w:rFonts w:hint="eastAsia"/>
                <w:color w:val="FF0000"/>
                <w:sz w:val="24"/>
                <w:highlight w:val="none"/>
              </w:rPr>
            </w:pPr>
            <w:r>
              <w:rPr>
                <w:rFonts w:hint="eastAsia"/>
                <w:color w:val="auto"/>
                <w:kern w:val="0"/>
                <w:sz w:val="24"/>
                <w:highlight w:val="none"/>
              </w:rPr>
              <w:t>根据工程分析，本项目</w:t>
            </w:r>
            <w:r>
              <w:rPr>
                <w:color w:val="auto"/>
                <w:kern w:val="0"/>
                <w:sz w:val="24"/>
                <w:highlight w:val="none"/>
              </w:rPr>
              <w:t>废气总量控制的污染因子为</w:t>
            </w:r>
            <w:r>
              <w:rPr>
                <w:rFonts w:hint="eastAsia"/>
                <w:color w:val="auto"/>
                <w:kern w:val="0"/>
                <w:sz w:val="24"/>
                <w:highlight w:val="none"/>
              </w:rPr>
              <w:t>VOCs</w:t>
            </w:r>
            <w:r>
              <w:rPr>
                <w:color w:val="auto"/>
                <w:kern w:val="0"/>
                <w:sz w:val="24"/>
                <w:highlight w:val="none"/>
              </w:rPr>
              <w:t>。</w:t>
            </w:r>
            <w:r>
              <w:rPr>
                <w:rFonts w:hint="eastAsia"/>
                <w:color w:val="auto"/>
                <w:sz w:val="24"/>
                <w:highlight w:val="none"/>
              </w:rPr>
              <w:t>项目需新申请总量为：挥发性有机物：0.</w:t>
            </w:r>
            <w:r>
              <w:rPr>
                <w:rFonts w:hint="eastAsia"/>
                <w:color w:val="auto"/>
                <w:sz w:val="24"/>
                <w:highlight w:val="none"/>
                <w:lang w:val="en-US" w:eastAsia="zh-CN"/>
              </w:rPr>
              <w:t>3384</w:t>
            </w:r>
            <w:r>
              <w:rPr>
                <w:rFonts w:hint="eastAsia"/>
                <w:color w:val="auto"/>
                <w:sz w:val="24"/>
                <w:highlight w:val="none"/>
              </w:rPr>
              <w:t>t/a。</w:t>
            </w:r>
          </w:p>
          <w:p w14:paraId="0BE1921A">
            <w:pPr>
              <w:spacing w:line="360" w:lineRule="auto"/>
              <w:ind w:firstLine="480"/>
              <w:rPr>
                <w:rFonts w:hint="eastAsia"/>
                <w:kern w:val="0"/>
                <w:sz w:val="24"/>
                <w:highlight w:val="none"/>
              </w:rPr>
            </w:pPr>
            <w:r>
              <w:rPr>
                <w:rFonts w:hint="eastAsia" w:ascii="宋体" w:hAnsi="宋体" w:cs="宋体"/>
                <w:sz w:val="24"/>
                <w:highlight w:val="none"/>
              </w:rPr>
              <w:t>经宿州市生态环境局批准总量控制文件中，批准本项目的总量指标为：</w:t>
            </w:r>
            <w:r>
              <w:rPr>
                <w:rFonts w:hint="eastAsia"/>
                <w:sz w:val="24"/>
                <w:highlight w:val="none"/>
              </w:rPr>
              <w:t>挥发性有机物：0.</w:t>
            </w:r>
            <w:r>
              <w:rPr>
                <w:rFonts w:hint="eastAsia"/>
                <w:sz w:val="24"/>
                <w:highlight w:val="none"/>
                <w:lang w:val="en-US" w:eastAsia="zh-CN"/>
              </w:rPr>
              <w:t>3384</w:t>
            </w:r>
            <w:r>
              <w:rPr>
                <w:rFonts w:hint="eastAsia"/>
                <w:sz w:val="24"/>
                <w:highlight w:val="none"/>
              </w:rPr>
              <w:t>t/a</w:t>
            </w:r>
            <w:r>
              <w:rPr>
                <w:rFonts w:hint="eastAsia"/>
                <w:kern w:val="0"/>
                <w:sz w:val="24"/>
                <w:highlight w:val="none"/>
              </w:rPr>
              <w:t>。</w:t>
            </w:r>
          </w:p>
          <w:p w14:paraId="265E89AD">
            <w:pPr>
              <w:spacing w:line="360" w:lineRule="auto"/>
              <w:ind w:firstLine="480"/>
              <w:rPr>
                <w:rFonts w:hint="eastAsia"/>
                <w:kern w:val="0"/>
                <w:sz w:val="24"/>
                <w:highlight w:val="none"/>
              </w:rPr>
            </w:pPr>
          </w:p>
          <w:p w14:paraId="2043FBEC">
            <w:pPr>
              <w:spacing w:line="360" w:lineRule="auto"/>
              <w:ind w:firstLine="480"/>
              <w:rPr>
                <w:rFonts w:hint="eastAsia"/>
                <w:kern w:val="0"/>
                <w:sz w:val="24"/>
                <w:highlight w:val="none"/>
              </w:rPr>
            </w:pPr>
          </w:p>
          <w:p w14:paraId="440C0EA7">
            <w:pPr>
              <w:spacing w:line="360" w:lineRule="auto"/>
              <w:ind w:firstLine="480"/>
              <w:rPr>
                <w:rFonts w:hint="eastAsia"/>
                <w:kern w:val="0"/>
                <w:sz w:val="24"/>
                <w:highlight w:val="none"/>
              </w:rPr>
            </w:pPr>
          </w:p>
          <w:p w14:paraId="568371C3">
            <w:pPr>
              <w:spacing w:line="360" w:lineRule="auto"/>
              <w:ind w:firstLine="480"/>
              <w:rPr>
                <w:rFonts w:hint="eastAsia"/>
                <w:kern w:val="0"/>
                <w:sz w:val="24"/>
                <w:highlight w:val="none"/>
              </w:rPr>
            </w:pPr>
          </w:p>
          <w:p w14:paraId="4EE16FB2">
            <w:pPr>
              <w:spacing w:line="360" w:lineRule="auto"/>
              <w:ind w:firstLine="480"/>
              <w:rPr>
                <w:rFonts w:hint="eastAsia"/>
                <w:kern w:val="0"/>
                <w:sz w:val="24"/>
                <w:highlight w:val="none"/>
              </w:rPr>
            </w:pPr>
          </w:p>
          <w:p w14:paraId="2D4FC308">
            <w:pPr>
              <w:spacing w:line="360" w:lineRule="auto"/>
              <w:rPr>
                <w:rFonts w:hint="eastAsia"/>
                <w:kern w:val="0"/>
                <w:sz w:val="24"/>
                <w:highlight w:val="none"/>
              </w:rPr>
            </w:pPr>
          </w:p>
        </w:tc>
      </w:tr>
    </w:tbl>
    <w:p w14:paraId="3A9C3308">
      <w:pPr>
        <w:pStyle w:val="31"/>
        <w:spacing w:before="200" w:beforeAutospacing="0" w:after="200" w:afterAutospacing="0"/>
        <w:jc w:val="center"/>
        <w:outlineLvl w:val="0"/>
        <w:rPr>
          <w:rFonts w:ascii="Times New Roman" w:hAnsi="Times New Roman"/>
          <w:b/>
          <w:snapToGrid w:val="0"/>
          <w:sz w:val="30"/>
          <w:szCs w:val="30"/>
        </w:rPr>
      </w:pPr>
      <w:r>
        <w:rPr>
          <w:rFonts w:ascii="Times New Roman" w:hAnsi="Times New Roman"/>
          <w:snapToGrid w:val="0"/>
          <w:sz w:val="36"/>
          <w:szCs w:val="36"/>
        </w:rPr>
        <w:br w:type="page"/>
      </w:r>
      <w:r>
        <w:rPr>
          <w:rFonts w:ascii="Times New Roman" w:hAnsi="Times New Roman"/>
          <w:b/>
          <w:snapToGrid w:val="0"/>
          <w:sz w:val="30"/>
          <w:szCs w:val="30"/>
        </w:rPr>
        <w:t>四、主要环境影响和保护措施</w:t>
      </w:r>
    </w:p>
    <w:tbl>
      <w:tblPr>
        <w:tblStyle w:val="34"/>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8998"/>
      </w:tblGrid>
      <w:tr w14:paraId="1011A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55" w:hRule="atLeast"/>
          <w:jc w:val="center"/>
        </w:trPr>
        <w:tc>
          <w:tcPr>
            <w:tcW w:w="664" w:type="dxa"/>
            <w:noWrap w:val="0"/>
            <w:tcMar>
              <w:left w:w="28" w:type="dxa"/>
              <w:right w:w="28" w:type="dxa"/>
            </w:tcMar>
            <w:vAlign w:val="center"/>
          </w:tcPr>
          <w:p w14:paraId="5FE2659B">
            <w:pPr>
              <w:pStyle w:val="31"/>
              <w:adjustRightInd w:val="0"/>
              <w:snapToGrid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rPr>
              <w:t>施工</w:t>
            </w:r>
          </w:p>
          <w:p w14:paraId="1DA3799E">
            <w:pPr>
              <w:pStyle w:val="31"/>
              <w:adjustRightInd w:val="0"/>
              <w:snapToGrid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rPr>
              <w:t>期环</w:t>
            </w:r>
          </w:p>
          <w:p w14:paraId="7CDAEA6D">
            <w:pPr>
              <w:pStyle w:val="31"/>
              <w:adjustRightInd w:val="0"/>
              <w:snapToGrid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rPr>
              <w:t>境保</w:t>
            </w:r>
          </w:p>
          <w:p w14:paraId="6470631D">
            <w:pPr>
              <w:pStyle w:val="31"/>
              <w:adjustRightInd w:val="0"/>
              <w:snapToGrid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rPr>
              <w:t>护措</w:t>
            </w:r>
          </w:p>
          <w:p w14:paraId="2CCD5EEB">
            <w:pPr>
              <w:pStyle w:val="3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
                <w:kern w:val="2"/>
                <w:sz w:val="21"/>
                <w:szCs w:val="21"/>
              </w:rPr>
              <w:t>施</w:t>
            </w:r>
          </w:p>
        </w:tc>
        <w:tc>
          <w:tcPr>
            <w:tcW w:w="8998" w:type="dxa"/>
            <w:noWrap w:val="0"/>
            <w:vAlign w:val="top"/>
          </w:tcPr>
          <w:p w14:paraId="0D699F02">
            <w:pPr>
              <w:adjustRightInd w:val="0"/>
              <w:snapToGrid w:val="0"/>
              <w:spacing w:line="356" w:lineRule="auto"/>
              <w:ind w:firstLine="480" w:firstLineChars="200"/>
              <w:jc w:val="both"/>
              <w:rPr>
                <w:color w:val="auto"/>
                <w:sz w:val="24"/>
                <w:highlight w:val="none"/>
              </w:rPr>
            </w:pPr>
            <w:r>
              <w:rPr>
                <w:color w:val="auto"/>
                <w:sz w:val="24"/>
                <w:highlight w:val="none"/>
              </w:rPr>
              <w:t>本项目所在厂房已建设完成，施工期主要进行生产设备安装及调试，不涉及土建。施工期产生的污染物较少，周期较短，对周边环境影响较小。</w:t>
            </w:r>
          </w:p>
          <w:p w14:paraId="58F75B48">
            <w:pPr>
              <w:keepNext w:val="0"/>
              <w:keepLines w:val="0"/>
              <w:pageBreakBefore w:val="0"/>
              <w:widowControl w:val="0"/>
              <w:kinsoku/>
              <w:wordWrap/>
              <w:overflowPunct/>
              <w:topLinePunct w:val="0"/>
              <w:autoSpaceDE/>
              <w:autoSpaceDN/>
              <w:bidi w:val="0"/>
              <w:adjustRightInd w:val="0"/>
              <w:snapToGrid w:val="0"/>
              <w:spacing w:line="356" w:lineRule="auto"/>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1、废气污染防治措施</w:t>
            </w:r>
          </w:p>
          <w:p w14:paraId="6156DC5B">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项目不涉及土建，只需进行简单的</w:t>
            </w:r>
            <w:r>
              <w:rPr>
                <w:rFonts w:ascii="Times New Roman" w:hAnsi="Times New Roman" w:eastAsia="宋体" w:cs="Times New Roman"/>
                <w:color w:val="auto"/>
                <w:kern w:val="0"/>
                <w:sz w:val="24"/>
              </w:rPr>
              <w:t>设备安装和调试</w:t>
            </w:r>
            <w:r>
              <w:rPr>
                <w:rFonts w:ascii="Times New Roman" w:hAnsi="Times New Roman" w:eastAsia="宋体" w:cs="Times New Roman"/>
                <w:color w:val="auto"/>
                <w:sz w:val="24"/>
              </w:rPr>
              <w:t>，施工时间短，对周围环境影响较小。</w:t>
            </w:r>
          </w:p>
          <w:p w14:paraId="7FEF1603">
            <w:pPr>
              <w:keepNext w:val="0"/>
              <w:keepLines w:val="0"/>
              <w:pageBreakBefore w:val="0"/>
              <w:widowControl w:val="0"/>
              <w:kinsoku/>
              <w:wordWrap/>
              <w:overflowPunct/>
              <w:topLinePunct w:val="0"/>
              <w:autoSpaceDE/>
              <w:autoSpaceDN/>
              <w:bidi w:val="0"/>
              <w:adjustRightInd w:val="0"/>
              <w:snapToGrid w:val="0"/>
              <w:spacing w:line="356" w:lineRule="auto"/>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2、废水污染防治措施</w:t>
            </w:r>
          </w:p>
          <w:p w14:paraId="35C34B56">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本项目施工期废水排放主要是施工现场工人排放的生活污水，生活污水主要污染物是COD、SS、氨氮、总磷等。由于装修以及设备安装所需要的工人较少，因此废水排放量较少，该废水进入厂区化粪池处理后</w:t>
            </w:r>
            <w:r>
              <w:rPr>
                <w:rFonts w:hint="eastAsia" w:ascii="Times New Roman" w:hAnsi="Times New Roman" w:eastAsia="宋体" w:cs="Times New Roman"/>
                <w:color w:val="auto"/>
                <w:sz w:val="24"/>
                <w:lang w:val="en-US" w:eastAsia="zh-CN"/>
              </w:rPr>
              <w:t>委托环卫部门清运处置</w:t>
            </w:r>
            <w:r>
              <w:rPr>
                <w:rFonts w:ascii="Times New Roman" w:hAnsi="Times New Roman" w:eastAsia="宋体" w:cs="Times New Roman"/>
                <w:color w:val="auto"/>
                <w:sz w:val="24"/>
              </w:rPr>
              <w:t>，</w:t>
            </w:r>
            <w:r>
              <w:rPr>
                <w:rFonts w:hint="eastAsia" w:cs="Times New Roman"/>
                <w:color w:val="auto"/>
                <w:sz w:val="24"/>
                <w:lang w:val="en-US" w:eastAsia="zh-CN"/>
              </w:rPr>
              <w:t>处理</w:t>
            </w:r>
            <w:r>
              <w:rPr>
                <w:rFonts w:ascii="Times New Roman" w:hAnsi="Times New Roman" w:eastAsia="宋体" w:cs="Times New Roman"/>
                <w:color w:val="auto"/>
                <w:sz w:val="24"/>
              </w:rPr>
              <w:t>达标后排放，对地表水环境影响较小。</w:t>
            </w:r>
          </w:p>
          <w:p w14:paraId="35D315BF">
            <w:pPr>
              <w:keepNext w:val="0"/>
              <w:keepLines w:val="0"/>
              <w:pageBreakBefore w:val="0"/>
              <w:widowControl w:val="0"/>
              <w:kinsoku/>
              <w:wordWrap/>
              <w:overflowPunct/>
              <w:topLinePunct w:val="0"/>
              <w:autoSpaceDE/>
              <w:autoSpaceDN/>
              <w:bidi w:val="0"/>
              <w:spacing w:line="356" w:lineRule="auto"/>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3、噪声污染防治措施</w:t>
            </w:r>
          </w:p>
          <w:p w14:paraId="527F43BA">
            <w:pPr>
              <w:keepNext w:val="0"/>
              <w:keepLines w:val="0"/>
              <w:pageBreakBefore w:val="0"/>
              <w:widowControl w:val="0"/>
              <w:kinsoku/>
              <w:wordWrap/>
              <w:overflowPunct/>
              <w:topLinePunct w:val="0"/>
              <w:autoSpaceDE/>
              <w:autoSpaceDN/>
              <w:bidi w:val="0"/>
              <w:spacing w:line="356"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装修以及设备安装时产生的噪声，混合噪声级约为75dB(A)，此阶段主要是在室内进行，对周围声环境影响较小。</w:t>
            </w:r>
          </w:p>
          <w:p w14:paraId="1D45F67E">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合理安排高噪声机械使用时间，减少噪声对周围环境的影响。严格按照国家和地方环境保护法律法规要求，对施工场地边界的噪声控制在国家《建筑施工厂界环境噪声排放标准》（GB12523-2011）的指标要求范围内，避免对周围环境的影响。</w:t>
            </w:r>
          </w:p>
          <w:p w14:paraId="3CB34F50">
            <w:pPr>
              <w:keepNext w:val="0"/>
              <w:keepLines w:val="0"/>
              <w:pageBreakBefore w:val="0"/>
              <w:widowControl w:val="0"/>
              <w:kinsoku/>
              <w:wordWrap/>
              <w:overflowPunct/>
              <w:topLinePunct w:val="0"/>
              <w:autoSpaceDE/>
              <w:autoSpaceDN/>
              <w:bidi w:val="0"/>
              <w:adjustRightInd w:val="0"/>
              <w:snapToGrid w:val="0"/>
              <w:spacing w:line="356" w:lineRule="auto"/>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4、固体废物污染防治措施</w:t>
            </w:r>
          </w:p>
          <w:p w14:paraId="6DA4BEAE">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jc w:val="left"/>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施工期间产生的固体废弃物主要为废弃的装修材料等建筑垃圾以及各类装修材料的包装箱、袋和生活垃圾等。</w:t>
            </w:r>
            <w:r>
              <w:rPr>
                <w:rFonts w:hint="eastAsia" w:ascii="Times New Roman" w:hAnsi="Times New Roman" w:eastAsia="宋体" w:cs="Times New Roman"/>
                <w:color w:val="auto"/>
                <w:sz w:val="24"/>
                <w:lang w:val="en-US" w:eastAsia="zh-CN"/>
              </w:rPr>
              <w:t>建筑垃圾由施工单位运至市政指定建筑废渣专用堆放场，</w:t>
            </w:r>
            <w:r>
              <w:rPr>
                <w:rFonts w:ascii="Times New Roman" w:hAnsi="Times New Roman" w:eastAsia="宋体" w:cs="Times New Roman"/>
                <w:color w:val="auto"/>
                <w:sz w:val="24"/>
              </w:rPr>
              <w:t>包装物</w:t>
            </w:r>
            <w:r>
              <w:rPr>
                <w:rFonts w:hint="eastAsia" w:ascii="Times New Roman" w:hAnsi="Times New Roman" w:eastAsia="宋体" w:cs="Times New Roman"/>
                <w:color w:val="auto"/>
                <w:sz w:val="24"/>
                <w:lang w:val="en-US" w:eastAsia="zh-CN"/>
              </w:rPr>
              <w:t>外售处理</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生活垃圾</w:t>
            </w:r>
            <w:r>
              <w:rPr>
                <w:rFonts w:ascii="Times New Roman" w:hAnsi="Times New Roman" w:eastAsia="宋体" w:cs="Times New Roman"/>
                <w:color w:val="auto"/>
                <w:sz w:val="24"/>
              </w:rPr>
              <w:t>由环卫</w:t>
            </w:r>
            <w:r>
              <w:rPr>
                <w:rFonts w:hint="eastAsia" w:ascii="Times New Roman" w:hAnsi="Times New Roman" w:eastAsia="宋体" w:cs="Times New Roman"/>
                <w:color w:val="auto"/>
                <w:sz w:val="24"/>
                <w:lang w:val="en-US" w:eastAsia="zh-CN"/>
              </w:rPr>
              <w:t>部门清运。</w:t>
            </w:r>
            <w:r>
              <w:rPr>
                <w:rFonts w:ascii="Times New Roman" w:hAnsi="Times New Roman" w:eastAsia="宋体" w:cs="Times New Roman"/>
                <w:color w:val="auto"/>
                <w:sz w:val="24"/>
              </w:rPr>
              <w:t>因此，上述废弃物对环境影响较小。</w:t>
            </w:r>
          </w:p>
          <w:p w14:paraId="301EEC5B">
            <w:pPr>
              <w:keepNext w:val="0"/>
              <w:keepLines w:val="0"/>
              <w:pageBreakBefore w:val="0"/>
              <w:widowControl w:val="0"/>
              <w:kinsoku/>
              <w:wordWrap/>
              <w:overflowPunct/>
              <w:topLinePunct w:val="0"/>
              <w:autoSpaceDE/>
              <w:autoSpaceDN/>
              <w:bidi w:val="0"/>
              <w:adjustRightInd w:val="0"/>
              <w:snapToGrid w:val="0"/>
              <w:spacing w:line="356" w:lineRule="auto"/>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5、振动污染防治措施</w:t>
            </w:r>
          </w:p>
          <w:p w14:paraId="3A295A1C">
            <w:pPr>
              <w:adjustRightInd w:val="0"/>
              <w:snapToGrid w:val="0"/>
              <w:spacing w:line="356" w:lineRule="auto"/>
              <w:ind w:firstLine="480" w:firstLineChars="200"/>
              <w:jc w:val="both"/>
              <w:rPr>
                <w:rFonts w:hint="eastAsia"/>
                <w:color w:val="auto"/>
                <w:sz w:val="24"/>
                <w:highlight w:val="none"/>
                <w:lang w:val="en-US" w:eastAsia="zh-CN"/>
              </w:rPr>
            </w:pPr>
            <w:r>
              <w:rPr>
                <w:rFonts w:ascii="Times New Roman" w:hAnsi="Times New Roman" w:eastAsia="宋体" w:cs="Times New Roman"/>
                <w:color w:val="auto"/>
                <w:sz w:val="24"/>
              </w:rPr>
              <w:t>本项目施工期不涉及土建，合理安排时间，采取基础减震措施后对周围环境影响较小。</w:t>
            </w:r>
          </w:p>
        </w:tc>
      </w:tr>
      <w:tr w14:paraId="4C62A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75" w:hRule="atLeast"/>
          <w:jc w:val="center"/>
        </w:trPr>
        <w:tc>
          <w:tcPr>
            <w:tcW w:w="664" w:type="dxa"/>
            <w:noWrap w:val="0"/>
            <w:tcMar>
              <w:left w:w="28" w:type="dxa"/>
              <w:right w:w="28" w:type="dxa"/>
            </w:tcMar>
            <w:vAlign w:val="center"/>
          </w:tcPr>
          <w:p w14:paraId="2C5382AA">
            <w:pPr>
              <w:adjustRightInd w:val="0"/>
              <w:snapToGrid w:val="0"/>
              <w:jc w:val="center"/>
              <w:rPr>
                <w:b/>
                <w:bCs/>
                <w:szCs w:val="21"/>
              </w:rPr>
            </w:pPr>
            <w:r>
              <w:rPr>
                <w:b/>
                <w:bCs/>
                <w:szCs w:val="21"/>
              </w:rPr>
              <w:t>运营</w:t>
            </w:r>
          </w:p>
          <w:p w14:paraId="21A8D304">
            <w:pPr>
              <w:adjustRightInd w:val="0"/>
              <w:snapToGrid w:val="0"/>
              <w:jc w:val="center"/>
              <w:rPr>
                <w:b/>
                <w:bCs/>
                <w:szCs w:val="21"/>
              </w:rPr>
            </w:pPr>
            <w:r>
              <w:rPr>
                <w:b/>
                <w:bCs/>
                <w:szCs w:val="21"/>
              </w:rPr>
              <w:t>期环</w:t>
            </w:r>
          </w:p>
          <w:p w14:paraId="7561A269">
            <w:pPr>
              <w:adjustRightInd w:val="0"/>
              <w:snapToGrid w:val="0"/>
              <w:jc w:val="center"/>
              <w:rPr>
                <w:b/>
                <w:bCs/>
                <w:szCs w:val="21"/>
              </w:rPr>
            </w:pPr>
            <w:r>
              <w:rPr>
                <w:b/>
                <w:bCs/>
                <w:szCs w:val="21"/>
              </w:rPr>
              <w:t>境影</w:t>
            </w:r>
          </w:p>
          <w:p w14:paraId="60BE7891">
            <w:pPr>
              <w:adjustRightInd w:val="0"/>
              <w:snapToGrid w:val="0"/>
              <w:jc w:val="center"/>
              <w:rPr>
                <w:b/>
                <w:bCs/>
                <w:szCs w:val="21"/>
              </w:rPr>
            </w:pPr>
            <w:r>
              <w:rPr>
                <w:b/>
                <w:bCs/>
                <w:szCs w:val="21"/>
              </w:rPr>
              <w:t>响和</w:t>
            </w:r>
          </w:p>
          <w:p w14:paraId="215CDE7D">
            <w:pPr>
              <w:adjustRightInd w:val="0"/>
              <w:snapToGrid w:val="0"/>
              <w:jc w:val="center"/>
              <w:rPr>
                <w:b/>
                <w:bCs/>
                <w:szCs w:val="21"/>
              </w:rPr>
            </w:pPr>
            <w:r>
              <w:rPr>
                <w:b/>
                <w:bCs/>
                <w:szCs w:val="21"/>
              </w:rPr>
              <w:t>保护</w:t>
            </w:r>
          </w:p>
          <w:p w14:paraId="14D2DFDF">
            <w:pPr>
              <w:adjustRightInd w:val="0"/>
              <w:snapToGrid w:val="0"/>
              <w:jc w:val="center"/>
              <w:rPr>
                <w:b/>
                <w:bCs/>
                <w:szCs w:val="21"/>
              </w:rPr>
            </w:pPr>
            <w:r>
              <w:rPr>
                <w:b/>
                <w:bCs/>
                <w:szCs w:val="21"/>
              </w:rPr>
              <w:t>措施</w:t>
            </w:r>
          </w:p>
        </w:tc>
        <w:tc>
          <w:tcPr>
            <w:tcW w:w="8998" w:type="dxa"/>
            <w:noWrap w:val="0"/>
            <w:vAlign w:val="top"/>
          </w:tcPr>
          <w:p w14:paraId="38AFF481">
            <w:pPr>
              <w:spacing w:line="360" w:lineRule="auto"/>
              <w:rPr>
                <w:b/>
                <w:color w:val="auto"/>
                <w:spacing w:val="4"/>
                <w:sz w:val="24"/>
              </w:rPr>
            </w:pPr>
            <w:r>
              <w:rPr>
                <w:rFonts w:hint="eastAsia"/>
                <w:b/>
                <w:color w:val="auto"/>
                <w:spacing w:val="4"/>
                <w:sz w:val="24"/>
              </w:rPr>
              <w:t>4.1</w:t>
            </w:r>
            <w:r>
              <w:rPr>
                <w:b/>
                <w:color w:val="auto"/>
                <w:spacing w:val="4"/>
                <w:sz w:val="24"/>
              </w:rPr>
              <w:t>大气环境影响及防治措施分析</w:t>
            </w:r>
          </w:p>
          <w:p w14:paraId="55C17F6A">
            <w:pPr>
              <w:pStyle w:val="54"/>
              <w:spacing w:line="360" w:lineRule="auto"/>
              <w:ind w:firstLine="482" w:firstLineChars="200"/>
              <w:rPr>
                <w:b/>
                <w:bCs/>
              </w:rPr>
            </w:pPr>
            <w:r>
              <w:rPr>
                <w:rFonts w:ascii="Times New Roman" w:hAnsi="Times New Roman" w:cs="Times New Roman"/>
                <w:b/>
                <w:bCs/>
              </w:rPr>
              <w:t>1</w:t>
            </w:r>
            <w:r>
              <w:rPr>
                <w:rFonts w:hint="eastAsia"/>
                <w:b/>
                <w:bCs/>
              </w:rPr>
              <w:t>、</w:t>
            </w:r>
            <w:r>
              <w:rPr>
                <w:rFonts w:hint="eastAsia"/>
                <w:b/>
                <w:bCs/>
                <w:lang w:val="en-US" w:eastAsia="zh-CN"/>
              </w:rPr>
              <w:t>大</w:t>
            </w:r>
            <w:r>
              <w:rPr>
                <w:rFonts w:hint="eastAsia"/>
                <w:b/>
                <w:bCs/>
              </w:rPr>
              <w:t>气污染源强核算</w:t>
            </w:r>
          </w:p>
          <w:p w14:paraId="4CC20E68">
            <w:pPr>
              <w:spacing w:line="360" w:lineRule="auto"/>
              <w:ind w:firstLine="480" w:firstLineChars="200"/>
              <w:rPr>
                <w:sz w:val="24"/>
              </w:rPr>
            </w:pPr>
            <w:r>
              <w:rPr>
                <w:rFonts w:hint="eastAsia"/>
                <w:sz w:val="24"/>
              </w:rPr>
              <w:t>本</w:t>
            </w:r>
            <w:r>
              <w:rPr>
                <w:sz w:val="24"/>
              </w:rPr>
              <w:t>项目营运期废气主要是</w:t>
            </w:r>
            <w:r>
              <w:rPr>
                <w:rFonts w:hint="eastAsia"/>
                <w:sz w:val="24"/>
                <w:lang w:val="en-US" w:eastAsia="zh-CN"/>
              </w:rPr>
              <w:t>熔融挤出</w:t>
            </w:r>
            <w:r>
              <w:rPr>
                <w:rFonts w:hint="eastAsia"/>
                <w:color w:val="000000"/>
                <w:sz w:val="24"/>
              </w:rPr>
              <w:t>过程废气</w:t>
            </w:r>
            <w:r>
              <w:rPr>
                <w:sz w:val="24"/>
              </w:rPr>
              <w:t>。</w:t>
            </w:r>
          </w:p>
          <w:p w14:paraId="71BC9D30">
            <w:pPr>
              <w:spacing w:line="360" w:lineRule="auto"/>
              <w:ind w:firstLine="480" w:firstLineChars="200"/>
              <w:rPr>
                <w:rFonts w:hint="default" w:ascii="Times New Roman" w:hAnsi="Times New Roman" w:cs="Times New Roman"/>
                <w:sz w:val="24"/>
                <w:lang w:val="en-US" w:eastAsia="zh-CN"/>
              </w:rPr>
            </w:pPr>
            <w:r>
              <w:rPr>
                <w:rFonts w:hint="eastAsia"/>
                <w:sz w:val="24"/>
                <w:lang w:val="en-US" w:eastAsia="zh-CN"/>
              </w:rPr>
              <w:t>本项目使用原材料聚乙烯颗粒在熔融挤出过程中会有有机废气产生。加热过程在190℃左右，该温度下聚乙烯受热会挥发出少量的有机废气，以非甲烷总烃计。参照《排放源统计调查产排污核算方法和系数手册》（环境部公告2021年第24号）中的《292塑料制品行业系数手册》，以树脂、助剂为原料生产塑料丝、绳及编织品时，熔化-挤塑-拉丝有机废气产污系数为3.76千克/吨-产品，项目产品产生量为1000t/a，则熔融挤出工序</w:t>
            </w:r>
            <w:r>
              <w:rPr>
                <w:rFonts w:hint="eastAsia"/>
                <w:sz w:val="24"/>
                <w:szCs w:val="24"/>
                <w:lang w:val="en-US" w:eastAsia="zh-CN"/>
              </w:rPr>
              <w:t>非甲烷总烃</w:t>
            </w:r>
            <w:r>
              <w:rPr>
                <w:rFonts w:hint="eastAsia" w:ascii="Times New Roman" w:cs="Times New Roman"/>
                <w:color w:val="auto"/>
                <w:sz w:val="24"/>
                <w:szCs w:val="24"/>
              </w:rPr>
              <w:t>产生量为</w:t>
            </w:r>
            <w:r>
              <w:rPr>
                <w:rFonts w:hint="eastAsia" w:ascii="Times New Roman" w:cs="Times New Roman"/>
                <w:color w:val="auto"/>
                <w:sz w:val="24"/>
                <w:szCs w:val="24"/>
                <w:highlight w:val="none"/>
                <w:lang w:val="en-US" w:eastAsia="zh-CN"/>
              </w:rPr>
              <w:t>3.76</w:t>
            </w:r>
            <w:r>
              <w:rPr>
                <w:rFonts w:hint="eastAsia" w:ascii="Times New Roman" w:cs="Times New Roman"/>
                <w:color w:val="auto"/>
                <w:sz w:val="24"/>
                <w:szCs w:val="24"/>
                <w:highlight w:val="none"/>
              </w:rPr>
              <w:t>t</w:t>
            </w:r>
            <w:r>
              <w:rPr>
                <w:rFonts w:hint="eastAsia" w:ascii="Times New Roman" w:cs="Times New Roman"/>
                <w:color w:val="auto"/>
                <w:sz w:val="24"/>
                <w:szCs w:val="24"/>
              </w:rPr>
              <w:t>/a</w:t>
            </w:r>
            <w:r>
              <w:rPr>
                <w:color w:val="auto"/>
                <w:sz w:val="24"/>
                <w:szCs w:val="24"/>
              </w:rPr>
              <w:t>。</w:t>
            </w:r>
          </w:p>
          <w:p w14:paraId="052ECDC9">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bCs/>
                <w:sz w:val="24"/>
              </w:rPr>
            </w:pPr>
            <w:r>
              <w:rPr>
                <w:rFonts w:hint="default" w:ascii="Times New Roman" w:hAnsi="Times New Roman" w:cs="Times New Roman"/>
                <w:sz w:val="24"/>
              </w:rPr>
              <w:t>本环评要求建设单位</w:t>
            </w:r>
            <w:r>
              <w:rPr>
                <w:rFonts w:hint="default" w:ascii="Times New Roman" w:hAnsi="Times New Roman" w:cs="Times New Roman"/>
                <w:sz w:val="24"/>
                <w:lang w:val="en-US" w:eastAsia="zh-CN"/>
              </w:rPr>
              <w:t>在</w:t>
            </w:r>
            <w:r>
              <w:rPr>
                <w:rFonts w:hint="eastAsia" w:ascii="Times New Roman" w:hAnsi="Times New Roman" w:cs="Times New Roman"/>
                <w:sz w:val="24"/>
                <w:lang w:val="en-US" w:eastAsia="zh-CN"/>
              </w:rPr>
              <w:t>1</w:t>
            </w:r>
            <w:r>
              <w:rPr>
                <w:rFonts w:hint="default" w:ascii="Times New Roman" w:hAnsi="Times New Roman" w:cs="Times New Roman"/>
                <w:sz w:val="24"/>
                <w:lang w:val="en-US" w:eastAsia="zh-CN"/>
              </w:rPr>
              <w:t>台</w:t>
            </w:r>
            <w:r>
              <w:rPr>
                <w:rFonts w:hint="eastAsia" w:ascii="Times New Roman" w:hAnsi="Times New Roman" w:cs="Times New Roman"/>
                <w:sz w:val="24"/>
                <w:lang w:val="en-US" w:eastAsia="zh-CN"/>
              </w:rPr>
              <w:t>挤出</w:t>
            </w:r>
            <w:r>
              <w:rPr>
                <w:rFonts w:hint="default" w:ascii="Times New Roman" w:hAnsi="Times New Roman" w:cs="Times New Roman"/>
                <w:sz w:val="24"/>
                <w:lang w:val="en-US" w:eastAsia="zh-CN"/>
              </w:rPr>
              <w:t>机上方设置集气罩</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熔融挤出废气</w:t>
            </w:r>
            <w:r>
              <w:rPr>
                <w:rFonts w:hint="default" w:ascii="Times New Roman" w:hAnsi="Times New Roman" w:cs="Times New Roman"/>
                <w:sz w:val="24"/>
              </w:rPr>
              <w:t>经集气罩收集后</w:t>
            </w:r>
            <w:r>
              <w:rPr>
                <w:rFonts w:hint="default" w:ascii="Times New Roman" w:hAnsi="Times New Roman" w:cs="Times New Roman"/>
                <w:bCs/>
                <w:sz w:val="24"/>
              </w:rPr>
              <w:t>通过管道汇入二级活性炭吸附装置内进行处理，</w:t>
            </w:r>
            <w:r>
              <w:rPr>
                <w:rFonts w:hint="default" w:ascii="Times New Roman" w:hAnsi="Times New Roman" w:eastAsia="宋体" w:cs="Times New Roman"/>
                <w:sz w:val="24"/>
                <w:lang w:val="en-US" w:eastAsia="zh-CN"/>
              </w:rPr>
              <w:t>处理后通过1根15m高的DA001排气筒排放</w:t>
            </w:r>
            <w:r>
              <w:rPr>
                <w:rFonts w:hint="default" w:ascii="Times New Roman" w:hAnsi="Times New Roman" w:cs="Times New Roman"/>
                <w:bCs/>
                <w:sz w:val="24"/>
              </w:rPr>
              <w:t>。</w:t>
            </w:r>
          </w:p>
          <w:p w14:paraId="77D7BB48">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cs="Times New Roman"/>
                <w:bCs/>
                <w:sz w:val="24"/>
                <w:lang w:val="en-US" w:eastAsia="zh-CN"/>
              </w:rPr>
              <w:t>集气罩风量：</w:t>
            </w:r>
            <w:r>
              <w:rPr>
                <w:rFonts w:hint="default" w:ascii="Times New Roman" w:hAnsi="Times New Roman" w:eastAsia="TimesNewRomanPSMT" w:cs="Times New Roman"/>
                <w:color w:val="000000"/>
                <w:kern w:val="0"/>
                <w:sz w:val="24"/>
              </w:rPr>
              <w:t>Q=k</w:t>
            </w:r>
            <w:r>
              <w:rPr>
                <w:rFonts w:hint="default" w:ascii="Times New Roman" w:hAnsi="Times New Roman" w:eastAsia="宋体" w:cs="Times New Roman"/>
                <w:color w:val="000000"/>
                <w:kern w:val="0"/>
                <w:sz w:val="24"/>
                <w:lang w:val="en-US" w:eastAsia="zh-CN"/>
              </w:rPr>
              <w:t>*</w:t>
            </w:r>
            <w:r>
              <w:rPr>
                <w:rFonts w:hint="default" w:ascii="Times New Roman" w:hAnsi="Times New Roman" w:eastAsia="TimesNewRomanPSMT" w:cs="Times New Roman"/>
                <w:color w:val="000000"/>
                <w:kern w:val="0"/>
                <w:sz w:val="24"/>
              </w:rPr>
              <w:t>P</w:t>
            </w:r>
            <w:r>
              <w:rPr>
                <w:rFonts w:hint="default" w:ascii="Times New Roman" w:hAnsi="Times New Roman" w:eastAsia="宋体" w:cs="Times New Roman"/>
                <w:color w:val="000000"/>
                <w:kern w:val="0"/>
                <w:sz w:val="24"/>
                <w:lang w:val="en-US" w:eastAsia="zh-CN"/>
              </w:rPr>
              <w:t>*</w:t>
            </w:r>
            <w:r>
              <w:rPr>
                <w:rFonts w:hint="default" w:ascii="Times New Roman" w:hAnsi="Times New Roman" w:eastAsia="TimesNewRomanPSMT" w:cs="Times New Roman"/>
                <w:color w:val="000000"/>
                <w:kern w:val="0"/>
                <w:sz w:val="24"/>
              </w:rPr>
              <w:t>H</w:t>
            </w:r>
            <w:r>
              <w:rPr>
                <w:rFonts w:hint="default" w:ascii="Times New Roman" w:hAnsi="Times New Roman" w:eastAsia="宋体" w:cs="Times New Roman"/>
                <w:color w:val="000000"/>
                <w:kern w:val="0"/>
                <w:sz w:val="24"/>
                <w:lang w:val="en-US" w:eastAsia="zh-CN"/>
              </w:rPr>
              <w:t>*</w:t>
            </w:r>
            <w:r>
              <w:rPr>
                <w:rFonts w:hint="default" w:ascii="Times New Roman" w:hAnsi="Times New Roman" w:eastAsia="TimesNewRomanPSMT" w:cs="Times New Roman"/>
                <w:color w:val="000000"/>
                <w:kern w:val="0"/>
                <w:sz w:val="24"/>
              </w:rPr>
              <w:t>Vx</w:t>
            </w:r>
          </w:p>
          <w:p w14:paraId="423FA3E3">
            <w:pPr>
              <w:autoSpaceDE w:val="0"/>
              <w:autoSpaceDN w:val="0"/>
              <w:adjustRightInd w:val="0"/>
              <w:spacing w:line="360" w:lineRule="auto"/>
              <w:ind w:firstLine="480" w:firstLineChars="200"/>
              <w:jc w:val="left"/>
              <w:rPr>
                <w:rFonts w:eastAsia="TimesNewRomanPSMT"/>
                <w:color w:val="000000"/>
                <w:kern w:val="0"/>
                <w:sz w:val="24"/>
              </w:rPr>
            </w:pPr>
            <w:r>
              <w:rPr>
                <w:color w:val="000000"/>
                <w:kern w:val="0"/>
                <w:sz w:val="24"/>
              </w:rPr>
              <w:t>式中：</w:t>
            </w:r>
            <w:r>
              <w:rPr>
                <w:rFonts w:eastAsia="TimesNewRomanPSMT"/>
                <w:color w:val="000000"/>
                <w:kern w:val="0"/>
                <w:sz w:val="24"/>
              </w:rPr>
              <w:t>Q——</w:t>
            </w:r>
            <w:r>
              <w:rPr>
                <w:color w:val="000000"/>
                <w:kern w:val="0"/>
                <w:sz w:val="24"/>
              </w:rPr>
              <w:t>风量</w:t>
            </w:r>
            <w:r>
              <w:rPr>
                <w:rFonts w:eastAsia="TimesNewRomanPSMT"/>
                <w:color w:val="000000"/>
                <w:kern w:val="0"/>
                <w:sz w:val="24"/>
              </w:rPr>
              <w:t>m</w:t>
            </w:r>
            <w:r>
              <w:rPr>
                <w:rFonts w:eastAsia="TimesNewRomanPSMT"/>
                <w:color w:val="000000"/>
                <w:kern w:val="0"/>
                <w:sz w:val="24"/>
                <w:vertAlign w:val="superscript"/>
              </w:rPr>
              <w:t>3</w:t>
            </w:r>
            <w:r>
              <w:rPr>
                <w:rFonts w:eastAsia="TimesNewRomanPSMT"/>
                <w:color w:val="000000"/>
                <w:kern w:val="0"/>
                <w:sz w:val="24"/>
              </w:rPr>
              <w:t>/s</w:t>
            </w:r>
          </w:p>
          <w:p w14:paraId="2C40FA3A">
            <w:pPr>
              <w:pStyle w:val="108"/>
              <w:spacing w:line="360" w:lineRule="auto"/>
              <w:ind w:firstLine="480" w:firstLineChars="200"/>
              <w:rPr>
                <w:rFonts w:hint="eastAsia" w:ascii="Times New Roman" w:eastAsia="宋体" w:cs="Times New Roman"/>
                <w:lang w:eastAsia="zh-CN"/>
              </w:rPr>
            </w:pPr>
            <w:r>
              <w:rPr>
                <w:rFonts w:ascii="Times New Roman" w:eastAsia="TimesNewRomanPSMT" w:cs="Times New Roman"/>
              </w:rPr>
              <w:t>k——</w:t>
            </w:r>
            <w:r>
              <w:rPr>
                <w:rFonts w:ascii="Times New Roman" w:cs="Times New Roman"/>
              </w:rPr>
              <w:t>考虑沿高度速度分布不均的安全系数，通常取</w:t>
            </w:r>
            <w:r>
              <w:rPr>
                <w:rFonts w:ascii="Times New Roman" w:eastAsia="TimesNewRomanPSMT" w:cs="Times New Roman"/>
              </w:rPr>
              <w:t>k=1.4</w:t>
            </w:r>
            <w:r>
              <w:rPr>
                <w:rFonts w:hint="eastAsia" w:ascii="Times New Roman" w:eastAsia="宋体" w:cs="Times New Roman"/>
                <w:lang w:eastAsia="zh-CN"/>
              </w:rPr>
              <w:t>；</w:t>
            </w:r>
          </w:p>
          <w:p w14:paraId="527BCA5B">
            <w:pPr>
              <w:autoSpaceDE w:val="0"/>
              <w:autoSpaceDN w:val="0"/>
              <w:adjustRightInd w:val="0"/>
              <w:spacing w:line="360" w:lineRule="auto"/>
              <w:ind w:firstLine="480" w:firstLineChars="200"/>
              <w:jc w:val="left"/>
              <w:rPr>
                <w:rFonts w:hint="default" w:eastAsia="宋体"/>
                <w:color w:val="000000"/>
                <w:kern w:val="0"/>
                <w:sz w:val="24"/>
                <w:lang w:val="en-US" w:eastAsia="zh-CN"/>
              </w:rPr>
            </w:pPr>
            <w:r>
              <w:rPr>
                <w:rFonts w:eastAsia="TimesNewRomanPSMT"/>
                <w:color w:val="000000"/>
                <w:kern w:val="0"/>
                <w:sz w:val="24"/>
              </w:rPr>
              <w:t>P——</w:t>
            </w:r>
            <w:r>
              <w:rPr>
                <w:color w:val="000000"/>
                <w:kern w:val="0"/>
                <w:sz w:val="24"/>
              </w:rPr>
              <w:t>罩口敞开周长</w:t>
            </w:r>
            <w:r>
              <w:rPr>
                <w:rFonts w:eastAsia="TimesNewRomanPSMT"/>
                <w:color w:val="000000"/>
                <w:kern w:val="0"/>
                <w:sz w:val="24"/>
              </w:rPr>
              <w:t>m</w:t>
            </w:r>
            <w:r>
              <w:rPr>
                <w:rFonts w:hint="eastAsia" w:eastAsia="宋体"/>
                <w:color w:val="000000"/>
                <w:kern w:val="0"/>
                <w:sz w:val="24"/>
                <w:lang w:eastAsia="zh-CN"/>
              </w:rPr>
              <w:t>；</w:t>
            </w:r>
            <w:r>
              <w:rPr>
                <w:rFonts w:hint="eastAsia" w:ascii="Times New Roman"/>
                <w:sz w:val="24"/>
                <w:szCs w:val="24"/>
                <w:vertAlign w:val="baseline"/>
                <w:lang w:val="en-US" w:eastAsia="zh-CN"/>
              </w:rPr>
              <w:t>本项目单个集气罩尺寸为</w:t>
            </w:r>
            <w:r>
              <w:rPr>
                <w:rFonts w:hint="eastAsia"/>
                <w:bCs/>
                <w:sz w:val="24"/>
                <w:szCs w:val="24"/>
                <w:lang w:val="en-US" w:eastAsia="zh-CN"/>
              </w:rPr>
              <w:t>2.5</w:t>
            </w:r>
            <w:r>
              <w:rPr>
                <w:rFonts w:ascii="Times New Roman"/>
                <w:bCs/>
                <w:sz w:val="24"/>
                <w:szCs w:val="24"/>
              </w:rPr>
              <w:t>m*</w:t>
            </w:r>
            <w:r>
              <w:rPr>
                <w:rFonts w:hint="eastAsia"/>
                <w:bCs/>
                <w:sz w:val="24"/>
                <w:szCs w:val="24"/>
                <w:lang w:val="en-US" w:eastAsia="zh-CN"/>
              </w:rPr>
              <w:t>1.5</w:t>
            </w:r>
            <w:r>
              <w:rPr>
                <w:rFonts w:ascii="Times New Roman"/>
                <w:bCs/>
                <w:sz w:val="24"/>
                <w:szCs w:val="24"/>
              </w:rPr>
              <w:t>m</w:t>
            </w:r>
            <w:r>
              <w:rPr>
                <w:rFonts w:hint="eastAsia" w:ascii="Times New Roman"/>
                <w:bCs/>
                <w:sz w:val="24"/>
                <w:szCs w:val="24"/>
                <w:lang w:eastAsia="zh-CN"/>
              </w:rPr>
              <w:t>，</w:t>
            </w:r>
            <w:r>
              <w:rPr>
                <w:rFonts w:hint="eastAsia" w:ascii="Times New Roman"/>
                <w:bCs/>
                <w:sz w:val="24"/>
                <w:szCs w:val="24"/>
                <w:lang w:val="en-US" w:eastAsia="zh-CN"/>
              </w:rPr>
              <w:t>P为</w:t>
            </w:r>
            <w:r>
              <w:rPr>
                <w:rFonts w:hint="eastAsia"/>
                <w:bCs/>
                <w:sz w:val="24"/>
                <w:szCs w:val="24"/>
                <w:lang w:val="en-US" w:eastAsia="zh-CN"/>
              </w:rPr>
              <w:t>8</w:t>
            </w:r>
            <w:r>
              <w:rPr>
                <w:rFonts w:hint="eastAsia" w:ascii="Times New Roman"/>
                <w:bCs/>
                <w:sz w:val="24"/>
                <w:szCs w:val="24"/>
                <w:lang w:val="en-US" w:eastAsia="zh-CN"/>
              </w:rPr>
              <w:t>；</w:t>
            </w:r>
          </w:p>
          <w:p w14:paraId="213332E1">
            <w:pPr>
              <w:autoSpaceDE w:val="0"/>
              <w:autoSpaceDN w:val="0"/>
              <w:adjustRightInd w:val="0"/>
              <w:spacing w:line="360" w:lineRule="auto"/>
              <w:ind w:firstLine="480" w:firstLineChars="200"/>
              <w:jc w:val="left"/>
              <w:rPr>
                <w:rFonts w:hint="eastAsia" w:eastAsia="宋体"/>
                <w:color w:val="000000"/>
                <w:kern w:val="0"/>
                <w:sz w:val="24"/>
                <w:lang w:eastAsia="zh-CN"/>
              </w:rPr>
            </w:pPr>
            <w:r>
              <w:rPr>
                <w:rFonts w:eastAsia="TimesNewRomanPSMT"/>
                <w:color w:val="000000"/>
                <w:kern w:val="0"/>
                <w:sz w:val="24"/>
              </w:rPr>
              <w:t>H——</w:t>
            </w:r>
            <w:r>
              <w:rPr>
                <w:color w:val="000000"/>
                <w:kern w:val="0"/>
                <w:sz w:val="24"/>
              </w:rPr>
              <w:t>罩口距污染源的距离</w:t>
            </w:r>
            <w:r>
              <w:rPr>
                <w:rFonts w:hint="eastAsia"/>
                <w:color w:val="000000"/>
                <w:kern w:val="0"/>
                <w:sz w:val="24"/>
                <w:lang w:eastAsia="zh-CN"/>
              </w:rPr>
              <w:t>，</w:t>
            </w:r>
            <w:r>
              <w:rPr>
                <w:color w:val="000000"/>
                <w:kern w:val="0"/>
                <w:sz w:val="24"/>
              </w:rPr>
              <w:t>本项目为</w:t>
            </w:r>
            <w:r>
              <w:rPr>
                <w:rFonts w:eastAsia="TimesNewRomanPSMT"/>
                <w:color w:val="000000"/>
                <w:kern w:val="0"/>
                <w:sz w:val="24"/>
              </w:rPr>
              <w:t>0.</w:t>
            </w:r>
            <w:r>
              <w:rPr>
                <w:rFonts w:hint="eastAsia" w:eastAsia="宋体"/>
                <w:color w:val="000000"/>
                <w:kern w:val="0"/>
                <w:sz w:val="24"/>
                <w:lang w:val="en-US" w:eastAsia="zh-CN"/>
              </w:rPr>
              <w:t>4</w:t>
            </w:r>
            <w:r>
              <w:rPr>
                <w:rFonts w:eastAsia="TimesNewRomanPSMT"/>
                <w:color w:val="000000"/>
                <w:kern w:val="0"/>
                <w:sz w:val="24"/>
              </w:rPr>
              <w:t>m</w:t>
            </w:r>
            <w:r>
              <w:rPr>
                <w:rFonts w:hint="eastAsia"/>
                <w:color w:val="000000"/>
                <w:kern w:val="0"/>
                <w:sz w:val="24"/>
                <w:lang w:eastAsia="zh-CN"/>
              </w:rPr>
              <w:t>；</w:t>
            </w:r>
          </w:p>
          <w:p w14:paraId="18E4B6E0">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sz w:val="24"/>
                <w:lang w:val="en-US" w:eastAsia="zh-CN"/>
              </w:rPr>
            </w:pPr>
            <w:r>
              <w:rPr>
                <w:rFonts w:ascii="Times New Roman" w:eastAsia="TimesNewRomanPSMT" w:cs="Times New Roman"/>
              </w:rPr>
              <w:t>Vx</w:t>
            </w:r>
            <w:r>
              <w:rPr>
                <w:rFonts w:eastAsia="TimesNewRomanPSMT"/>
                <w:color w:val="000000"/>
                <w:kern w:val="0"/>
                <w:sz w:val="24"/>
              </w:rPr>
              <w:t>——</w:t>
            </w:r>
            <w:r>
              <w:rPr>
                <w:rFonts w:ascii="Times New Roman" w:cs="Times New Roman"/>
              </w:rPr>
              <w:t>控制速度</w:t>
            </w:r>
            <w:r>
              <w:rPr>
                <w:rFonts w:ascii="Times New Roman" w:eastAsia="TimesNewRomanPSMT" w:cs="Times New Roman"/>
              </w:rPr>
              <w:t>m/s</w:t>
            </w:r>
            <w:r>
              <w:rPr>
                <w:rFonts w:hint="eastAsia" w:ascii="Times New Roman" w:eastAsia="宋体" w:cs="Times New Roman"/>
                <w:lang w:eastAsia="zh-CN"/>
              </w:rPr>
              <w:t>，</w:t>
            </w:r>
            <w:r>
              <w:rPr>
                <w:rFonts w:ascii="Times New Roman" w:cs="Times New Roman"/>
              </w:rPr>
              <w:t>本项目取</w:t>
            </w:r>
            <w:r>
              <w:rPr>
                <w:rFonts w:ascii="Times New Roman" w:eastAsia="TimesNewRomanPSMT" w:cs="Times New Roman"/>
              </w:rPr>
              <w:t>0.3m/s</w:t>
            </w:r>
            <w:r>
              <w:rPr>
                <w:rFonts w:hint="eastAsia" w:ascii="Times New Roman" w:eastAsia="宋体" w:cs="Times New Roman"/>
                <w:lang w:eastAsia="zh-CN"/>
              </w:rPr>
              <w:t>。</w:t>
            </w:r>
          </w:p>
          <w:p w14:paraId="45BDF8AF">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经计算，本项目集气罩风量Q=1.4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0.3=1.344</w:t>
            </w:r>
            <w:r>
              <w:rPr>
                <w:rFonts w:hint="eastAsia" w:ascii="Times New Roman"/>
                <w:bCs/>
                <w:sz w:val="24"/>
                <w:szCs w:val="24"/>
                <w:lang w:val="en-US" w:eastAsia="zh-CN"/>
              </w:rPr>
              <w:t>m</w:t>
            </w:r>
            <w:r>
              <w:rPr>
                <w:rFonts w:hint="eastAsia" w:ascii="Times New Roman"/>
                <w:bCs/>
                <w:sz w:val="24"/>
                <w:szCs w:val="24"/>
                <w:vertAlign w:val="superscript"/>
                <w:lang w:val="en-US" w:eastAsia="zh-CN"/>
              </w:rPr>
              <w:t>3</w:t>
            </w:r>
            <w:r>
              <w:rPr>
                <w:rFonts w:hint="eastAsia" w:ascii="Times New Roman"/>
                <w:bCs/>
                <w:sz w:val="24"/>
                <w:szCs w:val="24"/>
                <w:lang w:val="en-US" w:eastAsia="zh-CN"/>
              </w:rPr>
              <w:t>/s（4838m</w:t>
            </w:r>
            <w:r>
              <w:rPr>
                <w:rFonts w:hint="eastAsia" w:ascii="Times New Roman"/>
                <w:bCs/>
                <w:sz w:val="24"/>
                <w:szCs w:val="24"/>
                <w:vertAlign w:val="superscript"/>
                <w:lang w:val="en-US" w:eastAsia="zh-CN"/>
              </w:rPr>
              <w:t>3</w:t>
            </w:r>
            <w:r>
              <w:rPr>
                <w:rFonts w:hint="eastAsia" w:ascii="Times New Roman"/>
                <w:bCs/>
                <w:sz w:val="24"/>
                <w:szCs w:val="24"/>
                <w:lang w:val="en-US" w:eastAsia="zh-CN"/>
              </w:rPr>
              <w:t>/h）。</w:t>
            </w:r>
          </w:p>
          <w:p w14:paraId="03F489D0">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项目布设1台挤出机，设置1个集气罩，则总风量为</w:t>
            </w:r>
            <w:r>
              <w:rPr>
                <w:rFonts w:hint="eastAsia" w:ascii="Times New Roman"/>
                <w:bCs/>
                <w:sz w:val="24"/>
                <w:szCs w:val="24"/>
                <w:lang w:val="en-US" w:eastAsia="zh-CN"/>
              </w:rPr>
              <w:t>4838m</w:t>
            </w:r>
            <w:r>
              <w:rPr>
                <w:rFonts w:hint="eastAsia" w:ascii="Times New Roman"/>
                <w:bCs/>
                <w:sz w:val="24"/>
                <w:szCs w:val="24"/>
                <w:vertAlign w:val="superscript"/>
                <w:lang w:val="en-US" w:eastAsia="zh-CN"/>
              </w:rPr>
              <w:t>3</w:t>
            </w:r>
            <w:r>
              <w:rPr>
                <w:rFonts w:hint="eastAsia" w:ascii="Times New Roman"/>
                <w:bCs/>
                <w:sz w:val="24"/>
                <w:szCs w:val="24"/>
                <w:lang w:val="en-US" w:eastAsia="zh-CN"/>
              </w:rPr>
              <w:t>/h。考虑到损耗风量，环评设计总风量拟采用5000m</w:t>
            </w:r>
            <w:r>
              <w:rPr>
                <w:rFonts w:hint="eastAsia" w:ascii="Times New Roman"/>
                <w:bCs/>
                <w:sz w:val="24"/>
                <w:szCs w:val="24"/>
                <w:vertAlign w:val="superscript"/>
                <w:lang w:val="en-US" w:eastAsia="zh-CN"/>
              </w:rPr>
              <w:t>3</w:t>
            </w:r>
            <w:r>
              <w:rPr>
                <w:rFonts w:hint="eastAsia" w:ascii="Times New Roman"/>
                <w:bCs/>
                <w:sz w:val="24"/>
                <w:szCs w:val="24"/>
                <w:lang w:val="en-US" w:eastAsia="zh-CN"/>
              </w:rPr>
              <w:t>/h，可满足要求。</w:t>
            </w:r>
            <w:r>
              <w:rPr>
                <w:rFonts w:ascii="Times New Roman"/>
                <w:sz w:val="24"/>
                <w:szCs w:val="24"/>
              </w:rPr>
              <w:t>为保证废气收集效率能达到90%及以上，废气收集系统集气罩的设置应符合《集气罩分类及技术要求》（GB/T16758-2008）的规定，距离集气罩开口面最远处的有机废气无组织排放位置，控制风速需≥0.3米/秒；废气收集系统的输送管道需密闭、无破损；有机废气收集处理系统应与生产工艺设备同步运行</w:t>
            </w:r>
            <w:r>
              <w:rPr>
                <w:rFonts w:hint="eastAsia" w:ascii="Times New Roman"/>
                <w:sz w:val="24"/>
                <w:szCs w:val="24"/>
                <w:lang w:eastAsia="zh-CN"/>
              </w:rPr>
              <w:t>。</w:t>
            </w:r>
          </w:p>
          <w:p w14:paraId="5A19B01C">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color w:val="000000"/>
                <w:szCs w:val="24"/>
              </w:rPr>
            </w:pPr>
            <w:r>
              <w:rPr>
                <w:rFonts w:hint="default" w:ascii="Times New Roman" w:hAnsi="Times New Roman" w:eastAsia="宋体" w:cs="Times New Roman"/>
                <w:sz w:val="24"/>
                <w:lang w:val="en-US" w:eastAsia="zh-CN"/>
              </w:rPr>
              <w:t>集气罩风机风量为</w:t>
            </w:r>
            <w:r>
              <w:rPr>
                <w:rFonts w:hint="eastAsia" w:ascii="Times New Roman" w:hAnsi="Times New Roman" w:cs="Times New Roman"/>
                <w:sz w:val="24"/>
                <w:lang w:val="en-US" w:eastAsia="zh-CN"/>
              </w:rPr>
              <w:t>50</w:t>
            </w:r>
            <w:r>
              <w:rPr>
                <w:rFonts w:hint="eastAsia" w:ascii="Times New Roman" w:hAnsi="Times New Roman" w:eastAsia="宋体" w:cs="Times New Roman"/>
                <w:sz w:val="24"/>
                <w:lang w:val="en-US" w:eastAsia="zh-CN"/>
              </w:rPr>
              <w:t>00</w:t>
            </w:r>
            <w:r>
              <w:rPr>
                <w:rFonts w:hint="default" w:ascii="Times New Roman" w:hAnsi="Times New Roman" w:eastAsia="宋体" w:cs="Times New Roman"/>
                <w:sz w:val="24"/>
                <w:lang w:val="en-US" w:eastAsia="zh-CN"/>
              </w:rPr>
              <w:t>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/h，</w:t>
            </w:r>
            <w:r>
              <w:rPr>
                <w:rFonts w:hint="default" w:ascii="Times New Roman" w:hAnsi="Times New Roman" w:cs="Times New Roman"/>
                <w:sz w:val="24"/>
              </w:rPr>
              <w:t>集气罩收集效率以90%计，二级活性炭吸附装置处理效率以90%计，则</w:t>
            </w:r>
            <w:r>
              <w:rPr>
                <w:rFonts w:hint="default" w:ascii="Times New Roman" w:hAnsi="Times New Roman" w:cs="Times New Roman"/>
                <w:sz w:val="24"/>
                <w:lang w:val="en-US" w:eastAsia="zh-CN"/>
              </w:rPr>
              <w:t>非甲烷总烃</w:t>
            </w:r>
            <w:r>
              <w:rPr>
                <w:rFonts w:hint="default" w:ascii="Times New Roman" w:hAnsi="Times New Roman" w:cs="Times New Roman"/>
                <w:sz w:val="24"/>
              </w:rPr>
              <w:t>的有组织排放量约为</w:t>
            </w:r>
            <w:r>
              <w:rPr>
                <w:rFonts w:hint="default" w:ascii="Times New Roman" w:hAnsi="Times New Roman" w:cs="Times New Roman"/>
                <w:sz w:val="24"/>
                <w:lang w:val="en-US" w:eastAsia="zh-CN"/>
              </w:rPr>
              <w:t>0.</w:t>
            </w:r>
            <w:r>
              <w:rPr>
                <w:rFonts w:hint="eastAsia" w:ascii="Times New Roman" w:hAnsi="Times New Roman" w:cs="Times New Roman"/>
                <w:sz w:val="24"/>
                <w:lang w:val="en-US" w:eastAsia="zh-CN"/>
              </w:rPr>
              <w:t>3384</w:t>
            </w:r>
            <w:r>
              <w:rPr>
                <w:rFonts w:hint="default" w:ascii="Times New Roman" w:hAnsi="Times New Roman" w:cs="Times New Roman"/>
                <w:sz w:val="24"/>
              </w:rPr>
              <w:t>t/a</w:t>
            </w:r>
            <w:r>
              <w:rPr>
                <w:rFonts w:hint="default" w:ascii="Times New Roman" w:hAnsi="Times New Roman" w:cs="Times New Roman"/>
                <w:sz w:val="24"/>
                <w:lang w:eastAsia="zh-CN"/>
              </w:rPr>
              <w:t>，</w:t>
            </w:r>
            <w:r>
              <w:rPr>
                <w:rFonts w:hint="default" w:ascii="Times New Roman" w:hAnsi="Times New Roman" w:cs="Times New Roman"/>
                <w:color w:val="000000"/>
                <w:szCs w:val="24"/>
              </w:rPr>
              <w:t>排放速率为</w:t>
            </w:r>
            <w:r>
              <w:rPr>
                <w:rFonts w:hint="eastAsia" w:ascii="Times New Roman" w:hAnsi="Times New Roman" w:cs="Times New Roman"/>
                <w:color w:val="000000"/>
                <w:szCs w:val="24"/>
                <w:lang w:val="en-US" w:eastAsia="zh-CN"/>
              </w:rPr>
              <w:t>0.141</w:t>
            </w:r>
            <w:r>
              <w:rPr>
                <w:rFonts w:hint="default" w:ascii="Times New Roman" w:hAnsi="Times New Roman" w:cs="Times New Roman"/>
                <w:color w:val="000000"/>
                <w:szCs w:val="24"/>
              </w:rPr>
              <w:t>kg/h</w:t>
            </w:r>
            <w:r>
              <w:rPr>
                <w:rFonts w:hint="default" w:ascii="Times New Roman" w:hAnsi="Times New Roman" w:cs="Times New Roman"/>
                <w:color w:val="000000"/>
                <w:szCs w:val="24"/>
                <w:lang w:eastAsia="zh-CN"/>
              </w:rPr>
              <w:t>，</w:t>
            </w:r>
            <w:r>
              <w:rPr>
                <w:rFonts w:hint="default" w:ascii="Times New Roman" w:hAnsi="Times New Roman" w:cs="Times New Roman"/>
                <w:color w:val="000000"/>
                <w:sz w:val="24"/>
                <w:szCs w:val="24"/>
              </w:rPr>
              <w:t>排放浓度为</w:t>
            </w:r>
            <w:r>
              <w:rPr>
                <w:rFonts w:hint="eastAsia" w:ascii="Times New Roman" w:hAnsi="Times New Roman" w:cs="Times New Roman"/>
                <w:color w:val="000000"/>
                <w:sz w:val="24"/>
                <w:szCs w:val="24"/>
                <w:highlight w:val="none"/>
                <w:lang w:val="en-US" w:eastAsia="zh-CN"/>
              </w:rPr>
              <w:t>28.2</w:t>
            </w:r>
            <w:r>
              <w:rPr>
                <w:rFonts w:hint="default" w:ascii="Times New Roman" w:hAnsi="Times New Roman" w:cs="Times New Roman"/>
                <w:color w:val="000000"/>
                <w:sz w:val="24"/>
                <w:szCs w:val="24"/>
                <w:highlight w:val="none"/>
              </w:rPr>
              <w:t>mg/m</w:t>
            </w:r>
            <w:r>
              <w:rPr>
                <w:rFonts w:hint="default" w:ascii="Times New Roman" w:hAnsi="Times New Roman" w:cs="Times New Roman"/>
                <w:color w:val="000000"/>
                <w:sz w:val="24"/>
                <w:szCs w:val="24"/>
                <w:highlight w:val="none"/>
                <w:vertAlign w:val="superscript"/>
              </w:rPr>
              <w:t>3</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Cs w:val="24"/>
                <w:lang w:val="en-US" w:eastAsia="zh-CN"/>
              </w:rPr>
              <w:t>无组织</w:t>
            </w:r>
            <w:r>
              <w:rPr>
                <w:rFonts w:hint="default" w:ascii="Times New Roman" w:hAnsi="Times New Roman" w:cs="Times New Roman"/>
                <w:color w:val="000000"/>
                <w:szCs w:val="24"/>
              </w:rPr>
              <w:t>排放量</w:t>
            </w:r>
            <w:r>
              <w:rPr>
                <w:rFonts w:hint="default" w:ascii="Times New Roman" w:hAnsi="Times New Roman" w:cs="Times New Roman"/>
                <w:color w:val="000000"/>
                <w:szCs w:val="24"/>
                <w:lang w:val="en-US" w:eastAsia="zh-CN"/>
              </w:rPr>
              <w:t>约</w:t>
            </w:r>
            <w:r>
              <w:rPr>
                <w:rFonts w:hint="default" w:ascii="Times New Roman" w:hAnsi="Times New Roman" w:cs="Times New Roman"/>
                <w:color w:val="000000"/>
                <w:szCs w:val="24"/>
              </w:rPr>
              <w:t>为0.</w:t>
            </w:r>
            <w:r>
              <w:rPr>
                <w:rFonts w:hint="eastAsia" w:ascii="Times New Roman" w:hAnsi="Times New Roman" w:cs="Times New Roman"/>
                <w:color w:val="000000"/>
                <w:szCs w:val="24"/>
                <w:lang w:val="en-US" w:eastAsia="zh-CN"/>
              </w:rPr>
              <w:t>376</w:t>
            </w:r>
            <w:r>
              <w:rPr>
                <w:rFonts w:hint="default" w:ascii="Times New Roman" w:hAnsi="Times New Roman" w:cs="Times New Roman"/>
                <w:color w:val="000000"/>
                <w:szCs w:val="24"/>
              </w:rPr>
              <w:t>t/a，排放速率为0.</w:t>
            </w:r>
            <w:r>
              <w:rPr>
                <w:rFonts w:hint="eastAsia" w:ascii="Times New Roman" w:hAnsi="Times New Roman" w:cs="Times New Roman"/>
                <w:color w:val="000000"/>
                <w:szCs w:val="24"/>
                <w:lang w:val="en-US" w:eastAsia="zh-CN"/>
              </w:rPr>
              <w:t>157</w:t>
            </w:r>
            <w:r>
              <w:rPr>
                <w:rFonts w:hint="default" w:ascii="Times New Roman" w:hAnsi="Times New Roman" w:cs="Times New Roman"/>
                <w:color w:val="000000"/>
                <w:szCs w:val="24"/>
              </w:rPr>
              <w:t>kg/h。</w:t>
            </w:r>
          </w:p>
          <w:p w14:paraId="7C91E682">
            <w:pPr>
              <w:pStyle w:val="3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color w:val="000000"/>
                <w:szCs w:val="24"/>
                <w:lang w:eastAsia="zh-CN"/>
              </w:rPr>
            </w:pPr>
          </w:p>
        </w:tc>
      </w:tr>
    </w:tbl>
    <w:p w14:paraId="09CB0329">
      <w:pPr>
        <w:sectPr>
          <w:pgSz w:w="11907" w:h="16840"/>
          <w:pgMar w:top="1418" w:right="1134" w:bottom="1418" w:left="1247" w:header="851" w:footer="851" w:gutter="0"/>
          <w:cols w:space="720" w:num="1"/>
          <w:docGrid w:linePitch="312" w:charSpace="0"/>
        </w:sectPr>
      </w:pPr>
    </w:p>
    <w:p w14:paraId="33FBCBD3">
      <w:pPr>
        <w:rPr>
          <w:rFonts w:hint="eastAsia"/>
          <w:b/>
          <w:sz w:val="24"/>
        </w:rPr>
      </w:pPr>
    </w:p>
    <w:p w14:paraId="5F7B42EF">
      <w:pPr>
        <w:keepNext w:val="0"/>
        <w:keepLines w:val="0"/>
        <w:pageBreakBefore w:val="0"/>
        <w:widowControl/>
        <w:numPr>
          <w:ilvl w:val="0"/>
          <w:numId w:val="13"/>
        </w:numPr>
        <w:tabs>
          <w:tab w:val="left" w:pos="420"/>
          <w:tab w:val="clear" w:pos="0"/>
        </w:tabs>
        <w:kinsoku/>
        <w:wordWrap/>
        <w:overflowPunct/>
        <w:topLinePunct w:val="0"/>
        <w:autoSpaceDE/>
        <w:autoSpaceDN/>
        <w:bidi w:val="0"/>
        <w:adjustRightInd/>
        <w:snapToGrid/>
        <w:spacing w:line="240" w:lineRule="auto"/>
        <w:ind w:left="0" w:leftChars="0" w:firstLine="0" w:firstLineChars="0"/>
        <w:jc w:val="center"/>
        <w:textAlignment w:val="auto"/>
        <w:rPr>
          <w:rStyle w:val="73"/>
          <w:bCs/>
          <w:color w:val="auto"/>
          <w:sz w:val="24"/>
          <w:szCs w:val="24"/>
        </w:rPr>
      </w:pPr>
      <w:r>
        <w:rPr>
          <w:rStyle w:val="73"/>
          <w:rFonts w:hint="eastAsia"/>
          <w:bCs/>
          <w:color w:val="auto"/>
          <w:sz w:val="24"/>
          <w:szCs w:val="24"/>
        </w:rPr>
        <w:t>本次项目</w:t>
      </w:r>
      <w:r>
        <w:rPr>
          <w:rStyle w:val="73"/>
          <w:bCs/>
          <w:color w:val="auto"/>
          <w:sz w:val="24"/>
          <w:szCs w:val="24"/>
        </w:rPr>
        <w:t>废气产排污节点、污染物产排及污染治理设施信息表</w:t>
      </w:r>
    </w:p>
    <w:tbl>
      <w:tblPr>
        <w:tblStyle w:val="34"/>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214"/>
        <w:gridCol w:w="942"/>
        <w:gridCol w:w="942"/>
        <w:gridCol w:w="945"/>
        <w:gridCol w:w="840"/>
        <w:gridCol w:w="962"/>
        <w:gridCol w:w="962"/>
        <w:gridCol w:w="962"/>
        <w:gridCol w:w="962"/>
        <w:gridCol w:w="927"/>
        <w:gridCol w:w="810"/>
        <w:gridCol w:w="806"/>
        <w:gridCol w:w="1012"/>
      </w:tblGrid>
      <w:tr w14:paraId="44C0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4" w:type="pct"/>
            <w:vMerge w:val="restart"/>
            <w:noWrap w:val="0"/>
            <w:vAlign w:val="center"/>
          </w:tcPr>
          <w:p w14:paraId="70636C74">
            <w:pPr>
              <w:pStyle w:val="103"/>
              <w:spacing w:line="240" w:lineRule="auto"/>
              <w:ind w:firstLine="0" w:firstLineChars="0"/>
              <w:jc w:val="center"/>
              <w:rPr>
                <w:color w:val="000000"/>
              </w:rPr>
            </w:pPr>
            <w:r>
              <w:rPr>
                <w:color w:val="000000"/>
              </w:rPr>
              <w:t>工序</w:t>
            </w:r>
          </w:p>
        </w:tc>
        <w:tc>
          <w:tcPr>
            <w:tcW w:w="428" w:type="pct"/>
            <w:vMerge w:val="restart"/>
            <w:noWrap w:val="0"/>
            <w:vAlign w:val="center"/>
          </w:tcPr>
          <w:p w14:paraId="53B109B4">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污染物</w:t>
            </w:r>
          </w:p>
        </w:tc>
        <w:tc>
          <w:tcPr>
            <w:tcW w:w="998" w:type="pct"/>
            <w:gridSpan w:val="3"/>
            <w:vMerge w:val="restart"/>
            <w:noWrap w:val="0"/>
            <w:vAlign w:val="center"/>
          </w:tcPr>
          <w:p w14:paraId="65E58234">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污染物产生情况</w:t>
            </w:r>
          </w:p>
        </w:tc>
        <w:tc>
          <w:tcPr>
            <w:tcW w:w="296" w:type="pct"/>
            <w:vMerge w:val="restart"/>
            <w:noWrap w:val="0"/>
            <w:vAlign w:val="center"/>
          </w:tcPr>
          <w:p w14:paraId="39264802">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rFonts w:hint="eastAsia"/>
                <w:color w:val="000000"/>
              </w:rPr>
              <w:t>营运</w:t>
            </w:r>
            <w:r>
              <w:rPr>
                <w:color w:val="000000"/>
              </w:rPr>
              <w:t>时间h/a</w:t>
            </w:r>
          </w:p>
        </w:tc>
        <w:tc>
          <w:tcPr>
            <w:tcW w:w="1358" w:type="pct"/>
            <w:gridSpan w:val="4"/>
            <w:vMerge w:val="restart"/>
            <w:noWrap w:val="0"/>
            <w:vAlign w:val="center"/>
          </w:tcPr>
          <w:p w14:paraId="5BAE5111">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治理设施</w:t>
            </w:r>
          </w:p>
        </w:tc>
        <w:tc>
          <w:tcPr>
            <w:tcW w:w="897" w:type="pct"/>
            <w:gridSpan w:val="3"/>
            <w:noWrap w:val="0"/>
            <w:vAlign w:val="center"/>
          </w:tcPr>
          <w:p w14:paraId="5FEE8E32">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污染物排放情况</w:t>
            </w:r>
          </w:p>
        </w:tc>
        <w:tc>
          <w:tcPr>
            <w:tcW w:w="356" w:type="pct"/>
            <w:vMerge w:val="restart"/>
            <w:noWrap w:val="0"/>
            <w:vAlign w:val="center"/>
          </w:tcPr>
          <w:p w14:paraId="0510EFA9">
            <w:pPr>
              <w:widowControl/>
              <w:jc w:val="center"/>
              <w:textAlignment w:val="center"/>
              <w:rPr>
                <w:color w:val="000000"/>
              </w:rPr>
            </w:pPr>
            <w:r>
              <w:rPr>
                <w:color w:val="000000"/>
              </w:rPr>
              <w:t>排气筒</w:t>
            </w:r>
            <w:r>
              <w:rPr>
                <w:color w:val="000000"/>
              </w:rPr>
              <w:br w:type="textWrapping"/>
            </w:r>
            <w:r>
              <w:rPr>
                <w:color w:val="000000"/>
              </w:rPr>
              <w:t>编号</w:t>
            </w:r>
          </w:p>
        </w:tc>
      </w:tr>
      <w:tr w14:paraId="36D1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4" w:type="pct"/>
            <w:vMerge w:val="continue"/>
            <w:noWrap w:val="0"/>
            <w:vAlign w:val="center"/>
          </w:tcPr>
          <w:p w14:paraId="03556C41">
            <w:pPr>
              <w:pStyle w:val="103"/>
              <w:spacing w:line="240" w:lineRule="auto"/>
              <w:ind w:firstLine="0" w:firstLineChars="0"/>
              <w:jc w:val="center"/>
              <w:rPr>
                <w:color w:val="000000"/>
              </w:rPr>
            </w:pPr>
          </w:p>
        </w:tc>
        <w:tc>
          <w:tcPr>
            <w:tcW w:w="428" w:type="pct"/>
            <w:vMerge w:val="continue"/>
            <w:noWrap w:val="0"/>
            <w:vAlign w:val="center"/>
          </w:tcPr>
          <w:p w14:paraId="32EF0724">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p>
        </w:tc>
        <w:tc>
          <w:tcPr>
            <w:tcW w:w="998" w:type="pct"/>
            <w:gridSpan w:val="3"/>
            <w:vMerge w:val="continue"/>
            <w:noWrap w:val="0"/>
            <w:vAlign w:val="center"/>
          </w:tcPr>
          <w:p w14:paraId="1E8F904F">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p>
        </w:tc>
        <w:tc>
          <w:tcPr>
            <w:tcW w:w="296" w:type="pct"/>
            <w:vMerge w:val="continue"/>
            <w:noWrap w:val="0"/>
            <w:vAlign w:val="center"/>
          </w:tcPr>
          <w:p w14:paraId="17AF7BC5">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p>
        </w:tc>
        <w:tc>
          <w:tcPr>
            <w:tcW w:w="1358" w:type="pct"/>
            <w:gridSpan w:val="4"/>
            <w:vMerge w:val="continue"/>
            <w:noWrap w:val="0"/>
            <w:vAlign w:val="center"/>
          </w:tcPr>
          <w:p w14:paraId="00D5D4C1">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p>
        </w:tc>
        <w:tc>
          <w:tcPr>
            <w:tcW w:w="897" w:type="pct"/>
            <w:gridSpan w:val="3"/>
            <w:noWrap w:val="0"/>
            <w:vAlign w:val="center"/>
          </w:tcPr>
          <w:p w14:paraId="4AE01208">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有组织</w:t>
            </w:r>
          </w:p>
        </w:tc>
        <w:tc>
          <w:tcPr>
            <w:tcW w:w="356" w:type="pct"/>
            <w:vMerge w:val="continue"/>
            <w:noWrap w:val="0"/>
            <w:vAlign w:val="center"/>
          </w:tcPr>
          <w:p w14:paraId="543ADA09">
            <w:pPr>
              <w:pStyle w:val="103"/>
              <w:spacing w:line="240" w:lineRule="auto"/>
              <w:ind w:firstLine="0" w:firstLineChars="0"/>
              <w:jc w:val="center"/>
              <w:rPr>
                <w:color w:val="000000"/>
              </w:rPr>
            </w:pPr>
          </w:p>
        </w:tc>
      </w:tr>
      <w:tr w14:paraId="6746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4" w:type="pct"/>
            <w:vMerge w:val="continue"/>
            <w:noWrap w:val="0"/>
            <w:vAlign w:val="center"/>
          </w:tcPr>
          <w:p w14:paraId="10034567">
            <w:pPr>
              <w:pStyle w:val="103"/>
              <w:spacing w:line="240" w:lineRule="auto"/>
              <w:ind w:firstLine="0" w:firstLineChars="0"/>
              <w:jc w:val="center"/>
              <w:rPr>
                <w:color w:val="000000"/>
              </w:rPr>
            </w:pPr>
          </w:p>
        </w:tc>
        <w:tc>
          <w:tcPr>
            <w:tcW w:w="428" w:type="pct"/>
            <w:vMerge w:val="continue"/>
            <w:noWrap w:val="0"/>
            <w:vAlign w:val="center"/>
          </w:tcPr>
          <w:p w14:paraId="1C8A3C26">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p>
        </w:tc>
        <w:tc>
          <w:tcPr>
            <w:tcW w:w="332" w:type="pct"/>
            <w:noWrap w:val="0"/>
            <w:vAlign w:val="center"/>
          </w:tcPr>
          <w:p w14:paraId="77021D0B">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产生</w:t>
            </w:r>
          </w:p>
          <w:p w14:paraId="66D99ED2">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浓度</w:t>
            </w:r>
          </w:p>
          <w:p w14:paraId="0648E644">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mg/m</w:t>
            </w:r>
            <w:r>
              <w:rPr>
                <w:color w:val="000000"/>
                <w:vertAlign w:val="superscript"/>
              </w:rPr>
              <w:t>3</w:t>
            </w:r>
          </w:p>
        </w:tc>
        <w:tc>
          <w:tcPr>
            <w:tcW w:w="332" w:type="pct"/>
            <w:noWrap w:val="0"/>
            <w:vAlign w:val="center"/>
          </w:tcPr>
          <w:p w14:paraId="4E8E0E83">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产生</w:t>
            </w:r>
          </w:p>
          <w:p w14:paraId="58011CDB">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速率</w:t>
            </w:r>
          </w:p>
          <w:p w14:paraId="4E21F669">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kg/h</w:t>
            </w:r>
          </w:p>
        </w:tc>
        <w:tc>
          <w:tcPr>
            <w:tcW w:w="333" w:type="pct"/>
            <w:noWrap w:val="0"/>
            <w:vAlign w:val="center"/>
          </w:tcPr>
          <w:p w14:paraId="22EF6296">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产生量</w:t>
            </w:r>
          </w:p>
          <w:p w14:paraId="72F5F339">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t/a</w:t>
            </w:r>
          </w:p>
        </w:tc>
        <w:tc>
          <w:tcPr>
            <w:tcW w:w="296" w:type="pct"/>
            <w:vMerge w:val="continue"/>
            <w:noWrap w:val="0"/>
            <w:vAlign w:val="center"/>
          </w:tcPr>
          <w:p w14:paraId="62302795">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p>
        </w:tc>
        <w:tc>
          <w:tcPr>
            <w:tcW w:w="339" w:type="pct"/>
            <w:noWrap w:val="0"/>
            <w:vAlign w:val="center"/>
          </w:tcPr>
          <w:p w14:paraId="518E406B">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治理工艺</w:t>
            </w:r>
          </w:p>
        </w:tc>
        <w:tc>
          <w:tcPr>
            <w:tcW w:w="339" w:type="pct"/>
            <w:shd w:val="clear" w:color="auto" w:fill="auto"/>
            <w:noWrap w:val="0"/>
            <w:vAlign w:val="center"/>
          </w:tcPr>
          <w:p w14:paraId="6FCEDBD5">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rFonts w:hint="eastAsia"/>
                <w:color w:val="000000"/>
                <w:lang w:val="en-US" w:eastAsia="zh-CN"/>
              </w:rPr>
              <w:t>收集</w:t>
            </w:r>
            <w:r>
              <w:rPr>
                <w:color w:val="000000"/>
              </w:rPr>
              <w:t>效率</w:t>
            </w:r>
          </w:p>
          <w:p w14:paraId="15C0B879">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000000"/>
                <w:kern w:val="2"/>
                <w:sz w:val="21"/>
                <w:szCs w:val="21"/>
                <w:lang w:val="en-US" w:eastAsia="zh-CN" w:bidi="ar-SA"/>
              </w:rPr>
            </w:pPr>
            <w:r>
              <w:rPr>
                <w:color w:val="000000"/>
              </w:rPr>
              <w:t>%</w:t>
            </w:r>
          </w:p>
        </w:tc>
        <w:tc>
          <w:tcPr>
            <w:tcW w:w="339" w:type="pct"/>
            <w:shd w:val="clear" w:color="auto" w:fill="auto"/>
            <w:noWrap w:val="0"/>
            <w:vAlign w:val="center"/>
          </w:tcPr>
          <w:p w14:paraId="6D8E482C">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去除</w:t>
            </w:r>
          </w:p>
          <w:p w14:paraId="62BC1692">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效率</w:t>
            </w:r>
          </w:p>
          <w:p w14:paraId="5C6B2AFC">
            <w:pPr>
              <w:widowControl/>
              <w:ind w:left="-105" w:leftChars="-50" w:right="-105" w:rightChars="-50"/>
              <w:jc w:val="center"/>
              <w:textAlignment w:val="center"/>
              <w:rPr>
                <w:rFonts w:hint="eastAsia" w:ascii="Times New Roman" w:hAnsi="Times New Roman" w:eastAsia="宋体" w:cs="Times New Roman"/>
                <w:color w:val="auto"/>
                <w:kern w:val="2"/>
                <w:sz w:val="21"/>
                <w:szCs w:val="21"/>
                <w:lang w:val="en-US" w:eastAsia="zh-CN" w:bidi="ar-SA"/>
              </w:rPr>
            </w:pPr>
            <w:r>
              <w:rPr>
                <w:color w:val="000000"/>
              </w:rPr>
              <w:t>%</w:t>
            </w:r>
          </w:p>
        </w:tc>
        <w:tc>
          <w:tcPr>
            <w:tcW w:w="339" w:type="pct"/>
            <w:shd w:val="clear" w:color="auto" w:fill="auto"/>
            <w:noWrap w:val="0"/>
            <w:vAlign w:val="center"/>
          </w:tcPr>
          <w:p w14:paraId="7C9EBCE9">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color w:val="000000"/>
              </w:rPr>
              <w:t>废气量</w:t>
            </w:r>
            <w:r>
              <w:rPr>
                <w:color w:val="000000"/>
              </w:rPr>
              <w:t>m</w:t>
            </w:r>
            <w:r>
              <w:rPr>
                <w:color w:val="000000"/>
                <w:vertAlign w:val="superscript"/>
              </w:rPr>
              <w:t>3</w:t>
            </w:r>
            <w:r>
              <w:rPr>
                <w:color w:val="000000"/>
              </w:rPr>
              <w:t>/h</w:t>
            </w:r>
          </w:p>
        </w:tc>
        <w:tc>
          <w:tcPr>
            <w:tcW w:w="327" w:type="pct"/>
            <w:noWrap w:val="0"/>
            <w:vAlign w:val="center"/>
          </w:tcPr>
          <w:p w14:paraId="16B227F1">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排放</w:t>
            </w:r>
          </w:p>
          <w:p w14:paraId="4255865F">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浓度</w:t>
            </w:r>
          </w:p>
          <w:p w14:paraId="087BA167">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mg/m</w:t>
            </w:r>
            <w:r>
              <w:rPr>
                <w:color w:val="000000"/>
                <w:vertAlign w:val="superscript"/>
              </w:rPr>
              <w:t>3</w:t>
            </w:r>
          </w:p>
        </w:tc>
        <w:tc>
          <w:tcPr>
            <w:tcW w:w="285" w:type="pct"/>
            <w:noWrap w:val="0"/>
            <w:vAlign w:val="center"/>
          </w:tcPr>
          <w:p w14:paraId="75E73DE9">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排放</w:t>
            </w:r>
          </w:p>
          <w:p w14:paraId="5078149E">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速率</w:t>
            </w:r>
          </w:p>
          <w:p w14:paraId="585F5400">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kg/h</w:t>
            </w:r>
          </w:p>
        </w:tc>
        <w:tc>
          <w:tcPr>
            <w:tcW w:w="284" w:type="pct"/>
            <w:noWrap w:val="0"/>
            <w:vAlign w:val="center"/>
          </w:tcPr>
          <w:p w14:paraId="33BAC0AC">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排放量</w:t>
            </w:r>
          </w:p>
          <w:p w14:paraId="6D575430">
            <w:pPr>
              <w:pStyle w:val="103"/>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rPr>
            </w:pPr>
            <w:r>
              <w:rPr>
                <w:color w:val="000000"/>
              </w:rPr>
              <w:t>t/a</w:t>
            </w:r>
          </w:p>
        </w:tc>
        <w:tc>
          <w:tcPr>
            <w:tcW w:w="356" w:type="pct"/>
            <w:vMerge w:val="continue"/>
            <w:noWrap w:val="0"/>
            <w:vAlign w:val="center"/>
          </w:tcPr>
          <w:p w14:paraId="3CF4D55B">
            <w:pPr>
              <w:pStyle w:val="103"/>
              <w:spacing w:line="240" w:lineRule="auto"/>
              <w:ind w:firstLine="0" w:firstLineChars="0"/>
              <w:jc w:val="center"/>
              <w:rPr>
                <w:color w:val="000000"/>
              </w:rPr>
            </w:pPr>
          </w:p>
        </w:tc>
      </w:tr>
      <w:tr w14:paraId="45E3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4" w:type="pct"/>
            <w:noWrap w:val="0"/>
            <w:vAlign w:val="center"/>
          </w:tcPr>
          <w:p w14:paraId="18B202FC">
            <w:pPr>
              <w:pStyle w:val="103"/>
              <w:spacing w:line="240" w:lineRule="auto"/>
              <w:ind w:firstLine="0" w:firstLineChars="0"/>
              <w:jc w:val="center"/>
              <w:rPr>
                <w:color w:val="000000"/>
              </w:rPr>
            </w:pPr>
            <w:r>
              <w:rPr>
                <w:rFonts w:hint="eastAsia"/>
                <w:color w:val="000000"/>
                <w:lang w:val="en-US" w:eastAsia="zh-CN"/>
              </w:rPr>
              <w:t>熔融挤出</w:t>
            </w:r>
            <w:r>
              <w:rPr>
                <w:color w:val="000000"/>
              </w:rPr>
              <w:t>过程</w:t>
            </w:r>
          </w:p>
        </w:tc>
        <w:tc>
          <w:tcPr>
            <w:tcW w:w="428" w:type="pct"/>
            <w:noWrap w:val="0"/>
            <w:vAlign w:val="center"/>
          </w:tcPr>
          <w:p w14:paraId="7C3BE0F3">
            <w:pPr>
              <w:pStyle w:val="103"/>
              <w:spacing w:line="240" w:lineRule="auto"/>
              <w:ind w:firstLine="0" w:firstLineChars="0"/>
              <w:jc w:val="center"/>
              <w:rPr>
                <w:color w:val="000000"/>
              </w:rPr>
            </w:pPr>
            <w:r>
              <w:rPr>
                <w:rFonts w:hint="eastAsia"/>
                <w:color w:val="000000"/>
              </w:rPr>
              <w:t>非甲烷总烃</w:t>
            </w:r>
          </w:p>
        </w:tc>
        <w:tc>
          <w:tcPr>
            <w:tcW w:w="332" w:type="pct"/>
            <w:noWrap w:val="0"/>
            <w:vAlign w:val="center"/>
          </w:tcPr>
          <w:p w14:paraId="42333F53">
            <w:pPr>
              <w:keepNext w:val="0"/>
              <w:keepLines w:val="0"/>
              <w:pageBreakBefore w:val="0"/>
              <w:widowControl/>
              <w:kinsoku/>
              <w:wordWrap/>
              <w:overflowPunct/>
              <w:topLinePunct w:val="0"/>
              <w:autoSpaceDE/>
              <w:autoSpaceDN/>
              <w:bidi w:val="0"/>
              <w:adjustRightInd/>
              <w:snapToGrid/>
              <w:ind w:left="0" w:leftChars="0" w:right="0" w:rightChars="0"/>
              <w:jc w:val="center"/>
              <w:textAlignment w:val="center"/>
              <w:rPr>
                <w:rFonts w:hint="default" w:eastAsia="宋体"/>
                <w:color w:val="000000"/>
                <w:szCs w:val="21"/>
                <w:highlight w:val="none"/>
                <w:lang w:val="en-US" w:eastAsia="zh-CN"/>
              </w:rPr>
            </w:pPr>
            <w:r>
              <w:rPr>
                <w:rFonts w:hint="eastAsia"/>
                <w:color w:val="000000"/>
                <w:szCs w:val="21"/>
                <w:highlight w:val="none"/>
                <w:lang w:val="en-US" w:eastAsia="zh-CN"/>
              </w:rPr>
              <w:t>314</w:t>
            </w:r>
          </w:p>
        </w:tc>
        <w:tc>
          <w:tcPr>
            <w:tcW w:w="332" w:type="pct"/>
            <w:noWrap w:val="0"/>
            <w:vAlign w:val="center"/>
          </w:tcPr>
          <w:p w14:paraId="1A0AD68B">
            <w:pPr>
              <w:widowControl/>
              <w:ind w:left="-84" w:leftChars="-40" w:right="-84" w:rightChars="-40"/>
              <w:jc w:val="center"/>
              <w:textAlignment w:val="center"/>
              <w:rPr>
                <w:rFonts w:hint="default" w:eastAsia="宋体"/>
                <w:color w:val="000000"/>
                <w:szCs w:val="21"/>
                <w:highlight w:val="none"/>
                <w:lang w:val="en-US" w:eastAsia="zh-CN"/>
              </w:rPr>
            </w:pPr>
            <w:r>
              <w:rPr>
                <w:rFonts w:hint="eastAsia" w:eastAsia="宋体"/>
                <w:color w:val="000000"/>
                <w:szCs w:val="21"/>
                <w:highlight w:val="none"/>
                <w:lang w:val="en-US" w:eastAsia="zh-CN"/>
              </w:rPr>
              <w:t>1</w:t>
            </w:r>
            <w:r>
              <w:rPr>
                <w:rFonts w:hint="eastAsia"/>
                <w:color w:val="000000"/>
                <w:szCs w:val="21"/>
                <w:highlight w:val="none"/>
                <w:lang w:val="en-US" w:eastAsia="zh-CN"/>
              </w:rPr>
              <w:t>.57</w:t>
            </w:r>
          </w:p>
        </w:tc>
        <w:tc>
          <w:tcPr>
            <w:tcW w:w="333" w:type="pct"/>
            <w:noWrap w:val="0"/>
            <w:vAlign w:val="center"/>
          </w:tcPr>
          <w:p w14:paraId="78AA249A">
            <w:pPr>
              <w:widowControl/>
              <w:ind w:left="-84" w:leftChars="-40" w:right="-84" w:rightChars="-40"/>
              <w:jc w:val="center"/>
              <w:textAlignment w:val="center"/>
              <w:rPr>
                <w:rFonts w:hint="default" w:eastAsia="宋体"/>
                <w:color w:val="000000"/>
                <w:szCs w:val="21"/>
                <w:lang w:val="en-US" w:eastAsia="zh-CN"/>
              </w:rPr>
            </w:pPr>
            <w:r>
              <w:rPr>
                <w:rFonts w:hint="eastAsia"/>
                <w:color w:val="000000"/>
                <w:szCs w:val="21"/>
                <w:lang w:val="en-US" w:eastAsia="zh-CN"/>
              </w:rPr>
              <w:t>3.76</w:t>
            </w:r>
          </w:p>
        </w:tc>
        <w:tc>
          <w:tcPr>
            <w:tcW w:w="296" w:type="pct"/>
            <w:noWrap w:val="0"/>
            <w:vAlign w:val="center"/>
          </w:tcPr>
          <w:p w14:paraId="1E3CF2C1">
            <w:pPr>
              <w:widowControl/>
              <w:jc w:val="center"/>
              <w:textAlignment w:val="center"/>
              <w:rPr>
                <w:rFonts w:hint="default" w:eastAsia="宋体"/>
                <w:color w:val="000000"/>
                <w:szCs w:val="21"/>
                <w:lang w:val="en-US" w:eastAsia="zh-CN"/>
              </w:rPr>
            </w:pPr>
            <w:r>
              <w:rPr>
                <w:rFonts w:hint="eastAsia" w:eastAsia="宋体"/>
                <w:color w:val="000000"/>
                <w:szCs w:val="21"/>
                <w:lang w:val="en-US" w:eastAsia="zh-CN"/>
              </w:rPr>
              <w:t>2400</w:t>
            </w:r>
          </w:p>
        </w:tc>
        <w:tc>
          <w:tcPr>
            <w:tcW w:w="339" w:type="pct"/>
            <w:noWrap w:val="0"/>
            <w:vAlign w:val="center"/>
          </w:tcPr>
          <w:p w14:paraId="4CBAB575">
            <w:pPr>
              <w:pStyle w:val="103"/>
              <w:spacing w:line="240" w:lineRule="auto"/>
              <w:ind w:firstLine="0" w:firstLineChars="0"/>
              <w:jc w:val="center"/>
              <w:rPr>
                <w:color w:val="000000"/>
              </w:rPr>
            </w:pPr>
            <w:r>
              <w:rPr>
                <w:rFonts w:hint="eastAsia"/>
                <w:color w:val="000000"/>
              </w:rPr>
              <w:t>二级活性炭吸附</w:t>
            </w:r>
          </w:p>
        </w:tc>
        <w:tc>
          <w:tcPr>
            <w:tcW w:w="339" w:type="pct"/>
            <w:shd w:val="clear" w:color="auto" w:fill="auto"/>
            <w:noWrap w:val="0"/>
            <w:vAlign w:val="center"/>
          </w:tcPr>
          <w:p w14:paraId="5A3015A4">
            <w:pPr>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90</w:t>
            </w:r>
          </w:p>
        </w:tc>
        <w:tc>
          <w:tcPr>
            <w:tcW w:w="339" w:type="pct"/>
            <w:shd w:val="clear" w:color="auto" w:fill="auto"/>
            <w:noWrap w:val="0"/>
            <w:vAlign w:val="center"/>
          </w:tcPr>
          <w:p w14:paraId="28E0FC31">
            <w:pPr>
              <w:pStyle w:val="103"/>
              <w:spacing w:line="240" w:lineRule="auto"/>
              <w:ind w:firstLine="0" w:firstLineChars="0"/>
              <w:jc w:val="center"/>
              <w:rPr>
                <w:rFonts w:hint="default" w:ascii="Times New Roman" w:hAnsi="Times New Roman" w:eastAsia="宋体" w:cs="Times New Roman"/>
                <w:bCs/>
                <w:color w:val="000000"/>
                <w:kern w:val="2"/>
                <w:sz w:val="21"/>
                <w:szCs w:val="21"/>
                <w:lang w:val="en-US" w:eastAsia="zh-CN" w:bidi="ar-SA"/>
              </w:rPr>
            </w:pPr>
            <w:r>
              <w:rPr>
                <w:rFonts w:hint="eastAsia"/>
                <w:color w:val="000000"/>
                <w:lang w:val="en-US" w:eastAsia="zh-CN"/>
              </w:rPr>
              <w:t>90</w:t>
            </w:r>
          </w:p>
        </w:tc>
        <w:tc>
          <w:tcPr>
            <w:tcW w:w="339" w:type="pct"/>
            <w:shd w:val="clear" w:color="auto" w:fill="auto"/>
            <w:noWrap w:val="0"/>
            <w:vAlign w:val="center"/>
          </w:tcPr>
          <w:p w14:paraId="70190651">
            <w:pPr>
              <w:pStyle w:val="103"/>
              <w:spacing w:line="240" w:lineRule="auto"/>
              <w:ind w:firstLine="0" w:firstLineChars="0"/>
              <w:jc w:val="center"/>
              <w:rPr>
                <w:rFonts w:hint="default" w:ascii="Times New Roman" w:hAnsi="Times New Roman" w:eastAsia="宋体" w:cs="Times New Roman"/>
                <w:bCs/>
                <w:color w:val="000000"/>
                <w:kern w:val="2"/>
                <w:sz w:val="21"/>
                <w:szCs w:val="21"/>
                <w:lang w:val="en-US" w:eastAsia="zh-CN" w:bidi="ar-SA"/>
              </w:rPr>
            </w:pPr>
            <w:r>
              <w:rPr>
                <w:rFonts w:hint="eastAsia" w:eastAsia="宋体"/>
                <w:color w:val="000000"/>
                <w:lang w:val="en-US" w:eastAsia="zh-CN"/>
              </w:rPr>
              <w:t>5000</w:t>
            </w:r>
          </w:p>
        </w:tc>
        <w:tc>
          <w:tcPr>
            <w:tcW w:w="327" w:type="pct"/>
            <w:noWrap w:val="0"/>
            <w:vAlign w:val="center"/>
          </w:tcPr>
          <w:p w14:paraId="7A7DD493">
            <w:pPr>
              <w:widowControl/>
              <w:ind w:left="-84" w:leftChars="-40" w:right="-84" w:rightChars="-40"/>
              <w:jc w:val="center"/>
              <w:textAlignment w:val="center"/>
              <w:rPr>
                <w:rFonts w:hint="default" w:eastAsia="宋体"/>
                <w:color w:val="000000"/>
                <w:szCs w:val="21"/>
                <w:lang w:val="en-US" w:eastAsia="zh-CN"/>
              </w:rPr>
            </w:pPr>
            <w:r>
              <w:rPr>
                <w:rFonts w:hint="eastAsia"/>
                <w:color w:val="000000"/>
                <w:szCs w:val="21"/>
                <w:lang w:val="en-US" w:eastAsia="zh-CN"/>
              </w:rPr>
              <w:t>28.2</w:t>
            </w:r>
          </w:p>
        </w:tc>
        <w:tc>
          <w:tcPr>
            <w:tcW w:w="285" w:type="pct"/>
            <w:noWrap w:val="0"/>
            <w:vAlign w:val="center"/>
          </w:tcPr>
          <w:p w14:paraId="6DC039A2">
            <w:pPr>
              <w:widowControl/>
              <w:ind w:left="-84" w:leftChars="-40" w:right="-84" w:rightChars="-40"/>
              <w:jc w:val="center"/>
              <w:textAlignment w:val="center"/>
              <w:rPr>
                <w:rFonts w:hint="default" w:eastAsia="宋体"/>
                <w:color w:val="000000"/>
                <w:szCs w:val="21"/>
                <w:lang w:val="en-US" w:eastAsia="zh-CN"/>
              </w:rPr>
            </w:pPr>
            <w:r>
              <w:rPr>
                <w:rFonts w:hint="eastAsia" w:eastAsia="宋体"/>
                <w:color w:val="000000"/>
                <w:szCs w:val="21"/>
                <w:lang w:val="en-US" w:eastAsia="zh-CN"/>
              </w:rPr>
              <w:t>0.141</w:t>
            </w:r>
          </w:p>
        </w:tc>
        <w:tc>
          <w:tcPr>
            <w:tcW w:w="284" w:type="pct"/>
            <w:noWrap w:val="0"/>
            <w:vAlign w:val="center"/>
          </w:tcPr>
          <w:p w14:paraId="0B557388">
            <w:pPr>
              <w:widowControl/>
              <w:ind w:left="-84" w:leftChars="-40" w:right="-84" w:rightChars="-40"/>
              <w:jc w:val="center"/>
              <w:textAlignment w:val="center"/>
              <w:rPr>
                <w:rFonts w:hint="default" w:eastAsia="宋体"/>
                <w:color w:val="000000"/>
                <w:szCs w:val="21"/>
                <w:lang w:val="en-US" w:eastAsia="zh-CN"/>
              </w:rPr>
            </w:pPr>
            <w:r>
              <w:rPr>
                <w:rFonts w:hint="eastAsia" w:eastAsia="宋体"/>
                <w:color w:val="000000"/>
                <w:szCs w:val="21"/>
                <w:lang w:val="en-US" w:eastAsia="zh-CN"/>
              </w:rPr>
              <w:t>0.3384</w:t>
            </w:r>
          </w:p>
        </w:tc>
        <w:tc>
          <w:tcPr>
            <w:tcW w:w="356" w:type="pct"/>
            <w:noWrap w:val="0"/>
            <w:vAlign w:val="center"/>
          </w:tcPr>
          <w:p w14:paraId="2EFDFCF8">
            <w:pPr>
              <w:widowControl/>
              <w:jc w:val="center"/>
              <w:textAlignment w:val="center"/>
              <w:rPr>
                <w:color w:val="000000"/>
                <w:szCs w:val="21"/>
              </w:rPr>
            </w:pPr>
            <w:r>
              <w:rPr>
                <w:color w:val="000000"/>
              </w:rPr>
              <w:t>DA001</w:t>
            </w:r>
          </w:p>
        </w:tc>
      </w:tr>
    </w:tbl>
    <w:p w14:paraId="76F9665C">
      <w:pPr>
        <w:pStyle w:val="103"/>
        <w:ind w:firstLine="0" w:firstLineChars="0"/>
        <w:rPr>
          <w:sz w:val="24"/>
          <w:szCs w:val="24"/>
        </w:rPr>
      </w:pPr>
      <w:r>
        <w:rPr>
          <w:sz w:val="24"/>
          <w:szCs w:val="24"/>
        </w:rPr>
        <w:t>项目各个大气污染物排口信息如下表。</w:t>
      </w:r>
    </w:p>
    <w:p w14:paraId="294434A2">
      <w:pPr>
        <w:keepNext w:val="0"/>
        <w:keepLines w:val="0"/>
        <w:pageBreakBefore w:val="0"/>
        <w:widowControl/>
        <w:numPr>
          <w:ilvl w:val="0"/>
          <w:numId w:val="13"/>
        </w:numPr>
        <w:tabs>
          <w:tab w:val="left" w:pos="420"/>
          <w:tab w:val="clear" w:pos="0"/>
        </w:tabs>
        <w:kinsoku/>
        <w:wordWrap/>
        <w:overflowPunct/>
        <w:topLinePunct w:val="0"/>
        <w:autoSpaceDE/>
        <w:autoSpaceDN/>
        <w:bidi w:val="0"/>
        <w:adjustRightInd/>
        <w:snapToGrid/>
        <w:spacing w:line="240" w:lineRule="auto"/>
        <w:ind w:left="0" w:leftChars="0" w:firstLine="0" w:firstLineChars="0"/>
        <w:jc w:val="center"/>
        <w:textAlignment w:val="auto"/>
        <w:rPr>
          <w:rStyle w:val="73"/>
          <w:bCs/>
          <w:color w:val="auto"/>
          <w:sz w:val="24"/>
          <w:szCs w:val="24"/>
        </w:rPr>
      </w:pPr>
      <w:r>
        <w:rPr>
          <w:rStyle w:val="73"/>
          <w:bCs/>
          <w:color w:val="auto"/>
          <w:sz w:val="24"/>
          <w:szCs w:val="24"/>
        </w:rPr>
        <w:t>本</w:t>
      </w:r>
      <w:r>
        <w:rPr>
          <w:rStyle w:val="73"/>
          <w:rFonts w:hint="eastAsia"/>
          <w:bCs/>
          <w:color w:val="auto"/>
          <w:sz w:val="24"/>
          <w:szCs w:val="24"/>
        </w:rPr>
        <w:t>次</w:t>
      </w:r>
      <w:r>
        <w:rPr>
          <w:rStyle w:val="73"/>
          <w:bCs/>
          <w:color w:val="auto"/>
          <w:sz w:val="24"/>
          <w:szCs w:val="24"/>
        </w:rPr>
        <w:t>项目各大气污染物排口信息及排放标准汇总表</w:t>
      </w:r>
    </w:p>
    <w:tbl>
      <w:tblPr>
        <w:tblStyle w:val="34"/>
        <w:tblW w:w="50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779"/>
        <w:gridCol w:w="1493"/>
        <w:gridCol w:w="1357"/>
        <w:gridCol w:w="1145"/>
        <w:gridCol w:w="1021"/>
        <w:gridCol w:w="887"/>
        <w:gridCol w:w="1003"/>
        <w:gridCol w:w="925"/>
        <w:gridCol w:w="1020"/>
        <w:gridCol w:w="2810"/>
        <w:gridCol w:w="1084"/>
      </w:tblGrid>
      <w:tr w14:paraId="12AC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31" w:type="pct"/>
            <w:vMerge w:val="restart"/>
            <w:noWrap w:val="0"/>
            <w:vAlign w:val="center"/>
          </w:tcPr>
          <w:p w14:paraId="006D7B4B">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序号</w:t>
            </w:r>
          </w:p>
        </w:tc>
        <w:tc>
          <w:tcPr>
            <w:tcW w:w="274" w:type="pct"/>
            <w:vMerge w:val="restart"/>
            <w:noWrap w:val="0"/>
            <w:vAlign w:val="center"/>
          </w:tcPr>
          <w:p w14:paraId="416CC02C">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排放口编号</w:t>
            </w:r>
          </w:p>
        </w:tc>
        <w:tc>
          <w:tcPr>
            <w:tcW w:w="526" w:type="pct"/>
            <w:vMerge w:val="restart"/>
            <w:noWrap w:val="0"/>
            <w:vAlign w:val="center"/>
          </w:tcPr>
          <w:p w14:paraId="39ACF8BB">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排放口名称</w:t>
            </w:r>
          </w:p>
        </w:tc>
        <w:tc>
          <w:tcPr>
            <w:tcW w:w="478" w:type="pct"/>
            <w:vMerge w:val="restart"/>
            <w:noWrap w:val="0"/>
            <w:vAlign w:val="center"/>
          </w:tcPr>
          <w:p w14:paraId="1317C378">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污染物种类</w:t>
            </w:r>
          </w:p>
        </w:tc>
        <w:tc>
          <w:tcPr>
            <w:tcW w:w="763" w:type="pct"/>
            <w:gridSpan w:val="2"/>
            <w:noWrap w:val="0"/>
            <w:vAlign w:val="center"/>
          </w:tcPr>
          <w:p w14:paraId="00845A0D">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排放口地理坐标</w:t>
            </w:r>
          </w:p>
        </w:tc>
        <w:tc>
          <w:tcPr>
            <w:tcW w:w="312" w:type="pct"/>
            <w:vMerge w:val="restart"/>
            <w:noWrap w:val="0"/>
            <w:vAlign w:val="center"/>
          </w:tcPr>
          <w:p w14:paraId="23580BAE">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排气筒</w:t>
            </w:r>
          </w:p>
          <w:p w14:paraId="71865802">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高度（m）</w:t>
            </w:r>
          </w:p>
        </w:tc>
        <w:tc>
          <w:tcPr>
            <w:tcW w:w="353" w:type="pct"/>
            <w:vMerge w:val="restart"/>
            <w:noWrap w:val="0"/>
            <w:vAlign w:val="center"/>
          </w:tcPr>
          <w:p w14:paraId="2FAA7E06">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排气筒出口内径（m）</w:t>
            </w:r>
          </w:p>
        </w:tc>
        <w:tc>
          <w:tcPr>
            <w:tcW w:w="326" w:type="pct"/>
            <w:vMerge w:val="restart"/>
            <w:noWrap w:val="0"/>
            <w:vAlign w:val="center"/>
          </w:tcPr>
          <w:p w14:paraId="39D8A215">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排气温度（℃）</w:t>
            </w:r>
          </w:p>
        </w:tc>
        <w:tc>
          <w:tcPr>
            <w:tcW w:w="359" w:type="pct"/>
            <w:vMerge w:val="restart"/>
            <w:noWrap w:val="0"/>
            <w:vAlign w:val="center"/>
          </w:tcPr>
          <w:p w14:paraId="5DBC0799">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排放口类型</w:t>
            </w:r>
          </w:p>
        </w:tc>
        <w:tc>
          <w:tcPr>
            <w:tcW w:w="991" w:type="pct"/>
            <w:vMerge w:val="restart"/>
            <w:noWrap w:val="0"/>
            <w:vAlign w:val="center"/>
          </w:tcPr>
          <w:p w14:paraId="5E42D9F9">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执行标准</w:t>
            </w:r>
          </w:p>
        </w:tc>
        <w:tc>
          <w:tcPr>
            <w:tcW w:w="382" w:type="pct"/>
            <w:vMerge w:val="restart"/>
            <w:noWrap w:val="0"/>
            <w:vAlign w:val="center"/>
          </w:tcPr>
          <w:p w14:paraId="530B8768">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限值</w:t>
            </w:r>
          </w:p>
          <w:p w14:paraId="0D4949F4">
            <w:pPr>
              <w:pStyle w:val="6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000000"/>
                <w:sz w:val="21"/>
              </w:rPr>
            </w:pPr>
            <w:r>
              <w:rPr>
                <w:rFonts w:hint="default" w:ascii="Times New Roman" w:hAnsi="Times New Roman" w:cs="Times New Roman"/>
                <w:color w:val="000000"/>
                <w:sz w:val="21"/>
              </w:rPr>
              <w:t>（mg/m</w:t>
            </w:r>
            <w:r>
              <w:rPr>
                <w:rFonts w:hint="default" w:ascii="Times New Roman" w:hAnsi="Times New Roman" w:cs="Times New Roman"/>
                <w:color w:val="000000"/>
                <w:sz w:val="21"/>
                <w:vertAlign w:val="superscript"/>
              </w:rPr>
              <w:t>3</w:t>
            </w:r>
            <w:r>
              <w:rPr>
                <w:rFonts w:hint="default" w:ascii="Times New Roman" w:hAnsi="Times New Roman" w:cs="Times New Roman"/>
                <w:color w:val="000000"/>
                <w:sz w:val="21"/>
              </w:rPr>
              <w:t>）</w:t>
            </w:r>
          </w:p>
        </w:tc>
      </w:tr>
      <w:tr w14:paraId="784E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jc w:val="center"/>
        </w:trPr>
        <w:tc>
          <w:tcPr>
            <w:tcW w:w="231" w:type="pct"/>
            <w:vMerge w:val="continue"/>
            <w:noWrap w:val="0"/>
            <w:vAlign w:val="center"/>
          </w:tcPr>
          <w:p w14:paraId="3375D00B">
            <w:pPr>
              <w:pStyle w:val="68"/>
              <w:spacing w:before="24" w:after="24"/>
              <w:rPr>
                <w:rFonts w:hint="default" w:ascii="Times New Roman" w:hAnsi="Times New Roman" w:cs="Times New Roman"/>
                <w:color w:val="000000"/>
                <w:sz w:val="21"/>
              </w:rPr>
            </w:pPr>
          </w:p>
        </w:tc>
        <w:tc>
          <w:tcPr>
            <w:tcW w:w="274" w:type="pct"/>
            <w:vMerge w:val="continue"/>
            <w:noWrap w:val="0"/>
            <w:vAlign w:val="center"/>
          </w:tcPr>
          <w:p w14:paraId="1FC3AC82">
            <w:pPr>
              <w:pStyle w:val="68"/>
              <w:spacing w:before="24" w:after="24"/>
              <w:rPr>
                <w:rFonts w:hint="default" w:ascii="Times New Roman" w:hAnsi="Times New Roman" w:cs="Times New Roman"/>
                <w:color w:val="000000"/>
                <w:sz w:val="21"/>
              </w:rPr>
            </w:pPr>
          </w:p>
        </w:tc>
        <w:tc>
          <w:tcPr>
            <w:tcW w:w="526" w:type="pct"/>
            <w:vMerge w:val="continue"/>
            <w:noWrap w:val="0"/>
            <w:vAlign w:val="center"/>
          </w:tcPr>
          <w:p w14:paraId="007FBB58">
            <w:pPr>
              <w:pStyle w:val="68"/>
              <w:spacing w:before="24" w:after="24"/>
              <w:rPr>
                <w:rFonts w:hint="default" w:ascii="Times New Roman" w:hAnsi="Times New Roman" w:cs="Times New Roman"/>
                <w:color w:val="000000"/>
                <w:sz w:val="21"/>
              </w:rPr>
            </w:pPr>
          </w:p>
        </w:tc>
        <w:tc>
          <w:tcPr>
            <w:tcW w:w="478" w:type="pct"/>
            <w:vMerge w:val="continue"/>
            <w:noWrap w:val="0"/>
            <w:vAlign w:val="center"/>
          </w:tcPr>
          <w:p w14:paraId="53342FC4">
            <w:pPr>
              <w:pStyle w:val="68"/>
              <w:spacing w:before="24" w:after="24"/>
              <w:rPr>
                <w:rFonts w:hint="default" w:ascii="Times New Roman" w:hAnsi="Times New Roman" w:cs="Times New Roman"/>
                <w:color w:val="000000"/>
                <w:sz w:val="21"/>
              </w:rPr>
            </w:pPr>
          </w:p>
        </w:tc>
        <w:tc>
          <w:tcPr>
            <w:tcW w:w="403" w:type="pct"/>
            <w:noWrap w:val="0"/>
            <w:vAlign w:val="center"/>
          </w:tcPr>
          <w:p w14:paraId="7358824F">
            <w:pPr>
              <w:pStyle w:val="68"/>
              <w:spacing w:before="24" w:after="24"/>
              <w:rPr>
                <w:rFonts w:hint="default" w:ascii="Times New Roman" w:hAnsi="Times New Roman" w:cs="Times New Roman"/>
                <w:color w:val="000000"/>
                <w:sz w:val="21"/>
              </w:rPr>
            </w:pPr>
            <w:r>
              <w:rPr>
                <w:rFonts w:hint="default" w:ascii="Times New Roman" w:hAnsi="Times New Roman" w:cs="Times New Roman"/>
                <w:color w:val="000000"/>
                <w:sz w:val="21"/>
              </w:rPr>
              <w:t>经度</w:t>
            </w:r>
          </w:p>
        </w:tc>
        <w:tc>
          <w:tcPr>
            <w:tcW w:w="360" w:type="pct"/>
            <w:noWrap w:val="0"/>
            <w:vAlign w:val="center"/>
          </w:tcPr>
          <w:p w14:paraId="791A6A72">
            <w:pPr>
              <w:pStyle w:val="68"/>
              <w:spacing w:before="24" w:after="24"/>
              <w:rPr>
                <w:rFonts w:hint="default" w:ascii="Times New Roman" w:hAnsi="Times New Roman" w:cs="Times New Roman"/>
                <w:color w:val="000000"/>
                <w:sz w:val="21"/>
              </w:rPr>
            </w:pPr>
            <w:r>
              <w:rPr>
                <w:rFonts w:hint="default" w:ascii="Times New Roman" w:hAnsi="Times New Roman" w:cs="Times New Roman"/>
                <w:color w:val="000000"/>
                <w:sz w:val="21"/>
              </w:rPr>
              <w:t>纬度</w:t>
            </w:r>
          </w:p>
        </w:tc>
        <w:tc>
          <w:tcPr>
            <w:tcW w:w="312" w:type="pct"/>
            <w:vMerge w:val="continue"/>
            <w:noWrap w:val="0"/>
            <w:vAlign w:val="center"/>
          </w:tcPr>
          <w:p w14:paraId="2E06222C">
            <w:pPr>
              <w:pStyle w:val="68"/>
              <w:spacing w:before="24" w:after="24"/>
              <w:rPr>
                <w:rFonts w:hint="default" w:ascii="Times New Roman" w:hAnsi="Times New Roman" w:cs="Times New Roman"/>
                <w:color w:val="000000"/>
                <w:sz w:val="21"/>
              </w:rPr>
            </w:pPr>
          </w:p>
        </w:tc>
        <w:tc>
          <w:tcPr>
            <w:tcW w:w="353" w:type="pct"/>
            <w:vMerge w:val="continue"/>
            <w:noWrap w:val="0"/>
            <w:vAlign w:val="center"/>
          </w:tcPr>
          <w:p w14:paraId="26C960BF">
            <w:pPr>
              <w:pStyle w:val="68"/>
              <w:spacing w:before="24" w:after="24"/>
              <w:rPr>
                <w:rFonts w:hint="default" w:ascii="Times New Roman" w:hAnsi="Times New Roman" w:cs="Times New Roman"/>
                <w:color w:val="000000"/>
                <w:sz w:val="21"/>
              </w:rPr>
            </w:pPr>
          </w:p>
        </w:tc>
        <w:tc>
          <w:tcPr>
            <w:tcW w:w="326" w:type="pct"/>
            <w:vMerge w:val="continue"/>
            <w:noWrap w:val="0"/>
            <w:vAlign w:val="center"/>
          </w:tcPr>
          <w:p w14:paraId="12CD558B">
            <w:pPr>
              <w:pStyle w:val="68"/>
              <w:spacing w:before="24" w:after="24"/>
              <w:rPr>
                <w:rFonts w:hint="default" w:ascii="Times New Roman" w:hAnsi="Times New Roman" w:cs="Times New Roman"/>
                <w:color w:val="000000"/>
                <w:sz w:val="21"/>
              </w:rPr>
            </w:pPr>
          </w:p>
        </w:tc>
        <w:tc>
          <w:tcPr>
            <w:tcW w:w="359" w:type="pct"/>
            <w:vMerge w:val="continue"/>
            <w:noWrap w:val="0"/>
            <w:vAlign w:val="center"/>
          </w:tcPr>
          <w:p w14:paraId="7EEBCCA6">
            <w:pPr>
              <w:pStyle w:val="68"/>
              <w:spacing w:before="24" w:after="24"/>
              <w:rPr>
                <w:rFonts w:hint="default" w:ascii="Times New Roman" w:hAnsi="Times New Roman" w:cs="Times New Roman"/>
                <w:color w:val="000000"/>
                <w:sz w:val="21"/>
              </w:rPr>
            </w:pPr>
          </w:p>
        </w:tc>
        <w:tc>
          <w:tcPr>
            <w:tcW w:w="991" w:type="pct"/>
            <w:vMerge w:val="continue"/>
            <w:noWrap w:val="0"/>
            <w:vAlign w:val="center"/>
          </w:tcPr>
          <w:p w14:paraId="3D7F9CCD">
            <w:pPr>
              <w:pStyle w:val="68"/>
              <w:spacing w:before="24" w:after="24"/>
              <w:rPr>
                <w:rFonts w:hint="default" w:ascii="Times New Roman" w:hAnsi="Times New Roman" w:cs="Times New Roman"/>
                <w:color w:val="000000"/>
                <w:sz w:val="21"/>
              </w:rPr>
            </w:pPr>
          </w:p>
        </w:tc>
        <w:tc>
          <w:tcPr>
            <w:tcW w:w="382" w:type="pct"/>
            <w:vMerge w:val="continue"/>
            <w:noWrap w:val="0"/>
            <w:vAlign w:val="center"/>
          </w:tcPr>
          <w:p w14:paraId="42F15394">
            <w:pPr>
              <w:pStyle w:val="68"/>
              <w:spacing w:before="24" w:after="24"/>
              <w:rPr>
                <w:rFonts w:hint="default" w:ascii="Times New Roman" w:hAnsi="Times New Roman" w:cs="Times New Roman"/>
                <w:color w:val="000000"/>
                <w:sz w:val="21"/>
              </w:rPr>
            </w:pPr>
          </w:p>
        </w:tc>
      </w:tr>
      <w:tr w14:paraId="2FE6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8" w:hRule="atLeast"/>
          <w:tblHeader/>
          <w:jc w:val="center"/>
        </w:trPr>
        <w:tc>
          <w:tcPr>
            <w:tcW w:w="231" w:type="pct"/>
            <w:noWrap w:val="0"/>
            <w:vAlign w:val="center"/>
          </w:tcPr>
          <w:p w14:paraId="0E1B8A89">
            <w:pPr>
              <w:pStyle w:val="68"/>
              <w:keepNext w:val="0"/>
              <w:keepLines w:val="0"/>
              <w:pageBreakBefore w:val="0"/>
              <w:kinsoku/>
              <w:wordWrap/>
              <w:overflowPunct/>
              <w:topLinePunct w:val="0"/>
              <w:autoSpaceDE/>
              <w:autoSpaceDN/>
              <w:bidi w:val="0"/>
              <w:adjustRightInd w:val="0"/>
              <w:snapToGrid w:val="0"/>
              <w:spacing w:before="24" w:after="24" w:line="240" w:lineRule="auto"/>
              <w:rPr>
                <w:rFonts w:hint="default" w:ascii="Times New Roman" w:hAnsi="Times New Roman" w:cs="Times New Roman"/>
                <w:color w:val="000000"/>
                <w:sz w:val="21"/>
              </w:rPr>
            </w:pPr>
            <w:r>
              <w:rPr>
                <w:rFonts w:hint="default" w:ascii="Times New Roman" w:hAnsi="Times New Roman" w:cs="Times New Roman"/>
                <w:color w:val="000000"/>
                <w:sz w:val="21"/>
              </w:rPr>
              <w:t>1</w:t>
            </w:r>
          </w:p>
        </w:tc>
        <w:tc>
          <w:tcPr>
            <w:tcW w:w="274" w:type="pct"/>
            <w:noWrap w:val="0"/>
            <w:vAlign w:val="center"/>
          </w:tcPr>
          <w:p w14:paraId="391815BE">
            <w:pPr>
              <w:pStyle w:val="68"/>
              <w:keepNext w:val="0"/>
              <w:keepLines w:val="0"/>
              <w:pageBreakBefore w:val="0"/>
              <w:kinsoku/>
              <w:wordWrap/>
              <w:overflowPunct/>
              <w:topLinePunct w:val="0"/>
              <w:autoSpaceDE/>
              <w:autoSpaceDN/>
              <w:bidi w:val="0"/>
              <w:adjustRightInd w:val="0"/>
              <w:snapToGrid w:val="0"/>
              <w:spacing w:before="24" w:after="24" w:line="240" w:lineRule="auto"/>
              <w:rPr>
                <w:rFonts w:hint="default" w:ascii="Times New Roman" w:hAnsi="Times New Roman" w:cs="Times New Roman"/>
                <w:color w:val="000000"/>
                <w:sz w:val="21"/>
              </w:rPr>
            </w:pPr>
            <w:r>
              <w:rPr>
                <w:rFonts w:hint="default" w:ascii="Times New Roman" w:hAnsi="Times New Roman" w:cs="Times New Roman"/>
                <w:color w:val="000000"/>
                <w:sz w:val="21"/>
              </w:rPr>
              <w:t>DA001</w:t>
            </w:r>
          </w:p>
        </w:tc>
        <w:tc>
          <w:tcPr>
            <w:tcW w:w="526" w:type="pct"/>
            <w:noWrap w:val="0"/>
            <w:vAlign w:val="center"/>
          </w:tcPr>
          <w:p w14:paraId="4D1047F3">
            <w:pPr>
              <w:pStyle w:val="68"/>
              <w:keepNext w:val="0"/>
              <w:keepLines w:val="0"/>
              <w:pageBreakBefore w:val="0"/>
              <w:kinsoku/>
              <w:wordWrap/>
              <w:overflowPunct/>
              <w:topLinePunct w:val="0"/>
              <w:autoSpaceDE/>
              <w:autoSpaceDN/>
              <w:bidi w:val="0"/>
              <w:adjustRightInd w:val="0"/>
              <w:snapToGrid w:val="0"/>
              <w:spacing w:before="24" w:after="24" w:line="240" w:lineRule="auto"/>
              <w:rPr>
                <w:rFonts w:hint="default" w:ascii="Times New Roman" w:hAnsi="Times New Roman" w:cs="Times New Roman"/>
                <w:color w:val="000000"/>
                <w:sz w:val="21"/>
              </w:rPr>
            </w:pPr>
            <w:r>
              <w:rPr>
                <w:rFonts w:hint="eastAsia" w:ascii="Times New Roman" w:hAnsi="Times New Roman" w:cs="Times New Roman"/>
                <w:color w:val="000000"/>
                <w:sz w:val="21"/>
                <w:lang w:val="en-US" w:eastAsia="zh-CN"/>
              </w:rPr>
              <w:t>熔融挤出废气</w:t>
            </w:r>
            <w:r>
              <w:rPr>
                <w:rFonts w:hint="default" w:ascii="Times New Roman" w:hAnsi="Times New Roman" w:cs="Times New Roman"/>
                <w:color w:val="000000"/>
                <w:sz w:val="21"/>
              </w:rPr>
              <w:t>排放口</w:t>
            </w:r>
          </w:p>
        </w:tc>
        <w:tc>
          <w:tcPr>
            <w:tcW w:w="478" w:type="pct"/>
            <w:noWrap w:val="0"/>
            <w:vAlign w:val="center"/>
          </w:tcPr>
          <w:p w14:paraId="50F558C1">
            <w:pPr>
              <w:pStyle w:val="10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00"/>
              </w:rPr>
            </w:pPr>
            <w:r>
              <w:rPr>
                <w:rFonts w:hint="default" w:ascii="Times New Roman" w:hAnsi="Times New Roman" w:cs="Times New Roman"/>
                <w:color w:val="000000"/>
              </w:rPr>
              <w:t>非甲烷总烃</w:t>
            </w:r>
          </w:p>
        </w:tc>
        <w:tc>
          <w:tcPr>
            <w:tcW w:w="403" w:type="pct"/>
            <w:noWrap w:val="0"/>
            <w:vAlign w:val="center"/>
          </w:tcPr>
          <w:p w14:paraId="4220326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117.014093°</w:t>
            </w:r>
          </w:p>
        </w:tc>
        <w:tc>
          <w:tcPr>
            <w:tcW w:w="360" w:type="pct"/>
            <w:noWrap w:val="0"/>
            <w:vAlign w:val="center"/>
          </w:tcPr>
          <w:p w14:paraId="547DCA2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33.533116°</w:t>
            </w:r>
          </w:p>
        </w:tc>
        <w:tc>
          <w:tcPr>
            <w:tcW w:w="312" w:type="pct"/>
            <w:noWrap w:val="0"/>
            <w:vAlign w:val="center"/>
          </w:tcPr>
          <w:p w14:paraId="22F27F2C">
            <w:pPr>
              <w:pStyle w:val="68"/>
              <w:keepNext w:val="0"/>
              <w:keepLines w:val="0"/>
              <w:pageBreakBefore w:val="0"/>
              <w:kinsoku/>
              <w:wordWrap/>
              <w:overflowPunct/>
              <w:topLinePunct w:val="0"/>
              <w:autoSpaceDE/>
              <w:autoSpaceDN/>
              <w:bidi w:val="0"/>
              <w:adjustRightInd w:val="0"/>
              <w:snapToGrid w:val="0"/>
              <w:spacing w:before="24" w:after="24" w:line="240" w:lineRule="auto"/>
              <w:rPr>
                <w:rFonts w:hint="default" w:ascii="Times New Roman" w:hAnsi="Times New Roman" w:cs="Times New Roman"/>
                <w:color w:val="000000"/>
                <w:sz w:val="21"/>
              </w:rPr>
            </w:pPr>
            <w:r>
              <w:rPr>
                <w:rFonts w:hint="default" w:ascii="Times New Roman" w:hAnsi="Times New Roman" w:cs="Times New Roman"/>
                <w:color w:val="000000"/>
                <w:sz w:val="21"/>
              </w:rPr>
              <w:t>15</w:t>
            </w:r>
          </w:p>
        </w:tc>
        <w:tc>
          <w:tcPr>
            <w:tcW w:w="353" w:type="pct"/>
            <w:noWrap w:val="0"/>
            <w:vAlign w:val="center"/>
          </w:tcPr>
          <w:p w14:paraId="6A29B941">
            <w:pPr>
              <w:pStyle w:val="68"/>
              <w:keepNext w:val="0"/>
              <w:keepLines w:val="0"/>
              <w:pageBreakBefore w:val="0"/>
              <w:kinsoku/>
              <w:wordWrap/>
              <w:overflowPunct/>
              <w:topLinePunct w:val="0"/>
              <w:autoSpaceDE/>
              <w:autoSpaceDN/>
              <w:bidi w:val="0"/>
              <w:adjustRightInd w:val="0"/>
              <w:snapToGrid w:val="0"/>
              <w:spacing w:before="24" w:after="24" w:line="240" w:lineRule="auto"/>
              <w:rPr>
                <w:rFonts w:hint="eastAsia" w:ascii="Times New Roman" w:hAnsi="Times New Roman" w:eastAsia="宋体" w:cs="Times New Roman"/>
                <w:color w:val="000000"/>
                <w:sz w:val="21"/>
                <w:lang w:val="en-US" w:eastAsia="zh-CN"/>
              </w:rPr>
            </w:pPr>
            <w:r>
              <w:rPr>
                <w:rFonts w:hint="default" w:ascii="Times New Roman" w:hAnsi="Times New Roman" w:cs="Times New Roman"/>
                <w:color w:val="000000"/>
                <w:sz w:val="21"/>
              </w:rPr>
              <w:t>0.</w:t>
            </w:r>
            <w:r>
              <w:rPr>
                <w:rFonts w:hint="eastAsia" w:ascii="Times New Roman" w:hAnsi="Times New Roman" w:cs="Times New Roman"/>
                <w:color w:val="000000"/>
                <w:sz w:val="21"/>
                <w:lang w:val="en-US" w:eastAsia="zh-CN"/>
              </w:rPr>
              <w:t>5</w:t>
            </w:r>
          </w:p>
        </w:tc>
        <w:tc>
          <w:tcPr>
            <w:tcW w:w="326" w:type="pct"/>
            <w:noWrap w:val="0"/>
            <w:vAlign w:val="center"/>
          </w:tcPr>
          <w:p w14:paraId="37B336DB">
            <w:pPr>
              <w:pStyle w:val="68"/>
              <w:keepNext w:val="0"/>
              <w:keepLines w:val="0"/>
              <w:pageBreakBefore w:val="0"/>
              <w:kinsoku/>
              <w:wordWrap/>
              <w:overflowPunct/>
              <w:topLinePunct w:val="0"/>
              <w:autoSpaceDE/>
              <w:autoSpaceDN/>
              <w:bidi w:val="0"/>
              <w:adjustRightInd w:val="0"/>
              <w:snapToGrid w:val="0"/>
              <w:spacing w:before="24" w:after="24" w:line="240" w:lineRule="auto"/>
              <w:rPr>
                <w:rFonts w:hint="default" w:ascii="Times New Roman" w:hAnsi="Times New Roman" w:cs="Times New Roman"/>
                <w:color w:val="000000"/>
                <w:sz w:val="21"/>
              </w:rPr>
            </w:pPr>
            <w:r>
              <w:rPr>
                <w:rFonts w:hint="default" w:ascii="Times New Roman" w:hAnsi="Times New Roman" w:cs="Times New Roman"/>
                <w:color w:val="000000"/>
                <w:sz w:val="21"/>
              </w:rPr>
              <w:t>25</w:t>
            </w:r>
          </w:p>
        </w:tc>
        <w:tc>
          <w:tcPr>
            <w:tcW w:w="359" w:type="pct"/>
            <w:noWrap w:val="0"/>
            <w:vAlign w:val="center"/>
          </w:tcPr>
          <w:p w14:paraId="43296EAE">
            <w:pPr>
              <w:pStyle w:val="68"/>
              <w:keepNext w:val="0"/>
              <w:keepLines w:val="0"/>
              <w:pageBreakBefore w:val="0"/>
              <w:kinsoku/>
              <w:wordWrap/>
              <w:overflowPunct/>
              <w:topLinePunct w:val="0"/>
              <w:autoSpaceDE/>
              <w:autoSpaceDN/>
              <w:bidi w:val="0"/>
              <w:adjustRightInd w:val="0"/>
              <w:snapToGrid w:val="0"/>
              <w:spacing w:before="24" w:after="24" w:line="240" w:lineRule="auto"/>
              <w:rPr>
                <w:rFonts w:hint="default" w:ascii="Times New Roman" w:hAnsi="Times New Roman" w:cs="Times New Roman"/>
                <w:color w:val="000000"/>
                <w:sz w:val="21"/>
              </w:rPr>
            </w:pPr>
            <w:r>
              <w:rPr>
                <w:rFonts w:hint="default" w:ascii="Times New Roman" w:hAnsi="Times New Roman" w:cs="Times New Roman"/>
                <w:color w:val="000000"/>
                <w:sz w:val="21"/>
              </w:rPr>
              <w:t>一般排放口</w:t>
            </w:r>
          </w:p>
        </w:tc>
        <w:tc>
          <w:tcPr>
            <w:tcW w:w="991" w:type="pct"/>
            <w:noWrap w:val="0"/>
            <w:vAlign w:val="center"/>
          </w:tcPr>
          <w:p w14:paraId="2DF6D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z w:val="21"/>
                <w:szCs w:val="21"/>
              </w:rPr>
            </w:pPr>
            <w:r>
              <w:rPr>
                <w:rFonts w:hint="eastAsia" w:ascii="Times New Roman" w:hAnsi="Times New Roman" w:cs="Times New Roman"/>
                <w:kern w:val="0"/>
                <w:sz w:val="21"/>
                <w:szCs w:val="21"/>
                <w:lang w:val="en-US" w:eastAsia="zh-CN"/>
              </w:rPr>
              <w:t>《固定源挥发性有机物综合排放标准，第6部分：其他行业》（DB34/4812.6-2024）</w:t>
            </w:r>
          </w:p>
        </w:tc>
        <w:tc>
          <w:tcPr>
            <w:tcW w:w="382" w:type="pct"/>
            <w:noWrap w:val="0"/>
            <w:vAlign w:val="center"/>
          </w:tcPr>
          <w:p w14:paraId="605E826F">
            <w:pPr>
              <w:spacing w:before="24" w:after="24"/>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40</w:t>
            </w:r>
          </w:p>
        </w:tc>
      </w:tr>
    </w:tbl>
    <w:p w14:paraId="436F600F">
      <w:pPr>
        <w:pStyle w:val="103"/>
        <w:ind w:firstLine="480"/>
        <w:rPr>
          <w:sz w:val="24"/>
          <w:szCs w:val="24"/>
        </w:rPr>
      </w:pPr>
      <w:r>
        <w:rPr>
          <w:sz w:val="24"/>
          <w:szCs w:val="24"/>
        </w:rPr>
        <w:t>项目大气污染物无组织排放情况见表4-</w:t>
      </w:r>
      <w:r>
        <w:rPr>
          <w:rFonts w:hint="eastAsia"/>
          <w:sz w:val="24"/>
          <w:szCs w:val="24"/>
        </w:rPr>
        <w:t>5</w:t>
      </w:r>
      <w:r>
        <w:rPr>
          <w:sz w:val="24"/>
          <w:szCs w:val="24"/>
        </w:rPr>
        <w:t>。</w:t>
      </w:r>
    </w:p>
    <w:p w14:paraId="6B96646B">
      <w:pPr>
        <w:keepNext w:val="0"/>
        <w:keepLines w:val="0"/>
        <w:pageBreakBefore w:val="0"/>
        <w:widowControl/>
        <w:numPr>
          <w:ilvl w:val="0"/>
          <w:numId w:val="13"/>
        </w:numPr>
        <w:tabs>
          <w:tab w:val="left" w:pos="420"/>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Style w:val="73"/>
          <w:bCs/>
          <w:color w:val="auto"/>
          <w:sz w:val="24"/>
          <w:szCs w:val="24"/>
        </w:rPr>
      </w:pPr>
      <w:r>
        <w:rPr>
          <w:rStyle w:val="73"/>
          <w:bCs/>
          <w:color w:val="auto"/>
          <w:sz w:val="24"/>
          <w:szCs w:val="24"/>
        </w:rPr>
        <w:t>大气污染物无组织排放一览表</w:t>
      </w:r>
    </w:p>
    <w:tbl>
      <w:tblPr>
        <w:tblStyle w:val="34"/>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9"/>
        <w:gridCol w:w="2186"/>
        <w:gridCol w:w="2070"/>
        <w:gridCol w:w="2407"/>
        <w:gridCol w:w="4516"/>
        <w:gridCol w:w="1886"/>
      </w:tblGrid>
      <w:tr w14:paraId="240F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blHeader/>
          <w:jc w:val="center"/>
        </w:trPr>
        <w:tc>
          <w:tcPr>
            <w:tcW w:w="1068" w:type="dxa"/>
            <w:vMerge w:val="restart"/>
            <w:noWrap w:val="0"/>
            <w:vAlign w:val="center"/>
          </w:tcPr>
          <w:p w14:paraId="4C86D208">
            <w:pPr>
              <w:pStyle w:val="68"/>
              <w:spacing w:beforeLines="0" w:afterLines="0" w:line="240" w:lineRule="auto"/>
              <w:rPr>
                <w:rFonts w:hint="eastAsia" w:ascii="Times New Roman"/>
                <w:szCs w:val="21"/>
              </w:rPr>
            </w:pPr>
            <w:r>
              <w:rPr>
                <w:rFonts w:hint="eastAsia" w:ascii="Times New Roman"/>
                <w:szCs w:val="21"/>
              </w:rPr>
              <w:t>单元</w:t>
            </w:r>
          </w:p>
        </w:tc>
        <w:tc>
          <w:tcPr>
            <w:tcW w:w="2184" w:type="dxa"/>
            <w:vMerge w:val="restart"/>
            <w:noWrap w:val="0"/>
            <w:vAlign w:val="center"/>
          </w:tcPr>
          <w:p w14:paraId="2BAB88EC">
            <w:pPr>
              <w:pStyle w:val="68"/>
              <w:spacing w:beforeLines="0" w:afterLines="0" w:line="240" w:lineRule="auto"/>
              <w:rPr>
                <w:rFonts w:ascii="Times New Roman"/>
                <w:szCs w:val="21"/>
              </w:rPr>
            </w:pPr>
            <w:r>
              <w:rPr>
                <w:rFonts w:ascii="Times New Roman"/>
                <w:szCs w:val="21"/>
              </w:rPr>
              <w:t>产污环节</w:t>
            </w:r>
          </w:p>
        </w:tc>
        <w:tc>
          <w:tcPr>
            <w:tcW w:w="2070" w:type="dxa"/>
            <w:vMerge w:val="restart"/>
            <w:noWrap w:val="0"/>
            <w:vAlign w:val="center"/>
          </w:tcPr>
          <w:p w14:paraId="75732868">
            <w:pPr>
              <w:pStyle w:val="68"/>
              <w:spacing w:beforeLines="0" w:afterLines="0" w:line="240" w:lineRule="auto"/>
              <w:rPr>
                <w:rFonts w:ascii="Times New Roman"/>
                <w:szCs w:val="21"/>
              </w:rPr>
            </w:pPr>
            <w:r>
              <w:rPr>
                <w:rFonts w:ascii="Times New Roman"/>
                <w:szCs w:val="21"/>
              </w:rPr>
              <w:t>污染物种类</w:t>
            </w:r>
          </w:p>
        </w:tc>
        <w:tc>
          <w:tcPr>
            <w:tcW w:w="2405" w:type="dxa"/>
            <w:vMerge w:val="restart"/>
            <w:noWrap w:val="0"/>
            <w:vAlign w:val="center"/>
          </w:tcPr>
          <w:p w14:paraId="756C81C5">
            <w:pPr>
              <w:pStyle w:val="68"/>
              <w:spacing w:beforeLines="0" w:afterLines="0" w:line="240" w:lineRule="auto"/>
              <w:rPr>
                <w:rFonts w:ascii="Times New Roman"/>
                <w:szCs w:val="21"/>
              </w:rPr>
            </w:pPr>
            <w:r>
              <w:rPr>
                <w:rFonts w:ascii="Times New Roman"/>
                <w:szCs w:val="21"/>
              </w:rPr>
              <w:t>主要污染防治措施</w:t>
            </w:r>
          </w:p>
        </w:tc>
        <w:tc>
          <w:tcPr>
            <w:tcW w:w="6399" w:type="dxa"/>
            <w:gridSpan w:val="2"/>
            <w:noWrap w:val="0"/>
            <w:vAlign w:val="center"/>
          </w:tcPr>
          <w:p w14:paraId="3A48890A">
            <w:pPr>
              <w:pStyle w:val="68"/>
              <w:spacing w:beforeLines="0" w:afterLines="0" w:line="240" w:lineRule="auto"/>
              <w:rPr>
                <w:rFonts w:ascii="Times New Roman"/>
                <w:szCs w:val="21"/>
              </w:rPr>
            </w:pPr>
            <w:r>
              <w:rPr>
                <w:rFonts w:ascii="Times New Roman"/>
                <w:szCs w:val="21"/>
              </w:rPr>
              <w:t>国家或地方污染物排放标准</w:t>
            </w:r>
          </w:p>
        </w:tc>
      </w:tr>
      <w:tr w14:paraId="6B2A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Header/>
          <w:jc w:val="center"/>
        </w:trPr>
        <w:tc>
          <w:tcPr>
            <w:tcW w:w="1068" w:type="dxa"/>
            <w:vMerge w:val="continue"/>
            <w:noWrap w:val="0"/>
            <w:vAlign w:val="center"/>
          </w:tcPr>
          <w:p w14:paraId="42376DDF">
            <w:pPr>
              <w:pStyle w:val="68"/>
              <w:spacing w:beforeLines="0" w:afterLines="0" w:line="240" w:lineRule="auto"/>
              <w:rPr>
                <w:rFonts w:ascii="Times New Roman"/>
                <w:szCs w:val="21"/>
              </w:rPr>
            </w:pPr>
          </w:p>
        </w:tc>
        <w:tc>
          <w:tcPr>
            <w:tcW w:w="2184" w:type="dxa"/>
            <w:vMerge w:val="continue"/>
            <w:noWrap w:val="0"/>
            <w:vAlign w:val="center"/>
          </w:tcPr>
          <w:p w14:paraId="0757FFE9">
            <w:pPr>
              <w:pStyle w:val="68"/>
              <w:spacing w:beforeLines="0" w:afterLines="0" w:line="240" w:lineRule="auto"/>
              <w:rPr>
                <w:rFonts w:ascii="Times New Roman"/>
                <w:szCs w:val="21"/>
              </w:rPr>
            </w:pPr>
          </w:p>
        </w:tc>
        <w:tc>
          <w:tcPr>
            <w:tcW w:w="2070" w:type="dxa"/>
            <w:vMerge w:val="continue"/>
            <w:noWrap w:val="0"/>
            <w:vAlign w:val="center"/>
          </w:tcPr>
          <w:p w14:paraId="2BFA43BC">
            <w:pPr>
              <w:pStyle w:val="68"/>
              <w:spacing w:beforeLines="0" w:afterLines="0" w:line="240" w:lineRule="auto"/>
              <w:rPr>
                <w:rFonts w:ascii="Times New Roman"/>
                <w:szCs w:val="21"/>
              </w:rPr>
            </w:pPr>
          </w:p>
        </w:tc>
        <w:tc>
          <w:tcPr>
            <w:tcW w:w="2405" w:type="dxa"/>
            <w:vMerge w:val="continue"/>
            <w:noWrap w:val="0"/>
            <w:vAlign w:val="center"/>
          </w:tcPr>
          <w:p w14:paraId="0EB8A89B">
            <w:pPr>
              <w:pStyle w:val="68"/>
              <w:spacing w:beforeLines="0" w:afterLines="0" w:line="240" w:lineRule="auto"/>
              <w:rPr>
                <w:rFonts w:ascii="Times New Roman"/>
                <w:szCs w:val="21"/>
              </w:rPr>
            </w:pPr>
          </w:p>
        </w:tc>
        <w:tc>
          <w:tcPr>
            <w:tcW w:w="4514" w:type="dxa"/>
            <w:noWrap w:val="0"/>
            <w:vAlign w:val="center"/>
          </w:tcPr>
          <w:p w14:paraId="1146015A">
            <w:pPr>
              <w:pStyle w:val="68"/>
              <w:spacing w:beforeLines="0" w:afterLines="0" w:line="240" w:lineRule="auto"/>
              <w:rPr>
                <w:rFonts w:ascii="Times New Roman"/>
                <w:szCs w:val="21"/>
              </w:rPr>
            </w:pPr>
            <w:r>
              <w:rPr>
                <w:rFonts w:ascii="Times New Roman"/>
                <w:szCs w:val="21"/>
              </w:rPr>
              <w:t>名称</w:t>
            </w:r>
          </w:p>
        </w:tc>
        <w:tc>
          <w:tcPr>
            <w:tcW w:w="1885" w:type="dxa"/>
            <w:noWrap w:val="0"/>
            <w:vAlign w:val="center"/>
          </w:tcPr>
          <w:p w14:paraId="18732A1B">
            <w:pPr>
              <w:pStyle w:val="68"/>
              <w:spacing w:beforeLines="0" w:afterLines="0" w:line="240" w:lineRule="auto"/>
              <w:rPr>
                <w:rFonts w:ascii="Times New Roman"/>
                <w:szCs w:val="21"/>
              </w:rPr>
            </w:pPr>
            <w:r>
              <w:rPr>
                <w:rFonts w:ascii="Times New Roman"/>
                <w:szCs w:val="21"/>
              </w:rPr>
              <w:t>浓度限值（mg/m</w:t>
            </w:r>
            <w:r>
              <w:rPr>
                <w:rFonts w:ascii="Times New Roman"/>
                <w:szCs w:val="21"/>
                <w:vertAlign w:val="superscript"/>
              </w:rPr>
              <w:t>3</w:t>
            </w:r>
            <w:r>
              <w:rPr>
                <w:rFonts w:ascii="Times New Roman"/>
                <w:szCs w:val="21"/>
              </w:rPr>
              <w:t>）</w:t>
            </w:r>
          </w:p>
        </w:tc>
      </w:tr>
      <w:tr w14:paraId="49CD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tblHeader/>
          <w:jc w:val="center"/>
        </w:trPr>
        <w:tc>
          <w:tcPr>
            <w:tcW w:w="1068" w:type="dxa"/>
            <w:noWrap w:val="0"/>
            <w:vAlign w:val="center"/>
          </w:tcPr>
          <w:p w14:paraId="261381EC">
            <w:pPr>
              <w:pStyle w:val="68"/>
              <w:spacing w:beforeLines="0" w:afterLines="0" w:line="240" w:lineRule="auto"/>
              <w:rPr>
                <w:rFonts w:ascii="Times New Roman"/>
                <w:color w:val="auto"/>
                <w:szCs w:val="21"/>
              </w:rPr>
            </w:pPr>
            <w:r>
              <w:rPr>
                <w:rFonts w:hint="eastAsia" w:ascii="Times New Roman"/>
                <w:color w:val="auto"/>
                <w:szCs w:val="21"/>
              </w:rPr>
              <w:t>厂房</w:t>
            </w:r>
          </w:p>
        </w:tc>
        <w:tc>
          <w:tcPr>
            <w:tcW w:w="2184" w:type="dxa"/>
            <w:noWrap w:val="0"/>
            <w:vAlign w:val="center"/>
          </w:tcPr>
          <w:p w14:paraId="594AAFE7">
            <w:pPr>
              <w:pStyle w:val="68"/>
              <w:spacing w:beforeLines="0" w:afterLines="0" w:line="240" w:lineRule="auto"/>
              <w:rPr>
                <w:rFonts w:hint="default" w:ascii="Times New Roman" w:eastAsia="宋体"/>
                <w:szCs w:val="21"/>
                <w:lang w:val="en-US" w:eastAsia="zh-CN"/>
              </w:rPr>
            </w:pPr>
            <w:r>
              <w:rPr>
                <w:rFonts w:hint="eastAsia" w:ascii="Times New Roman" w:eastAsia="宋体"/>
                <w:szCs w:val="21"/>
                <w:lang w:val="en-US" w:eastAsia="zh-CN"/>
              </w:rPr>
              <w:t>熔融挤出</w:t>
            </w:r>
          </w:p>
        </w:tc>
        <w:tc>
          <w:tcPr>
            <w:tcW w:w="2070" w:type="dxa"/>
            <w:noWrap w:val="0"/>
            <w:vAlign w:val="center"/>
          </w:tcPr>
          <w:p w14:paraId="0124602F">
            <w:pPr>
              <w:widowControl/>
              <w:jc w:val="center"/>
              <w:textAlignment w:val="center"/>
              <w:rPr>
                <w:rFonts w:hint="eastAsia"/>
                <w:szCs w:val="21"/>
              </w:rPr>
            </w:pPr>
            <w:r>
              <w:rPr>
                <w:rFonts w:hint="default" w:ascii="Times New Roman" w:hAnsi="Times New Roman" w:cs="Times New Roman"/>
                <w:color w:val="000000"/>
              </w:rPr>
              <w:t>非甲烷总烃</w:t>
            </w:r>
          </w:p>
        </w:tc>
        <w:tc>
          <w:tcPr>
            <w:tcW w:w="2405" w:type="dxa"/>
            <w:noWrap w:val="0"/>
            <w:vAlign w:val="center"/>
          </w:tcPr>
          <w:p w14:paraId="29BD0B5D">
            <w:pPr>
              <w:pStyle w:val="68"/>
              <w:spacing w:beforeLines="0" w:afterLines="0" w:line="240" w:lineRule="auto"/>
              <w:rPr>
                <w:rFonts w:ascii="Times New Roman"/>
                <w:szCs w:val="21"/>
              </w:rPr>
            </w:pPr>
            <w:r>
              <w:rPr>
                <w:rFonts w:hint="eastAsia"/>
                <w:iCs/>
                <w:color w:val="auto"/>
                <w:sz w:val="21"/>
                <w:szCs w:val="21"/>
              </w:rPr>
              <w:t>加强收集效率</w:t>
            </w:r>
          </w:p>
        </w:tc>
        <w:tc>
          <w:tcPr>
            <w:tcW w:w="4514" w:type="dxa"/>
            <w:noWrap w:val="0"/>
            <w:vAlign w:val="center"/>
          </w:tcPr>
          <w:p w14:paraId="08D7C18D">
            <w:pPr>
              <w:pStyle w:val="68"/>
              <w:spacing w:beforeLines="0" w:afterLines="0" w:line="240" w:lineRule="auto"/>
              <w:rPr>
                <w:rFonts w:ascii="Times New Roman"/>
                <w:szCs w:val="21"/>
                <w:lang w:bidi="ar"/>
              </w:rPr>
            </w:pPr>
            <w:r>
              <w:rPr>
                <w:rFonts w:hint="eastAsia" w:ascii="Times New Roman" w:hAnsi="Times New Roman" w:cs="Times New Roman"/>
                <w:kern w:val="0"/>
                <w:sz w:val="21"/>
                <w:szCs w:val="21"/>
              </w:rPr>
              <w:t>《合成树脂工业污染物排放标准》（GB31572-2015）</w:t>
            </w:r>
          </w:p>
        </w:tc>
        <w:tc>
          <w:tcPr>
            <w:tcW w:w="1885" w:type="dxa"/>
            <w:noWrap w:val="0"/>
            <w:vAlign w:val="center"/>
          </w:tcPr>
          <w:p w14:paraId="76441DF0">
            <w:pPr>
              <w:pStyle w:val="68"/>
              <w:spacing w:beforeLines="0" w:afterLines="0" w:line="240" w:lineRule="auto"/>
              <w:rPr>
                <w:rFonts w:hint="default" w:ascii="Times New Roman" w:eastAsia="宋体"/>
                <w:szCs w:val="21"/>
                <w:lang w:val="en-US" w:eastAsia="zh-CN"/>
              </w:rPr>
            </w:pPr>
            <w:r>
              <w:rPr>
                <w:rFonts w:hint="eastAsia" w:ascii="Times New Roman"/>
                <w:szCs w:val="21"/>
                <w:lang w:val="en-US" w:eastAsia="zh-CN"/>
              </w:rPr>
              <w:t>4.0</w:t>
            </w:r>
          </w:p>
        </w:tc>
      </w:tr>
    </w:tbl>
    <w:p w14:paraId="3142CD97">
      <w:pPr>
        <w:pStyle w:val="5"/>
        <w:sectPr>
          <w:pgSz w:w="16840" w:h="11907" w:orient="landscape"/>
          <w:pgMar w:top="1247" w:right="1418" w:bottom="1134" w:left="1418" w:header="851" w:footer="851" w:gutter="0"/>
          <w:cols w:space="720" w:num="1"/>
          <w:docGrid w:linePitch="312" w:charSpace="0"/>
        </w:sectPr>
      </w:pPr>
    </w:p>
    <w:tbl>
      <w:tblPr>
        <w:tblStyle w:val="34"/>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9035"/>
      </w:tblGrid>
      <w:tr w14:paraId="52FB6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32" w:hRule="atLeast"/>
          <w:jc w:val="center"/>
        </w:trPr>
        <w:tc>
          <w:tcPr>
            <w:tcW w:w="627" w:type="dxa"/>
            <w:noWrap w:val="0"/>
            <w:tcMar>
              <w:left w:w="28" w:type="dxa"/>
              <w:right w:w="28" w:type="dxa"/>
            </w:tcMar>
            <w:vAlign w:val="center"/>
          </w:tcPr>
          <w:p w14:paraId="7FE98D16">
            <w:pPr>
              <w:adjustRightInd w:val="0"/>
              <w:snapToGrid w:val="0"/>
              <w:jc w:val="center"/>
              <w:rPr>
                <w:b/>
                <w:bCs/>
                <w:szCs w:val="21"/>
              </w:rPr>
            </w:pPr>
            <w:r>
              <w:rPr>
                <w:b/>
                <w:bCs/>
                <w:szCs w:val="21"/>
              </w:rPr>
              <w:t>运营</w:t>
            </w:r>
          </w:p>
          <w:p w14:paraId="0D857E73">
            <w:pPr>
              <w:adjustRightInd w:val="0"/>
              <w:snapToGrid w:val="0"/>
              <w:jc w:val="center"/>
              <w:rPr>
                <w:b/>
                <w:bCs/>
                <w:szCs w:val="21"/>
              </w:rPr>
            </w:pPr>
            <w:r>
              <w:rPr>
                <w:b/>
                <w:bCs/>
                <w:szCs w:val="21"/>
              </w:rPr>
              <w:t>期环</w:t>
            </w:r>
          </w:p>
          <w:p w14:paraId="50C8987F">
            <w:pPr>
              <w:adjustRightInd w:val="0"/>
              <w:snapToGrid w:val="0"/>
              <w:jc w:val="center"/>
              <w:rPr>
                <w:b/>
                <w:bCs/>
                <w:szCs w:val="21"/>
              </w:rPr>
            </w:pPr>
            <w:r>
              <w:rPr>
                <w:b/>
                <w:bCs/>
                <w:szCs w:val="21"/>
              </w:rPr>
              <w:t>境影</w:t>
            </w:r>
          </w:p>
          <w:p w14:paraId="7CCC9D8C">
            <w:pPr>
              <w:adjustRightInd w:val="0"/>
              <w:snapToGrid w:val="0"/>
              <w:jc w:val="center"/>
              <w:rPr>
                <w:b/>
                <w:bCs/>
                <w:szCs w:val="21"/>
              </w:rPr>
            </w:pPr>
            <w:r>
              <w:rPr>
                <w:b/>
                <w:bCs/>
                <w:szCs w:val="21"/>
              </w:rPr>
              <w:t>响和</w:t>
            </w:r>
          </w:p>
          <w:p w14:paraId="37D4DEA1">
            <w:pPr>
              <w:adjustRightInd w:val="0"/>
              <w:snapToGrid w:val="0"/>
              <w:jc w:val="center"/>
              <w:rPr>
                <w:b/>
                <w:bCs/>
                <w:szCs w:val="21"/>
              </w:rPr>
            </w:pPr>
            <w:r>
              <w:rPr>
                <w:b/>
                <w:bCs/>
                <w:szCs w:val="21"/>
              </w:rPr>
              <w:t>保护</w:t>
            </w:r>
          </w:p>
          <w:p w14:paraId="1CFB2BA0">
            <w:pPr>
              <w:adjustRightInd w:val="0"/>
              <w:snapToGrid w:val="0"/>
              <w:jc w:val="center"/>
              <w:rPr>
                <w:bCs/>
                <w:szCs w:val="21"/>
              </w:rPr>
            </w:pPr>
            <w:r>
              <w:rPr>
                <w:b/>
                <w:bCs/>
                <w:szCs w:val="21"/>
              </w:rPr>
              <w:t>措施</w:t>
            </w:r>
          </w:p>
        </w:tc>
        <w:tc>
          <w:tcPr>
            <w:tcW w:w="9035" w:type="dxa"/>
            <w:noWrap w:val="0"/>
            <w:vAlign w:val="top"/>
          </w:tcPr>
          <w:p w14:paraId="3857BF22">
            <w:pPr>
              <w:pStyle w:val="54"/>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rPr>
              <w:t>2、</w:t>
            </w:r>
            <w:r>
              <w:rPr>
                <w:rFonts w:ascii="Times New Roman" w:hAnsi="Times New Roman" w:cs="Times New Roman"/>
                <w:b/>
                <w:bCs/>
                <w:color w:val="auto"/>
              </w:rPr>
              <w:t>废气</w:t>
            </w:r>
            <w:r>
              <w:rPr>
                <w:rFonts w:hint="eastAsia" w:ascii="Times New Roman" w:hAnsi="Times New Roman" w:cs="Times New Roman"/>
                <w:b/>
                <w:bCs/>
                <w:color w:val="auto"/>
                <w:lang w:val="en-US" w:eastAsia="zh-CN"/>
              </w:rPr>
              <w:t>达标排放</w:t>
            </w:r>
            <w:r>
              <w:rPr>
                <w:rFonts w:ascii="Times New Roman" w:hAnsi="Times New Roman" w:cs="Times New Roman"/>
                <w:b/>
                <w:bCs/>
                <w:color w:val="auto"/>
              </w:rPr>
              <w:t>及其可行性分析</w:t>
            </w:r>
          </w:p>
          <w:p w14:paraId="11B76B3E">
            <w:pPr>
              <w:adjustRightInd w:val="0"/>
              <w:snapToGrid w:val="0"/>
              <w:spacing w:line="360" w:lineRule="auto"/>
              <w:ind w:firstLine="480" w:firstLineChars="200"/>
              <w:rPr>
                <w:rFonts w:hint="default" w:eastAsia="宋体"/>
                <w:sz w:val="24"/>
                <w:lang w:val="en-US" w:eastAsia="zh-CN"/>
              </w:rPr>
            </w:pPr>
            <w:r>
              <w:rPr>
                <w:rFonts w:hint="eastAsia"/>
                <w:sz w:val="24"/>
              </w:rPr>
              <w:t>（1）本项目</w:t>
            </w:r>
            <w:r>
              <w:rPr>
                <w:rFonts w:hint="eastAsia"/>
                <w:color w:val="000000"/>
                <w:spacing w:val="4"/>
                <w:sz w:val="24"/>
                <w:lang w:val="en-US" w:eastAsia="zh-CN"/>
              </w:rPr>
              <w:t>废气达标排放分析</w:t>
            </w:r>
          </w:p>
          <w:p w14:paraId="2B462214">
            <w:pPr>
              <w:spacing w:line="360" w:lineRule="auto"/>
              <w:ind w:firstLine="480" w:firstLineChars="200"/>
              <w:rPr>
                <w:color w:val="auto"/>
                <w:sz w:val="24"/>
                <w:szCs w:val="24"/>
              </w:rPr>
            </w:pPr>
            <w:r>
              <w:rPr>
                <w:color w:val="auto"/>
                <w:kern w:val="0"/>
                <w:sz w:val="24"/>
                <w:szCs w:val="24"/>
              </w:rPr>
              <w:t>本项目所在地环境空气质量现状为不达标区域，本项目</w:t>
            </w:r>
            <w:r>
              <w:rPr>
                <w:rFonts w:hint="eastAsia"/>
                <w:color w:val="auto"/>
                <w:kern w:val="0"/>
                <w:sz w:val="24"/>
                <w:szCs w:val="24"/>
              </w:rPr>
              <w:t>熔融挤出工序产生的非甲烷总烃分别</w:t>
            </w:r>
            <w:r>
              <w:rPr>
                <w:color w:val="auto"/>
                <w:kern w:val="0"/>
                <w:sz w:val="24"/>
                <w:szCs w:val="24"/>
              </w:rPr>
              <w:t>经</w:t>
            </w:r>
            <w:r>
              <w:rPr>
                <w:rFonts w:hint="eastAsia"/>
                <w:color w:val="auto"/>
                <w:kern w:val="0"/>
                <w:sz w:val="24"/>
                <w:szCs w:val="24"/>
                <w:lang w:val="en-US" w:eastAsia="zh-CN"/>
              </w:rPr>
              <w:t>集气罩</w:t>
            </w:r>
            <w:r>
              <w:rPr>
                <w:color w:val="auto"/>
                <w:kern w:val="0"/>
                <w:sz w:val="24"/>
                <w:szCs w:val="24"/>
              </w:rPr>
              <w:t>收集后</w:t>
            </w:r>
            <w:r>
              <w:rPr>
                <w:rFonts w:hint="eastAsia"/>
                <w:color w:val="auto"/>
                <w:kern w:val="0"/>
                <w:sz w:val="24"/>
                <w:szCs w:val="24"/>
              </w:rPr>
              <w:t>进入</w:t>
            </w:r>
            <w:r>
              <w:rPr>
                <w:rFonts w:hint="eastAsia"/>
                <w:color w:val="auto"/>
                <w:kern w:val="0"/>
                <w:sz w:val="24"/>
                <w:szCs w:val="24"/>
                <w:lang w:val="en-US" w:eastAsia="zh-CN"/>
              </w:rPr>
              <w:t>同一</w:t>
            </w:r>
            <w:r>
              <w:rPr>
                <w:rFonts w:hint="eastAsia"/>
                <w:color w:val="auto"/>
                <w:kern w:val="0"/>
                <w:sz w:val="24"/>
                <w:szCs w:val="24"/>
              </w:rPr>
              <w:t>套“</w:t>
            </w:r>
            <w:r>
              <w:rPr>
                <w:rFonts w:hint="eastAsia"/>
                <w:color w:val="auto"/>
                <w:kern w:val="0"/>
                <w:sz w:val="24"/>
                <w:szCs w:val="24"/>
                <w:lang w:eastAsia="zh-CN"/>
              </w:rPr>
              <w:t>二级</w:t>
            </w:r>
            <w:r>
              <w:rPr>
                <w:rFonts w:hint="eastAsia"/>
                <w:color w:val="auto"/>
                <w:kern w:val="0"/>
                <w:sz w:val="24"/>
                <w:szCs w:val="24"/>
              </w:rPr>
              <w:t>活性炭吸附”装置</w:t>
            </w:r>
            <w:r>
              <w:rPr>
                <w:color w:val="auto"/>
                <w:kern w:val="0"/>
                <w:sz w:val="24"/>
                <w:szCs w:val="24"/>
              </w:rPr>
              <w:t>处理</w:t>
            </w:r>
            <w:r>
              <w:rPr>
                <w:rFonts w:hint="eastAsia"/>
                <w:color w:val="auto"/>
                <w:kern w:val="0"/>
                <w:sz w:val="24"/>
                <w:szCs w:val="24"/>
              </w:rPr>
              <w:t>后通过</w:t>
            </w:r>
            <w:r>
              <w:rPr>
                <w:color w:val="auto"/>
                <w:kern w:val="0"/>
                <w:sz w:val="24"/>
                <w:szCs w:val="24"/>
              </w:rPr>
              <w:t>15m高排气筒</w:t>
            </w:r>
            <w:r>
              <w:rPr>
                <w:rFonts w:hint="eastAsia"/>
                <w:color w:val="auto"/>
                <w:kern w:val="0"/>
                <w:sz w:val="24"/>
                <w:szCs w:val="24"/>
              </w:rPr>
              <w:t>DA001</w:t>
            </w:r>
            <w:r>
              <w:rPr>
                <w:color w:val="auto"/>
                <w:kern w:val="0"/>
                <w:sz w:val="24"/>
                <w:szCs w:val="24"/>
              </w:rPr>
              <w:t>排放，</w:t>
            </w:r>
            <w:r>
              <w:rPr>
                <w:rFonts w:hint="eastAsia"/>
                <w:color w:val="auto"/>
                <w:kern w:val="0"/>
                <w:sz w:val="24"/>
                <w:szCs w:val="24"/>
              </w:rPr>
              <w:t>非甲烷总烃有组织排放浓度</w:t>
            </w:r>
            <w:r>
              <w:rPr>
                <w:rFonts w:hint="eastAsia"/>
                <w:color w:val="auto"/>
                <w:kern w:val="0"/>
                <w:sz w:val="24"/>
                <w:szCs w:val="24"/>
                <w:highlight w:val="none"/>
              </w:rPr>
              <w:t>为</w:t>
            </w:r>
            <w:r>
              <w:rPr>
                <w:rFonts w:hint="eastAsia"/>
                <w:color w:val="auto"/>
                <w:kern w:val="0"/>
                <w:sz w:val="24"/>
                <w:szCs w:val="24"/>
                <w:highlight w:val="none"/>
                <w:lang w:val="en-US" w:eastAsia="zh-CN"/>
              </w:rPr>
              <w:t>28.2</w:t>
            </w:r>
            <w:r>
              <w:rPr>
                <w:rFonts w:hint="eastAsia"/>
                <w:color w:val="auto"/>
                <w:kern w:val="0"/>
                <w:sz w:val="24"/>
                <w:szCs w:val="24"/>
                <w:highlight w:val="none"/>
              </w:rPr>
              <w:t>m</w:t>
            </w:r>
            <w:r>
              <w:rPr>
                <w:rFonts w:hint="eastAsia"/>
                <w:color w:val="auto"/>
                <w:kern w:val="0"/>
                <w:sz w:val="24"/>
                <w:szCs w:val="24"/>
              </w:rPr>
              <w:t>g/m</w:t>
            </w:r>
            <w:r>
              <w:rPr>
                <w:rFonts w:hint="eastAsia"/>
                <w:color w:val="auto"/>
                <w:kern w:val="0"/>
                <w:sz w:val="24"/>
                <w:szCs w:val="24"/>
                <w:vertAlign w:val="superscript"/>
              </w:rPr>
              <w:t>3</w:t>
            </w:r>
            <w:r>
              <w:rPr>
                <w:rFonts w:hint="eastAsia"/>
                <w:color w:val="auto"/>
                <w:kern w:val="0"/>
                <w:sz w:val="24"/>
                <w:szCs w:val="24"/>
                <w:vertAlign w:val="baseline"/>
                <w:lang w:eastAsia="zh-CN"/>
              </w:rPr>
              <w:t>。</w:t>
            </w:r>
            <w:r>
              <w:rPr>
                <w:rFonts w:hint="eastAsia"/>
                <w:color w:val="auto"/>
                <w:kern w:val="0"/>
                <w:sz w:val="24"/>
                <w:szCs w:val="24"/>
              </w:rPr>
              <w:t>满足</w:t>
            </w:r>
            <w:r>
              <w:rPr>
                <w:rFonts w:hint="eastAsia" w:ascii="Times New Roman" w:hAnsi="Times New Roman" w:cs="Times New Roman"/>
                <w:kern w:val="0"/>
                <w:sz w:val="24"/>
                <w:szCs w:val="24"/>
                <w:lang w:val="en-US" w:eastAsia="zh-CN"/>
              </w:rPr>
              <w:t>《固定源挥发性有机物综合排放标准，第6部分：其他行业》（DB34/4812.6-2024）</w:t>
            </w:r>
            <w:r>
              <w:rPr>
                <w:rFonts w:hint="eastAsia"/>
                <w:color w:val="auto"/>
                <w:kern w:val="0"/>
                <w:sz w:val="24"/>
                <w:szCs w:val="24"/>
              </w:rPr>
              <w:t>中相关限值要求</w:t>
            </w:r>
            <w:r>
              <w:rPr>
                <w:rFonts w:hint="eastAsia"/>
                <w:color w:val="auto"/>
                <w:kern w:val="0"/>
                <w:sz w:val="24"/>
                <w:szCs w:val="24"/>
                <w:lang w:val="en-US" w:eastAsia="zh-CN"/>
              </w:rPr>
              <w:t>(非甲烷总烃≤40</w:t>
            </w:r>
            <w:r>
              <w:rPr>
                <w:rFonts w:hint="eastAsia"/>
                <w:color w:val="auto"/>
                <w:kern w:val="0"/>
                <w:sz w:val="24"/>
                <w:szCs w:val="24"/>
              </w:rPr>
              <w:t>mg/m</w:t>
            </w:r>
            <w:r>
              <w:rPr>
                <w:rFonts w:hint="eastAsia"/>
                <w:color w:val="auto"/>
                <w:kern w:val="0"/>
                <w:sz w:val="24"/>
                <w:szCs w:val="24"/>
                <w:vertAlign w:val="superscript"/>
              </w:rPr>
              <w:t>3</w:t>
            </w:r>
            <w:r>
              <w:rPr>
                <w:rFonts w:hint="eastAsia"/>
                <w:color w:val="auto"/>
                <w:kern w:val="0"/>
                <w:sz w:val="24"/>
                <w:szCs w:val="24"/>
                <w:lang w:val="en-US" w:eastAsia="zh-CN"/>
              </w:rPr>
              <w:t>)</w:t>
            </w:r>
            <w:r>
              <w:rPr>
                <w:rFonts w:hint="eastAsia"/>
                <w:color w:val="auto"/>
                <w:kern w:val="0"/>
                <w:sz w:val="24"/>
                <w:szCs w:val="24"/>
              </w:rPr>
              <w:t>。</w:t>
            </w:r>
          </w:p>
          <w:p w14:paraId="26092553">
            <w:pPr>
              <w:spacing w:line="360" w:lineRule="auto"/>
              <w:ind w:firstLine="480" w:firstLineChars="200"/>
              <w:rPr>
                <w:rFonts w:hint="eastAsia"/>
                <w:color w:val="000000"/>
                <w:sz w:val="24"/>
                <w:szCs w:val="24"/>
              </w:rPr>
            </w:pPr>
            <w:r>
              <w:rPr>
                <w:rFonts w:hint="eastAsia"/>
                <w:color w:val="auto"/>
                <w:sz w:val="24"/>
                <w:szCs w:val="24"/>
              </w:rPr>
              <w:t>本项目在</w:t>
            </w:r>
            <w:r>
              <w:rPr>
                <w:color w:val="auto"/>
                <w:kern w:val="0"/>
                <w:sz w:val="24"/>
                <w:szCs w:val="24"/>
              </w:rPr>
              <w:t>采取上述措施后，废气污染物排放量较小</w:t>
            </w:r>
            <w:r>
              <w:rPr>
                <w:rFonts w:hint="eastAsia"/>
                <w:color w:val="auto"/>
                <w:kern w:val="0"/>
                <w:sz w:val="24"/>
                <w:szCs w:val="24"/>
              </w:rPr>
              <w:t>且达标排放</w:t>
            </w:r>
            <w:r>
              <w:rPr>
                <w:color w:val="auto"/>
                <w:kern w:val="0"/>
                <w:sz w:val="24"/>
                <w:szCs w:val="24"/>
              </w:rPr>
              <w:t>，在保证污染防治措施正常运营的情况下，本项目废气对周边环境影响较小</w:t>
            </w:r>
            <w:r>
              <w:rPr>
                <w:rFonts w:hint="eastAsia"/>
                <w:color w:val="000000"/>
                <w:sz w:val="24"/>
                <w:szCs w:val="24"/>
              </w:rPr>
              <w:t>。</w:t>
            </w:r>
          </w:p>
          <w:p w14:paraId="708CC7FC">
            <w:pPr>
              <w:spacing w:line="360" w:lineRule="auto"/>
              <w:ind w:firstLine="480" w:firstLineChars="200"/>
              <w:rPr>
                <w:sz w:val="24"/>
              </w:rPr>
            </w:pPr>
            <w:r>
              <w:rPr>
                <w:rFonts w:hint="eastAsia"/>
                <w:color w:val="000000"/>
                <w:sz w:val="24"/>
              </w:rPr>
              <w:t>针对项目废气有组织排放，本评价提出额外污染防治措施要求：</w:t>
            </w:r>
            <w:r>
              <w:rPr>
                <w:rFonts w:hint="eastAsia" w:ascii="宋体" w:hAnsi="宋体" w:eastAsia="宋体" w:cs="宋体"/>
                <w:color w:val="000000"/>
                <w:sz w:val="24"/>
              </w:rPr>
              <w:t>①</w:t>
            </w:r>
            <w:r>
              <w:rPr>
                <w:rFonts w:hint="eastAsia"/>
                <w:color w:val="000000"/>
                <w:sz w:val="24"/>
              </w:rPr>
              <w:t>严禁经废气治理设施处理后的废气与空气混合后稀</w:t>
            </w:r>
            <w:r>
              <w:rPr>
                <w:color w:val="000000"/>
                <w:sz w:val="24"/>
              </w:rPr>
              <w:t>释排放</w:t>
            </w:r>
            <w:r>
              <w:rPr>
                <w:rFonts w:hint="eastAsia"/>
                <w:color w:val="000000"/>
                <w:sz w:val="24"/>
              </w:rPr>
              <w:t>；</w:t>
            </w:r>
            <w:r>
              <w:rPr>
                <w:rFonts w:hint="eastAsia" w:ascii="宋体" w:hAnsi="宋体" w:eastAsia="宋体" w:cs="宋体"/>
                <w:color w:val="000000"/>
                <w:sz w:val="24"/>
              </w:rPr>
              <w:t>②</w:t>
            </w:r>
            <w:r>
              <w:rPr>
                <w:rFonts w:hint="eastAsia"/>
                <w:color w:val="000000"/>
                <w:sz w:val="24"/>
              </w:rPr>
              <w:t>所有废气治理设施应制定操作规程，明确各项运行参数，实际运行参数应与操作规程一致，对于项目使用活性炭，应定期更换活性炭确保其处理效率；</w:t>
            </w:r>
            <w:r>
              <w:rPr>
                <w:rFonts w:hint="eastAsia" w:ascii="宋体" w:hAnsi="宋体" w:eastAsia="宋体" w:cs="宋体"/>
                <w:color w:val="000000"/>
                <w:sz w:val="24"/>
              </w:rPr>
              <w:t>③</w:t>
            </w:r>
            <w:r>
              <w:rPr>
                <w:rFonts w:hint="eastAsia"/>
                <w:color w:val="000000"/>
                <w:sz w:val="24"/>
              </w:rPr>
              <w:t>对于项目废气处理装置应定期检修、维护，废气收集系统或污染防治发生故障或检修时，应立即报告当地生态环境部门。</w:t>
            </w:r>
          </w:p>
          <w:p w14:paraId="390A989B">
            <w:pPr>
              <w:pStyle w:val="56"/>
              <w:rPr>
                <w:rFonts w:hint="eastAsia"/>
              </w:rPr>
            </w:pPr>
            <w:r>
              <w:rPr>
                <w:rFonts w:hint="eastAsia"/>
              </w:rPr>
              <w:t>（2）本项目废气处理措施的可行性分析</w:t>
            </w:r>
          </w:p>
          <w:p w14:paraId="2F4EAE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lang w:eastAsia="zh-CN"/>
              </w:rPr>
            </w:pPr>
            <w:r>
              <w:rPr>
                <w:rFonts w:hint="eastAsia"/>
                <w:sz w:val="24"/>
              </w:rPr>
              <w:t>本项目废气治理措施如下图</w:t>
            </w:r>
            <w:r>
              <w:rPr>
                <w:rFonts w:hint="eastAsia"/>
                <w:sz w:val="24"/>
                <w:lang w:eastAsia="zh-CN"/>
              </w:rPr>
              <w:t>：</w:t>
            </w:r>
          </w:p>
          <w:p w14:paraId="7183E00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sz w:val="24"/>
              </w:rPr>
            </w:pPr>
            <w:r>
              <w:rPr>
                <w:lang w:val="en-US" w:bidi="ar-SA"/>
              </w:rPr>
              <w:drawing>
                <wp:inline distT="0" distB="0" distL="114300" distR="114300">
                  <wp:extent cx="5125085" cy="729615"/>
                  <wp:effectExtent l="0" t="0" r="0" b="0"/>
                  <wp:docPr id="12" name="ECB019B1-382A-4266-B25C-5B523AA43C14-1" descr="C:/Users/QIN/AppData/Local/Temp/wps.qzoaY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C:/Users/QIN/AppData/Local/Temp/wps.qzoaYNwps"/>
                          <pic:cNvPicPr>
                            <a:picLocks noChangeAspect="1"/>
                          </pic:cNvPicPr>
                        </pic:nvPicPr>
                        <pic:blipFill>
                          <a:blip r:embed="rId19"/>
                          <a:stretch>
                            <a:fillRect/>
                          </a:stretch>
                        </pic:blipFill>
                        <pic:spPr>
                          <a:xfrm>
                            <a:off x="0" y="0"/>
                            <a:ext cx="5125085" cy="729615"/>
                          </a:xfrm>
                          <a:prstGeom prst="rect">
                            <a:avLst/>
                          </a:prstGeom>
                          <a:noFill/>
                          <a:ln>
                            <a:noFill/>
                          </a:ln>
                        </pic:spPr>
                      </pic:pic>
                    </a:graphicData>
                  </a:graphic>
                </wp:inline>
              </w:drawing>
            </w:r>
          </w:p>
          <w:p w14:paraId="2FE53EF7">
            <w:pPr>
              <w:keepNext w:val="0"/>
              <w:keepLines w:val="0"/>
              <w:pageBreakBefore w:val="0"/>
              <w:widowControl w:val="0"/>
              <w:numPr>
                <w:ilvl w:val="0"/>
                <w:numId w:val="14"/>
              </w:numPr>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hint="eastAsia"/>
                <w:sz w:val="24"/>
              </w:rPr>
            </w:pPr>
            <w:r>
              <w:rPr>
                <w:rFonts w:hint="eastAsia"/>
                <w:b/>
                <w:sz w:val="24"/>
              </w:rPr>
              <w:t>废气处理流程示意图</w:t>
            </w:r>
          </w:p>
          <w:p w14:paraId="2FBA7BA2">
            <w:pPr>
              <w:adjustRightInd w:val="0"/>
              <w:snapToGrid w:val="0"/>
              <w:spacing w:line="360" w:lineRule="auto"/>
              <w:ind w:firstLine="480" w:firstLineChars="200"/>
              <w:rPr>
                <w:sz w:val="24"/>
              </w:rPr>
            </w:pPr>
            <w:r>
              <w:rPr>
                <w:rFonts w:hint="eastAsia"/>
                <w:sz w:val="24"/>
              </w:rPr>
              <w:t>根据前文分析，项目废气污染物为非甲烷总烃</w:t>
            </w:r>
            <w:r>
              <w:rPr>
                <w:rFonts w:hint="eastAsia"/>
                <w:sz w:val="24"/>
                <w:lang w:eastAsia="zh-CN"/>
              </w:rPr>
              <w:t>。</w:t>
            </w:r>
            <w:r>
              <w:rPr>
                <w:sz w:val="24"/>
              </w:rPr>
              <w:t>参照</w:t>
            </w:r>
            <w:r>
              <w:rPr>
                <w:rFonts w:hint="eastAsia" w:cs="宋体"/>
                <w:sz w:val="24"/>
              </w:rPr>
              <w:t>《排污许可证申请与核发技术规范 橡胶和塑料制品工业》（HJ1122-2020）中“表A.2 塑料制品工业排污单位废气污染防治可行性技术参考表”，</w:t>
            </w:r>
            <w:r>
              <w:rPr>
                <w:rFonts w:hint="eastAsia"/>
                <w:sz w:val="24"/>
              </w:rPr>
              <w:t>本项目拟采取废气处理措施与可行技术对比见下表</w:t>
            </w:r>
            <w:r>
              <w:rPr>
                <w:sz w:val="24"/>
              </w:rPr>
              <w:t>：</w:t>
            </w:r>
          </w:p>
          <w:p w14:paraId="486800A6">
            <w:pPr>
              <w:keepNext w:val="0"/>
              <w:keepLines w:val="0"/>
              <w:pageBreakBefore w:val="0"/>
              <w:widowControl/>
              <w:numPr>
                <w:ilvl w:val="0"/>
                <w:numId w:val="13"/>
              </w:numPr>
              <w:tabs>
                <w:tab w:val="left" w:pos="420"/>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Style w:val="73"/>
                <w:rFonts w:ascii="Times New Roman" w:hAnsi="Times New Roman" w:eastAsia="宋体" w:cs="Times New Roman"/>
                <w:bCs/>
                <w:color w:val="auto"/>
                <w:sz w:val="24"/>
                <w:szCs w:val="24"/>
              </w:rPr>
            </w:pPr>
            <w:r>
              <w:rPr>
                <w:rStyle w:val="73"/>
                <w:rFonts w:hint="eastAsia" w:ascii="Times New Roman" w:hAnsi="Times New Roman" w:eastAsia="宋体" w:cs="Times New Roman"/>
                <w:bCs/>
                <w:color w:val="auto"/>
                <w:sz w:val="24"/>
                <w:szCs w:val="24"/>
              </w:rPr>
              <w:t>本项目废气处理措施与可行技术符合性分析</w:t>
            </w:r>
          </w:p>
          <w:tbl>
            <w:tblPr>
              <w:tblStyle w:val="34"/>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807"/>
              <w:gridCol w:w="1164"/>
              <w:gridCol w:w="1309"/>
              <w:gridCol w:w="1261"/>
              <w:gridCol w:w="915"/>
            </w:tblGrid>
            <w:tr w14:paraId="752A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6" w:type="pct"/>
                  <w:noWrap w:val="0"/>
                  <w:vAlign w:val="center"/>
                </w:tcPr>
                <w:p w14:paraId="64F83FE1">
                  <w:pPr>
                    <w:adjustRightInd w:val="0"/>
                    <w:snapToGrid w:val="0"/>
                    <w:jc w:val="center"/>
                  </w:pPr>
                  <w:r>
                    <w:rPr>
                      <w:rFonts w:hint="eastAsia"/>
                    </w:rPr>
                    <w:t>产排污环节</w:t>
                  </w:r>
                </w:p>
              </w:tc>
              <w:tc>
                <w:tcPr>
                  <w:tcW w:w="459" w:type="pct"/>
                  <w:noWrap w:val="0"/>
                  <w:vAlign w:val="center"/>
                </w:tcPr>
                <w:p w14:paraId="17B739B1">
                  <w:pPr>
                    <w:adjustRightInd w:val="0"/>
                    <w:snapToGrid w:val="0"/>
                    <w:jc w:val="center"/>
                  </w:pPr>
                  <w:r>
                    <w:rPr>
                      <w:rFonts w:hint="eastAsia"/>
                    </w:rPr>
                    <w:t>污染物种类</w:t>
                  </w:r>
                </w:p>
              </w:tc>
              <w:tc>
                <w:tcPr>
                  <w:tcW w:w="662" w:type="pct"/>
                  <w:noWrap w:val="0"/>
                  <w:vAlign w:val="center"/>
                </w:tcPr>
                <w:p w14:paraId="54C47C0D">
                  <w:pPr>
                    <w:adjustRightInd w:val="0"/>
                    <w:snapToGrid w:val="0"/>
                    <w:jc w:val="center"/>
                  </w:pPr>
                  <w:r>
                    <w:rPr>
                      <w:rFonts w:hint="eastAsia"/>
                    </w:rPr>
                    <w:t>过程控制技术</w:t>
                  </w:r>
                </w:p>
              </w:tc>
              <w:tc>
                <w:tcPr>
                  <w:tcW w:w="744" w:type="pct"/>
                  <w:noWrap w:val="0"/>
                  <w:vAlign w:val="center"/>
                </w:tcPr>
                <w:p w14:paraId="73FA8669">
                  <w:pPr>
                    <w:adjustRightInd w:val="0"/>
                    <w:snapToGrid w:val="0"/>
                    <w:jc w:val="center"/>
                    <w:rPr>
                      <w:color w:val="auto"/>
                    </w:rPr>
                  </w:pPr>
                  <w:r>
                    <w:rPr>
                      <w:rFonts w:hint="eastAsia"/>
                      <w:color w:val="auto"/>
                    </w:rPr>
                    <w:t>可行技术</w:t>
                  </w:r>
                </w:p>
              </w:tc>
              <w:tc>
                <w:tcPr>
                  <w:tcW w:w="717" w:type="pct"/>
                  <w:noWrap w:val="0"/>
                  <w:vAlign w:val="center"/>
                </w:tcPr>
                <w:p w14:paraId="6390A5F3">
                  <w:pPr>
                    <w:adjustRightInd w:val="0"/>
                    <w:snapToGrid w:val="0"/>
                    <w:jc w:val="center"/>
                    <w:rPr>
                      <w:color w:val="auto"/>
                    </w:rPr>
                  </w:pPr>
                  <w:r>
                    <w:rPr>
                      <w:rFonts w:hint="eastAsia"/>
                      <w:color w:val="auto"/>
                    </w:rPr>
                    <w:t>本项目情况</w:t>
                  </w:r>
                </w:p>
              </w:tc>
              <w:tc>
                <w:tcPr>
                  <w:tcW w:w="520" w:type="pct"/>
                  <w:noWrap w:val="0"/>
                  <w:vAlign w:val="center"/>
                </w:tcPr>
                <w:p w14:paraId="3F06F23C">
                  <w:pPr>
                    <w:adjustRightInd w:val="0"/>
                    <w:snapToGrid w:val="0"/>
                    <w:jc w:val="center"/>
                    <w:rPr>
                      <w:color w:val="auto"/>
                    </w:rPr>
                  </w:pPr>
                  <w:r>
                    <w:rPr>
                      <w:rFonts w:hint="eastAsia"/>
                      <w:color w:val="auto"/>
                    </w:rPr>
                    <w:t>符合性</w:t>
                  </w:r>
                </w:p>
              </w:tc>
            </w:tr>
            <w:tr w14:paraId="097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896" w:type="pct"/>
                  <w:noWrap w:val="0"/>
                  <w:vAlign w:val="center"/>
                </w:tcPr>
                <w:p w14:paraId="394EBA73">
                  <w:pPr>
                    <w:adjustRightInd w:val="0"/>
                    <w:snapToGrid w:val="0"/>
                    <w:jc w:val="center"/>
                  </w:pPr>
                  <w:r>
                    <w:rPr>
                      <w:rFonts w:hint="eastAsia"/>
                      <w:b w:val="0"/>
                      <w:bCs w:val="0"/>
                    </w:rPr>
                    <w:t>塑料薄膜制造，</w:t>
                  </w:r>
                  <w:r>
                    <w:rPr>
                      <w:rFonts w:hint="eastAsia"/>
                    </w:rPr>
                    <w:t>塑料板、管、型材制造，</w:t>
                  </w:r>
                  <w:r>
                    <w:rPr>
                      <w:rFonts w:hint="eastAsia"/>
                      <w:b/>
                      <w:bCs/>
                    </w:rPr>
                    <w:t>塑料丝、绳及编制品制造</w:t>
                  </w:r>
                  <w:r>
                    <w:rPr>
                      <w:rFonts w:hint="eastAsia"/>
                    </w:rPr>
                    <w:t>，泡沫塑料制造</w:t>
                  </w:r>
                  <w:r>
                    <w:rPr>
                      <w:rFonts w:hint="eastAsia"/>
                      <w:b w:val="0"/>
                      <w:bCs w:val="0"/>
                    </w:rPr>
                    <w:t>，塑料包装箱及容器制造，日用塑料</w:t>
                  </w:r>
                  <w:r>
                    <w:rPr>
                      <w:rFonts w:hint="eastAsia"/>
                    </w:rPr>
                    <w:t>制品制造，人造草坪制造，塑料零件及其他塑料制品制造废气</w:t>
                  </w:r>
                </w:p>
              </w:tc>
              <w:tc>
                <w:tcPr>
                  <w:tcW w:w="459" w:type="pct"/>
                  <w:noWrap w:val="0"/>
                  <w:vAlign w:val="center"/>
                </w:tcPr>
                <w:p w14:paraId="302EFB8F">
                  <w:pPr>
                    <w:adjustRightInd w:val="0"/>
                    <w:snapToGrid w:val="0"/>
                    <w:jc w:val="center"/>
                  </w:pPr>
                  <w:r>
                    <w:rPr>
                      <w:rFonts w:hint="eastAsia"/>
                    </w:rPr>
                    <w:t>非甲烷总烃</w:t>
                  </w:r>
                </w:p>
              </w:tc>
              <w:tc>
                <w:tcPr>
                  <w:tcW w:w="662" w:type="pct"/>
                  <w:noWrap w:val="0"/>
                  <w:vAlign w:val="center"/>
                </w:tcPr>
                <w:p w14:paraId="77E0057B">
                  <w:pPr>
                    <w:adjustRightInd w:val="0"/>
                    <w:snapToGrid w:val="0"/>
                    <w:jc w:val="center"/>
                  </w:pPr>
                  <w:r>
                    <w:rPr>
                      <w:rFonts w:hint="eastAsia"/>
                    </w:rPr>
                    <w:t>密闭过程</w:t>
                  </w:r>
                </w:p>
                <w:p w14:paraId="770D569C">
                  <w:pPr>
                    <w:adjustRightInd w:val="0"/>
                    <w:snapToGrid w:val="0"/>
                    <w:jc w:val="center"/>
                  </w:pPr>
                  <w:r>
                    <w:rPr>
                      <w:rFonts w:hint="eastAsia"/>
                    </w:rPr>
                    <w:t>密闭场所</w:t>
                  </w:r>
                </w:p>
                <w:p w14:paraId="3B9AA08D">
                  <w:pPr>
                    <w:adjustRightInd w:val="0"/>
                    <w:snapToGrid w:val="0"/>
                    <w:jc w:val="center"/>
                  </w:pPr>
                  <w:r>
                    <w:rPr>
                      <w:rFonts w:hint="eastAsia"/>
                    </w:rPr>
                    <w:t>局部收集</w:t>
                  </w:r>
                </w:p>
              </w:tc>
              <w:tc>
                <w:tcPr>
                  <w:tcW w:w="744" w:type="pct"/>
                  <w:noWrap w:val="0"/>
                  <w:vAlign w:val="center"/>
                </w:tcPr>
                <w:p w14:paraId="4F3002A5">
                  <w:pPr>
                    <w:adjustRightInd w:val="0"/>
                    <w:snapToGrid w:val="0"/>
                    <w:jc w:val="center"/>
                    <w:rPr>
                      <w:color w:val="auto"/>
                    </w:rPr>
                  </w:pPr>
                  <w:r>
                    <w:rPr>
                      <w:rFonts w:hint="eastAsia"/>
                      <w:color w:val="auto"/>
                    </w:rPr>
                    <w:t>喷淋；吸附；吸附浓缩+热力燃烧/催化燃烧</w:t>
                  </w:r>
                </w:p>
              </w:tc>
              <w:tc>
                <w:tcPr>
                  <w:tcW w:w="717" w:type="pct"/>
                  <w:noWrap w:val="0"/>
                  <w:vAlign w:val="center"/>
                </w:tcPr>
                <w:p w14:paraId="020EC14F">
                  <w:pPr>
                    <w:adjustRightInd w:val="0"/>
                    <w:snapToGrid w:val="0"/>
                    <w:jc w:val="center"/>
                    <w:rPr>
                      <w:rFonts w:hint="default" w:eastAsia="宋体"/>
                      <w:color w:val="auto"/>
                      <w:lang w:val="en-US" w:eastAsia="zh-CN"/>
                    </w:rPr>
                  </w:pPr>
                  <w:r>
                    <w:rPr>
                      <w:rFonts w:hint="eastAsia"/>
                      <w:color w:val="auto"/>
                    </w:rPr>
                    <w:t>集气罩</w:t>
                  </w:r>
                  <w:r>
                    <w:rPr>
                      <w:rFonts w:hint="eastAsia"/>
                      <w:color w:val="auto"/>
                      <w:lang w:val="en-US" w:eastAsia="zh-CN"/>
                    </w:rPr>
                    <w:t>+</w:t>
                  </w:r>
                  <w:r>
                    <w:rPr>
                      <w:rFonts w:hint="eastAsia"/>
                      <w:color w:val="auto"/>
                    </w:rPr>
                    <w:t>二级活性炭</w:t>
                  </w:r>
                  <w:r>
                    <w:rPr>
                      <w:rFonts w:hint="eastAsia"/>
                      <w:color w:val="auto"/>
                      <w:lang w:val="en-US" w:eastAsia="zh-CN"/>
                    </w:rPr>
                    <w:t>吸附装置</w:t>
                  </w:r>
                </w:p>
              </w:tc>
              <w:tc>
                <w:tcPr>
                  <w:tcW w:w="520" w:type="pct"/>
                  <w:noWrap w:val="0"/>
                  <w:vAlign w:val="center"/>
                </w:tcPr>
                <w:p w14:paraId="21EB6A96">
                  <w:pPr>
                    <w:adjustRightInd w:val="0"/>
                    <w:snapToGrid w:val="0"/>
                    <w:jc w:val="center"/>
                    <w:rPr>
                      <w:color w:val="auto"/>
                    </w:rPr>
                  </w:pPr>
                  <w:r>
                    <w:rPr>
                      <w:rFonts w:hint="eastAsia"/>
                      <w:color w:val="auto"/>
                    </w:rPr>
                    <w:t>符合</w:t>
                  </w:r>
                </w:p>
              </w:tc>
            </w:tr>
          </w:tbl>
          <w:p w14:paraId="1D4823A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outlineLvl w:val="2"/>
              <w:rPr>
                <w:rFonts w:hint="eastAsia" w:eastAsia="宋体"/>
                <w:bCs/>
                <w:sz w:val="24"/>
                <w:szCs w:val="24"/>
                <w:lang w:eastAsia="zh-CN"/>
              </w:rPr>
            </w:pPr>
            <w:r>
              <w:rPr>
                <w:rFonts w:hint="eastAsia"/>
                <w:color w:val="auto"/>
                <w:sz w:val="24"/>
                <w:szCs w:val="24"/>
                <w:lang w:val="en-US" w:eastAsia="zh-CN"/>
              </w:rPr>
              <w:t>综上分析，本项目废气处理措施可行。</w:t>
            </w:r>
            <w:r>
              <w:rPr>
                <w:rFonts w:ascii="Times New Roman" w:hAnsi="Times New Roman"/>
                <w:color w:val="auto"/>
                <w:spacing w:val="0"/>
                <w:kern w:val="0"/>
                <w:sz w:val="24"/>
                <w:szCs w:val="24"/>
              </w:rPr>
              <w:t>本项目营运期产生的废气在采取相应环保治理措施后，对周围环境空气的污染影响较小</w:t>
            </w:r>
            <w:r>
              <w:rPr>
                <w:rFonts w:hint="eastAsia" w:ascii="Times New Roman" w:hAnsi="Times New Roman"/>
                <w:color w:val="auto"/>
                <w:spacing w:val="0"/>
                <w:kern w:val="0"/>
                <w:sz w:val="24"/>
                <w:szCs w:val="24"/>
                <w:lang w:eastAsia="zh-CN"/>
              </w:rPr>
              <w:t>。</w:t>
            </w:r>
          </w:p>
          <w:p w14:paraId="40352168">
            <w:pPr>
              <w:adjustRightInd w:val="0"/>
              <w:snapToGrid w:val="0"/>
              <w:spacing w:line="360" w:lineRule="auto"/>
              <w:ind w:left="480"/>
              <w:outlineLvl w:val="2"/>
              <w:rPr>
                <w:bCs/>
                <w:sz w:val="24"/>
                <w:szCs w:val="24"/>
              </w:rPr>
            </w:pPr>
            <w:r>
              <w:rPr>
                <w:rFonts w:hint="eastAsia"/>
                <w:bCs/>
                <w:sz w:val="24"/>
                <w:szCs w:val="24"/>
              </w:rPr>
              <w:t>（3）</w:t>
            </w:r>
            <w:r>
              <w:rPr>
                <w:bCs/>
                <w:sz w:val="24"/>
                <w:szCs w:val="24"/>
              </w:rPr>
              <w:t>废气无组织管控措施</w:t>
            </w:r>
          </w:p>
          <w:p w14:paraId="010D4C21">
            <w:pPr>
              <w:adjustRightInd w:val="0"/>
              <w:snapToGrid w:val="0"/>
              <w:spacing w:line="360" w:lineRule="auto"/>
              <w:ind w:firstLine="480" w:firstLineChars="200"/>
              <w:outlineLvl w:val="2"/>
              <w:rPr>
                <w:bCs/>
                <w:sz w:val="24"/>
                <w:szCs w:val="24"/>
              </w:rPr>
            </w:pPr>
            <w:r>
              <w:rPr>
                <w:rFonts w:hint="eastAsia"/>
                <w:bCs/>
                <w:sz w:val="24"/>
                <w:szCs w:val="24"/>
              </w:rPr>
              <w:t>本</w:t>
            </w:r>
            <w:r>
              <w:rPr>
                <w:bCs/>
                <w:sz w:val="24"/>
                <w:szCs w:val="24"/>
              </w:rPr>
              <w:t>项目无组织废气主要为</w:t>
            </w:r>
            <w:r>
              <w:rPr>
                <w:rFonts w:hint="eastAsia"/>
                <w:color w:val="000000"/>
                <w:sz w:val="24"/>
                <w:szCs w:val="24"/>
                <w:lang w:val="en-US" w:eastAsia="zh-CN"/>
              </w:rPr>
              <w:t>熔融挤出</w:t>
            </w:r>
            <w:r>
              <w:rPr>
                <w:bCs/>
                <w:sz w:val="24"/>
                <w:szCs w:val="24"/>
              </w:rPr>
              <w:t>工序未能收集的污染物，为了减小本项目无组织有机废气对周边环境的影响，对照《挥发性有机物无组织排放控制标准》（GB37822-2019）等相关文件中规定，项目采取以下防治措施从而减少对周围大气环境的不利影响：</w:t>
            </w:r>
          </w:p>
          <w:p w14:paraId="7DD52508">
            <w:pPr>
              <w:spacing w:line="360" w:lineRule="auto"/>
              <w:ind w:firstLine="480" w:firstLineChars="200"/>
              <w:rPr>
                <w:rFonts w:hint="eastAsia"/>
                <w:bCs/>
                <w:sz w:val="24"/>
                <w:szCs w:val="24"/>
              </w:rPr>
            </w:pPr>
            <w:r>
              <w:rPr>
                <w:bCs/>
                <w:sz w:val="24"/>
                <w:szCs w:val="24"/>
              </w:rPr>
              <w:t>①废气收集系统的管道密闭，加强废气收集可从源头上有效减少无组织废气的产生量</w:t>
            </w:r>
            <w:r>
              <w:rPr>
                <w:rFonts w:hint="eastAsia"/>
                <w:bCs/>
                <w:sz w:val="24"/>
                <w:szCs w:val="24"/>
              </w:rPr>
              <w:t>。</w:t>
            </w:r>
          </w:p>
          <w:p w14:paraId="7601B890">
            <w:pPr>
              <w:spacing w:line="360" w:lineRule="auto"/>
              <w:ind w:firstLine="480" w:firstLineChars="200"/>
              <w:rPr>
                <w:bCs/>
                <w:sz w:val="24"/>
                <w:szCs w:val="24"/>
              </w:rPr>
            </w:pPr>
            <w:r>
              <w:rPr>
                <w:rFonts w:hint="eastAsia"/>
                <w:bCs/>
                <w:sz w:val="24"/>
                <w:szCs w:val="24"/>
              </w:rPr>
              <w:t>②</w:t>
            </w:r>
            <w:r>
              <w:rPr>
                <w:bCs/>
                <w:sz w:val="24"/>
                <w:szCs w:val="24"/>
              </w:rPr>
              <w:t>企业应切实做到废气收集措施安装及管理，合理设计送排风系统，确保废气设施有效收集废气，以减少无组织废气的排放。</w:t>
            </w:r>
          </w:p>
          <w:p w14:paraId="4A8601E6">
            <w:pPr>
              <w:spacing w:line="360" w:lineRule="auto"/>
              <w:ind w:firstLine="480" w:firstLineChars="200"/>
              <w:rPr>
                <w:bCs/>
                <w:sz w:val="24"/>
              </w:rPr>
            </w:pPr>
            <w:r>
              <w:rPr>
                <w:rFonts w:hint="eastAsia"/>
                <w:bCs/>
                <w:sz w:val="24"/>
                <w:szCs w:val="24"/>
              </w:rPr>
              <w:t>③</w:t>
            </w:r>
            <w:r>
              <w:rPr>
                <w:bCs/>
                <w:sz w:val="24"/>
                <w:szCs w:val="24"/>
              </w:rPr>
              <w:t>加强生产管理，规范操作，使设备</w:t>
            </w:r>
            <w:r>
              <w:rPr>
                <w:bCs/>
                <w:sz w:val="24"/>
              </w:rPr>
              <w:t>设施处于正常工作状态，减少生产、控制、输送等过程中的废气散发。</w:t>
            </w:r>
          </w:p>
          <w:p w14:paraId="41D9AE7D">
            <w:pPr>
              <w:pStyle w:val="141"/>
              <w:spacing w:line="360" w:lineRule="auto"/>
              <w:ind w:firstLine="480" w:firstLineChars="200"/>
              <w:rPr>
                <w:bCs/>
                <w:sz w:val="24"/>
              </w:rPr>
            </w:pPr>
            <w:r>
              <w:rPr>
                <w:rFonts w:hint="eastAsia" w:ascii="宋体" w:hAnsi="宋体" w:eastAsia="宋体" w:cs="宋体"/>
                <w:sz w:val="24"/>
                <w:szCs w:val="24"/>
              </w:rPr>
              <w:t>④</w:t>
            </w:r>
            <w:r>
              <w:rPr>
                <w:rFonts w:hint="eastAsia" w:ascii="Times New Roman"/>
                <w:sz w:val="24"/>
                <w:szCs w:val="24"/>
              </w:rPr>
              <w:t>生产设备设置于封闭车间内，生产时除必要通风口外保持封闭，保证有组织废气收集效率。</w:t>
            </w:r>
          </w:p>
          <w:p w14:paraId="4C27D81F">
            <w:pPr>
              <w:adjustRightInd w:val="0"/>
              <w:snapToGrid w:val="0"/>
              <w:spacing w:line="360" w:lineRule="auto"/>
              <w:ind w:firstLine="480" w:firstLineChars="200"/>
              <w:outlineLvl w:val="2"/>
              <w:rPr>
                <w:rFonts w:hint="eastAsia"/>
                <w:sz w:val="24"/>
              </w:rPr>
            </w:pPr>
            <w:r>
              <w:rPr>
                <w:bCs/>
                <w:sz w:val="24"/>
              </w:rPr>
              <w:t>通过以上措施无组织</w:t>
            </w:r>
            <w:r>
              <w:rPr>
                <w:rFonts w:hint="eastAsia"/>
                <w:kern w:val="0"/>
                <w:sz w:val="24"/>
                <w:lang w:bidi="ar"/>
              </w:rPr>
              <w:t>非甲烷总烃</w:t>
            </w:r>
            <w:r>
              <w:rPr>
                <w:kern w:val="0"/>
                <w:sz w:val="24"/>
                <w:lang w:bidi="ar"/>
              </w:rPr>
              <w:t>的排放</w:t>
            </w:r>
            <w:r>
              <w:rPr>
                <w:rFonts w:hint="eastAsia"/>
                <w:kern w:val="0"/>
                <w:sz w:val="24"/>
                <w:lang w:bidi="ar"/>
              </w:rPr>
              <w:t>能够达到</w:t>
            </w:r>
            <w:r>
              <w:rPr>
                <w:rFonts w:hint="eastAsia"/>
                <w:color w:val="auto"/>
                <w:kern w:val="0"/>
                <w:sz w:val="24"/>
                <w:szCs w:val="24"/>
              </w:rPr>
              <w:t>《合成树脂工业污染物排放标准》（GB31572-2015）</w:t>
            </w:r>
            <w:r>
              <w:rPr>
                <w:kern w:val="0"/>
                <w:sz w:val="24"/>
                <w:lang w:bidi="ar"/>
              </w:rPr>
              <w:t>中无组织排放监控浓度限值</w:t>
            </w:r>
            <w:r>
              <w:rPr>
                <w:rFonts w:hint="eastAsia"/>
                <w:kern w:val="0"/>
                <w:sz w:val="24"/>
                <w:lang w:bidi="ar"/>
              </w:rPr>
              <w:t>，</w:t>
            </w:r>
            <w:r>
              <w:rPr>
                <w:sz w:val="24"/>
              </w:rPr>
              <w:t>厂区内有机废气无组织排放</w:t>
            </w:r>
            <w:r>
              <w:rPr>
                <w:rFonts w:hint="eastAsia"/>
                <w:sz w:val="24"/>
              </w:rPr>
              <w:t>能够达到</w:t>
            </w:r>
            <w:r>
              <w:rPr>
                <w:rFonts w:hint="eastAsia" w:ascii="Times New Roman" w:hAnsi="Times New Roman" w:cs="Times New Roman"/>
                <w:kern w:val="0"/>
                <w:sz w:val="24"/>
                <w:szCs w:val="24"/>
                <w:lang w:val="en-US" w:eastAsia="zh-CN"/>
              </w:rPr>
              <w:t>《固定源挥发性有机物综合排放标准，第6部分：其他行业》（DB34/4812.6-2024）表4</w:t>
            </w:r>
            <w:r>
              <w:rPr>
                <w:sz w:val="24"/>
              </w:rPr>
              <w:t>中排放限值</w:t>
            </w:r>
            <w:r>
              <w:rPr>
                <w:rFonts w:hint="eastAsia"/>
                <w:sz w:val="24"/>
              </w:rPr>
              <w:t>。</w:t>
            </w:r>
          </w:p>
          <w:p w14:paraId="39C437A0">
            <w:pPr>
              <w:numPr>
                <w:ilvl w:val="0"/>
                <w:numId w:val="0"/>
              </w:numPr>
              <w:adjustRightInd w:val="0"/>
              <w:snapToGrid w:val="0"/>
              <w:spacing w:line="360" w:lineRule="auto"/>
              <w:ind w:firstLine="482" w:firstLineChars="200"/>
              <w:outlineLvl w:val="2"/>
              <w:rPr>
                <w:rFonts w:hint="eastAsia" w:ascii="Times New Roman"/>
                <w:b/>
                <w:bCs/>
                <w:sz w:val="24"/>
                <w:szCs w:val="24"/>
              </w:rPr>
            </w:pPr>
            <w:r>
              <w:rPr>
                <w:rFonts w:hint="eastAsia"/>
                <w:b/>
                <w:bCs/>
                <w:sz w:val="24"/>
                <w:szCs w:val="24"/>
                <w:lang w:val="en-US" w:eastAsia="zh-CN"/>
              </w:rPr>
              <w:t>3</w:t>
            </w:r>
            <w:r>
              <w:rPr>
                <w:rFonts w:hint="eastAsia" w:ascii="Times New Roman"/>
                <w:b/>
                <w:bCs/>
                <w:sz w:val="24"/>
                <w:szCs w:val="24"/>
                <w:lang w:val="en-US" w:eastAsia="zh-CN"/>
              </w:rPr>
              <w:t>、</w:t>
            </w:r>
            <w:r>
              <w:rPr>
                <w:rFonts w:hint="eastAsia" w:ascii="Times New Roman"/>
                <w:b/>
                <w:bCs/>
                <w:sz w:val="24"/>
                <w:szCs w:val="24"/>
              </w:rPr>
              <w:t>废气非正常工况分析</w:t>
            </w:r>
          </w:p>
          <w:p w14:paraId="2B94B25A">
            <w:pPr>
              <w:numPr>
                <w:ilvl w:val="0"/>
                <w:numId w:val="0"/>
              </w:numPr>
              <w:adjustRightInd w:val="0"/>
              <w:snapToGrid w:val="0"/>
              <w:spacing w:line="360" w:lineRule="auto"/>
              <w:ind w:firstLine="480" w:firstLineChars="200"/>
              <w:outlineLvl w:val="2"/>
              <w:rPr>
                <w:rFonts w:hint="eastAsia" w:ascii="Times New Roman"/>
                <w:b/>
                <w:bCs/>
                <w:sz w:val="24"/>
                <w:szCs w:val="24"/>
              </w:rPr>
            </w:pPr>
            <w:r>
              <w:rPr>
                <w:rFonts w:ascii="Times New Roman"/>
                <w:sz w:val="24"/>
                <w:szCs w:val="24"/>
              </w:rPr>
              <w:t>废气非正常工况排放是指生产车间废气治理措施运行出现事故，达不到设计要求时的处理效率。拟建项目可能发生废气事故排放的环节主要考虑为废气处理设施失效。本次评价对在事故状态下排放的</w:t>
            </w:r>
            <w:r>
              <w:rPr>
                <w:rFonts w:hint="eastAsia" w:ascii="Times New Roman"/>
                <w:sz w:val="24"/>
                <w:szCs w:val="24"/>
              </w:rPr>
              <w:t>废气</w:t>
            </w:r>
            <w:r>
              <w:rPr>
                <w:rFonts w:ascii="Times New Roman"/>
                <w:sz w:val="24"/>
                <w:szCs w:val="24"/>
              </w:rPr>
              <w:t>浓度进行情景假设。本项目非正常工况排放考虑最不利情况，</w:t>
            </w:r>
            <w:r>
              <w:rPr>
                <w:rFonts w:hint="eastAsia" w:ascii="Times New Roman"/>
                <w:sz w:val="24"/>
                <w:szCs w:val="24"/>
              </w:rPr>
              <w:t>即</w:t>
            </w:r>
            <w:r>
              <w:rPr>
                <w:rFonts w:ascii="Times New Roman"/>
                <w:sz w:val="24"/>
                <w:szCs w:val="24"/>
              </w:rPr>
              <w:t>项目所有废气处理净化效率</w:t>
            </w:r>
            <w:r>
              <w:rPr>
                <w:rFonts w:hint="eastAsia" w:ascii="Times New Roman"/>
                <w:sz w:val="24"/>
                <w:szCs w:val="24"/>
                <w:lang w:val="en-US" w:eastAsia="zh-CN"/>
              </w:rPr>
              <w:t>降低到50</w:t>
            </w:r>
            <w:r>
              <w:rPr>
                <w:rFonts w:ascii="Times New Roman"/>
                <w:sz w:val="24"/>
                <w:szCs w:val="24"/>
              </w:rPr>
              <w:t>%。项目非正常工况下污染物排放量见下表</w:t>
            </w:r>
            <w:r>
              <w:rPr>
                <w:rFonts w:hint="eastAsia" w:ascii="Times New Roman"/>
                <w:sz w:val="24"/>
                <w:szCs w:val="24"/>
                <w:lang w:eastAsia="zh-CN"/>
              </w:rPr>
              <w:t>。</w:t>
            </w:r>
          </w:p>
          <w:p w14:paraId="5E0FABDE">
            <w:pPr>
              <w:pStyle w:val="141"/>
              <w:numPr>
                <w:ilvl w:val="0"/>
                <w:numId w:val="13"/>
              </w:numPr>
              <w:spacing w:line="240" w:lineRule="auto"/>
              <w:ind w:left="0" w:leftChars="0" w:firstLine="0" w:firstLineChars="0"/>
              <w:jc w:val="center"/>
              <w:rPr>
                <w:rFonts w:hint="eastAsia" w:ascii="Times New Roman"/>
                <w:b/>
                <w:bCs/>
                <w:sz w:val="24"/>
                <w:szCs w:val="24"/>
              </w:rPr>
            </w:pPr>
            <w:r>
              <w:rPr>
                <w:rFonts w:hint="eastAsia" w:ascii="Times New Roman"/>
                <w:b/>
                <w:bCs/>
                <w:sz w:val="24"/>
                <w:szCs w:val="24"/>
              </w:rPr>
              <w:t>非正常排放情况各排气筒排放情况</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456"/>
              <w:gridCol w:w="1292"/>
              <w:gridCol w:w="1253"/>
              <w:gridCol w:w="1253"/>
              <w:gridCol w:w="1253"/>
              <w:gridCol w:w="1253"/>
            </w:tblGrid>
            <w:tr w14:paraId="4A8F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14:paraId="6A51089C">
                  <w:pPr>
                    <w:pStyle w:val="141"/>
                    <w:spacing w:line="240" w:lineRule="auto"/>
                    <w:ind w:firstLine="0"/>
                    <w:jc w:val="center"/>
                    <w:rPr>
                      <w:rFonts w:ascii="Times New Roman"/>
                      <w:sz w:val="21"/>
                      <w:szCs w:val="21"/>
                    </w:rPr>
                  </w:pPr>
                  <w:r>
                    <w:rPr>
                      <w:rFonts w:hint="eastAsia" w:ascii="Times New Roman"/>
                      <w:sz w:val="21"/>
                      <w:szCs w:val="21"/>
                    </w:rPr>
                    <w:t>排放口编号</w:t>
                  </w:r>
                </w:p>
              </w:tc>
              <w:tc>
                <w:tcPr>
                  <w:tcW w:w="826" w:type="pct"/>
                  <w:noWrap w:val="0"/>
                  <w:vAlign w:val="center"/>
                </w:tcPr>
                <w:p w14:paraId="6B3C2777">
                  <w:pPr>
                    <w:pStyle w:val="141"/>
                    <w:spacing w:line="240" w:lineRule="auto"/>
                    <w:ind w:firstLine="0"/>
                    <w:jc w:val="center"/>
                    <w:rPr>
                      <w:rFonts w:ascii="Times New Roman"/>
                      <w:sz w:val="21"/>
                      <w:szCs w:val="21"/>
                    </w:rPr>
                  </w:pPr>
                  <w:r>
                    <w:rPr>
                      <w:rFonts w:hint="eastAsia" w:ascii="Times New Roman"/>
                      <w:sz w:val="21"/>
                      <w:szCs w:val="21"/>
                    </w:rPr>
                    <w:t>污染物</w:t>
                  </w:r>
                </w:p>
              </w:tc>
              <w:tc>
                <w:tcPr>
                  <w:tcW w:w="733" w:type="pct"/>
                  <w:noWrap w:val="0"/>
                  <w:vAlign w:val="center"/>
                </w:tcPr>
                <w:p w14:paraId="40D40D47">
                  <w:pPr>
                    <w:pStyle w:val="141"/>
                    <w:spacing w:line="240" w:lineRule="auto"/>
                    <w:ind w:firstLine="0"/>
                    <w:jc w:val="center"/>
                    <w:rPr>
                      <w:rFonts w:ascii="Times New Roman"/>
                      <w:sz w:val="21"/>
                      <w:szCs w:val="21"/>
                    </w:rPr>
                  </w:pPr>
                  <w:r>
                    <w:rPr>
                      <w:rFonts w:hint="eastAsia" w:ascii="Times New Roman"/>
                      <w:sz w:val="21"/>
                      <w:szCs w:val="21"/>
                    </w:rPr>
                    <w:t>排放浓度（mg/m</w:t>
                  </w:r>
                  <w:r>
                    <w:rPr>
                      <w:rFonts w:hint="eastAsia" w:ascii="Times New Roman"/>
                      <w:sz w:val="21"/>
                      <w:szCs w:val="21"/>
                      <w:vertAlign w:val="superscript"/>
                    </w:rPr>
                    <w:t>3</w:t>
                  </w:r>
                  <w:r>
                    <w:rPr>
                      <w:rFonts w:hint="eastAsia" w:ascii="Times New Roman"/>
                      <w:sz w:val="21"/>
                      <w:szCs w:val="21"/>
                    </w:rPr>
                    <w:t>）</w:t>
                  </w:r>
                </w:p>
              </w:tc>
              <w:tc>
                <w:tcPr>
                  <w:tcW w:w="711" w:type="pct"/>
                  <w:noWrap w:val="0"/>
                  <w:vAlign w:val="center"/>
                </w:tcPr>
                <w:p w14:paraId="50C928D6">
                  <w:pPr>
                    <w:pStyle w:val="141"/>
                    <w:spacing w:line="240" w:lineRule="auto"/>
                    <w:ind w:firstLine="0"/>
                    <w:jc w:val="center"/>
                    <w:rPr>
                      <w:rFonts w:ascii="Times New Roman"/>
                      <w:sz w:val="21"/>
                      <w:szCs w:val="21"/>
                    </w:rPr>
                  </w:pPr>
                  <w:r>
                    <w:rPr>
                      <w:rFonts w:hint="eastAsia" w:ascii="Times New Roman"/>
                      <w:sz w:val="21"/>
                      <w:szCs w:val="21"/>
                    </w:rPr>
                    <w:t>排放速率（kg/h）</w:t>
                  </w:r>
                </w:p>
              </w:tc>
              <w:tc>
                <w:tcPr>
                  <w:tcW w:w="711" w:type="pct"/>
                  <w:noWrap w:val="0"/>
                  <w:vAlign w:val="center"/>
                </w:tcPr>
                <w:p w14:paraId="49C2E22D">
                  <w:pPr>
                    <w:pStyle w:val="141"/>
                    <w:spacing w:line="240" w:lineRule="auto"/>
                    <w:ind w:firstLine="0"/>
                    <w:jc w:val="center"/>
                    <w:rPr>
                      <w:rFonts w:ascii="Times New Roman"/>
                      <w:sz w:val="21"/>
                      <w:szCs w:val="21"/>
                    </w:rPr>
                  </w:pPr>
                  <w:r>
                    <w:rPr>
                      <w:rFonts w:hint="eastAsia" w:ascii="Times New Roman"/>
                      <w:sz w:val="21"/>
                      <w:szCs w:val="21"/>
                    </w:rPr>
                    <w:t>持续时间</w:t>
                  </w:r>
                </w:p>
              </w:tc>
              <w:tc>
                <w:tcPr>
                  <w:tcW w:w="711" w:type="pct"/>
                  <w:noWrap w:val="0"/>
                  <w:vAlign w:val="center"/>
                </w:tcPr>
                <w:p w14:paraId="052A0915">
                  <w:pPr>
                    <w:pStyle w:val="141"/>
                    <w:spacing w:line="240" w:lineRule="auto"/>
                    <w:ind w:firstLine="0"/>
                    <w:jc w:val="center"/>
                    <w:rPr>
                      <w:rFonts w:ascii="Times New Roman"/>
                      <w:sz w:val="21"/>
                      <w:szCs w:val="21"/>
                    </w:rPr>
                  </w:pPr>
                  <w:r>
                    <w:rPr>
                      <w:rFonts w:hint="eastAsia" w:ascii="Times New Roman"/>
                      <w:sz w:val="21"/>
                      <w:szCs w:val="21"/>
                    </w:rPr>
                    <w:t>频次</w:t>
                  </w:r>
                </w:p>
              </w:tc>
              <w:tc>
                <w:tcPr>
                  <w:tcW w:w="711" w:type="pct"/>
                  <w:noWrap w:val="0"/>
                  <w:vAlign w:val="center"/>
                </w:tcPr>
                <w:p w14:paraId="0317CACF">
                  <w:pPr>
                    <w:pStyle w:val="141"/>
                    <w:spacing w:line="240" w:lineRule="auto"/>
                    <w:ind w:firstLine="0"/>
                    <w:jc w:val="center"/>
                    <w:rPr>
                      <w:rFonts w:ascii="Times New Roman"/>
                      <w:sz w:val="21"/>
                      <w:szCs w:val="21"/>
                    </w:rPr>
                  </w:pPr>
                  <w:r>
                    <w:rPr>
                      <w:rFonts w:hint="eastAsia" w:ascii="Times New Roman"/>
                      <w:sz w:val="21"/>
                      <w:szCs w:val="21"/>
                    </w:rPr>
                    <w:t>排放量（kg）</w:t>
                  </w:r>
                </w:p>
              </w:tc>
            </w:tr>
            <w:tr w14:paraId="1747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14:paraId="0E131953">
                  <w:pPr>
                    <w:pStyle w:val="141"/>
                    <w:spacing w:line="240" w:lineRule="auto"/>
                    <w:ind w:firstLine="0"/>
                    <w:jc w:val="center"/>
                    <w:rPr>
                      <w:rFonts w:ascii="Times New Roman"/>
                      <w:sz w:val="21"/>
                      <w:szCs w:val="21"/>
                    </w:rPr>
                  </w:pPr>
                  <w:r>
                    <w:rPr>
                      <w:rFonts w:hint="eastAsia" w:ascii="Times New Roman"/>
                      <w:sz w:val="21"/>
                      <w:szCs w:val="21"/>
                    </w:rPr>
                    <w:t>DA001</w:t>
                  </w:r>
                </w:p>
              </w:tc>
              <w:tc>
                <w:tcPr>
                  <w:tcW w:w="826" w:type="pct"/>
                  <w:noWrap w:val="0"/>
                  <w:vAlign w:val="center"/>
                </w:tcPr>
                <w:p w14:paraId="6C2CBDC9">
                  <w:pPr>
                    <w:pStyle w:val="141"/>
                    <w:spacing w:line="240" w:lineRule="auto"/>
                    <w:ind w:firstLine="0"/>
                    <w:jc w:val="center"/>
                    <w:rPr>
                      <w:rFonts w:ascii="Times New Roman"/>
                      <w:sz w:val="21"/>
                      <w:szCs w:val="21"/>
                    </w:rPr>
                  </w:pPr>
                  <w:r>
                    <w:rPr>
                      <w:rFonts w:hint="eastAsia" w:ascii="Times New Roman"/>
                      <w:sz w:val="21"/>
                      <w:szCs w:val="21"/>
                    </w:rPr>
                    <w:t>非甲烷总烃</w:t>
                  </w:r>
                </w:p>
              </w:tc>
              <w:tc>
                <w:tcPr>
                  <w:tcW w:w="733" w:type="pct"/>
                  <w:noWrap w:val="0"/>
                  <w:vAlign w:val="center"/>
                </w:tcPr>
                <w:p w14:paraId="1585D112">
                  <w:pPr>
                    <w:pStyle w:val="141"/>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141</w:t>
                  </w:r>
                </w:p>
              </w:tc>
              <w:tc>
                <w:tcPr>
                  <w:tcW w:w="711" w:type="pct"/>
                  <w:noWrap w:val="0"/>
                  <w:vAlign w:val="center"/>
                </w:tcPr>
                <w:p w14:paraId="698C8B2C">
                  <w:pPr>
                    <w:pStyle w:val="141"/>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0.705</w:t>
                  </w:r>
                </w:p>
              </w:tc>
              <w:tc>
                <w:tcPr>
                  <w:tcW w:w="711" w:type="pct"/>
                  <w:noWrap w:val="0"/>
                  <w:vAlign w:val="center"/>
                </w:tcPr>
                <w:p w14:paraId="533581B4">
                  <w:pPr>
                    <w:pStyle w:val="141"/>
                    <w:spacing w:line="240" w:lineRule="auto"/>
                    <w:ind w:firstLine="0"/>
                    <w:jc w:val="center"/>
                    <w:rPr>
                      <w:rFonts w:ascii="Times New Roman"/>
                      <w:sz w:val="21"/>
                      <w:szCs w:val="21"/>
                    </w:rPr>
                  </w:pPr>
                  <w:r>
                    <w:rPr>
                      <w:rFonts w:hint="eastAsia" w:ascii="Times New Roman"/>
                      <w:sz w:val="21"/>
                      <w:szCs w:val="21"/>
                    </w:rPr>
                    <w:t>1h</w:t>
                  </w:r>
                </w:p>
              </w:tc>
              <w:tc>
                <w:tcPr>
                  <w:tcW w:w="711" w:type="pct"/>
                  <w:noWrap w:val="0"/>
                  <w:vAlign w:val="center"/>
                </w:tcPr>
                <w:p w14:paraId="214C0D0F">
                  <w:pPr>
                    <w:pStyle w:val="141"/>
                    <w:spacing w:line="240" w:lineRule="auto"/>
                    <w:ind w:firstLine="0"/>
                    <w:jc w:val="center"/>
                    <w:rPr>
                      <w:rFonts w:hint="eastAsia" w:ascii="Times New Roman"/>
                      <w:sz w:val="21"/>
                      <w:szCs w:val="21"/>
                    </w:rPr>
                  </w:pPr>
                  <w:r>
                    <w:rPr>
                      <w:rFonts w:hint="eastAsia" w:ascii="Times New Roman"/>
                      <w:sz w:val="21"/>
                      <w:szCs w:val="21"/>
                    </w:rPr>
                    <w:t>1次/年</w:t>
                  </w:r>
                </w:p>
              </w:tc>
              <w:tc>
                <w:tcPr>
                  <w:tcW w:w="711" w:type="pct"/>
                  <w:noWrap w:val="0"/>
                  <w:vAlign w:val="center"/>
                </w:tcPr>
                <w:p w14:paraId="0EC24E36">
                  <w:pPr>
                    <w:pStyle w:val="141"/>
                    <w:spacing w:line="240" w:lineRule="auto"/>
                    <w:ind w:firstLine="0"/>
                    <w:jc w:val="center"/>
                    <w:rPr>
                      <w:rFonts w:hint="default" w:ascii="Times New Roman" w:eastAsia="宋体"/>
                      <w:sz w:val="21"/>
                      <w:szCs w:val="21"/>
                      <w:lang w:val="en-US" w:eastAsia="zh-CN"/>
                    </w:rPr>
                  </w:pPr>
                  <w:r>
                    <w:rPr>
                      <w:rFonts w:hint="eastAsia" w:ascii="Times New Roman"/>
                      <w:sz w:val="21"/>
                      <w:szCs w:val="21"/>
                      <w:lang w:val="en-US" w:eastAsia="zh-CN"/>
                    </w:rPr>
                    <w:t>0.705</w:t>
                  </w:r>
                </w:p>
              </w:tc>
            </w:tr>
          </w:tbl>
          <w:p w14:paraId="5B32714B">
            <w:pPr>
              <w:adjustRightInd w:val="0"/>
              <w:snapToGrid w:val="0"/>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sz w:val="24"/>
              </w:rPr>
              <w:t>由上表可知</w:t>
            </w:r>
            <w:r>
              <w:rPr>
                <w:rFonts w:ascii="Times New Roman" w:hAnsi="Times New Roman" w:eastAsia="宋体" w:cs="Times New Roman"/>
                <w:bCs/>
                <w:color w:val="auto"/>
                <w:sz w:val="24"/>
                <w:highlight w:val="none"/>
              </w:rPr>
              <w:t>，非正常工况下</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非甲烷总烃排放浓度超标</w:t>
            </w:r>
            <w:r>
              <w:rPr>
                <w:rFonts w:ascii="Times New Roman" w:hAnsi="Times New Roman" w:eastAsia="宋体" w:cs="Times New Roman"/>
                <w:bCs/>
                <w:color w:val="auto"/>
                <w:sz w:val="24"/>
              </w:rPr>
              <w:t>。为防止生产废气非正常工况排放，企业必须加强废气处理设施的管理，定期检修，确保废气处理设施正常运行，在废气处理设施停止运行或出现故障时，产生废气的各工序也必须相应停止生产。为杜绝废气非正常排放，应采取以下措施确保废气达标排放：</w:t>
            </w:r>
          </w:p>
          <w:p w14:paraId="66EB19C0">
            <w:pPr>
              <w:numPr>
                <w:ilvl w:val="0"/>
                <w:numId w:val="0"/>
              </w:numPr>
              <w:tabs>
                <w:tab w:val="left" w:pos="420"/>
              </w:tabs>
              <w:adjustRightInd w:val="0"/>
              <w:snapToGrid w:val="0"/>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kern w:val="2"/>
                <w:sz w:val="24"/>
                <w:szCs w:val="24"/>
                <w:lang w:val="en-US" w:eastAsia="zh-CN" w:bidi="ar-SA"/>
              </w:rPr>
              <w:t>（1）</w:t>
            </w:r>
            <w:r>
              <w:rPr>
                <w:rFonts w:ascii="Times New Roman" w:hAnsi="Times New Roman" w:eastAsia="宋体" w:cs="Times New Roman"/>
                <w:bCs/>
                <w:color w:val="auto"/>
                <w:sz w:val="24"/>
              </w:rPr>
              <w:t>安排专人负责环保设备的日常维护和管理，每隔固定时间检查、汇报情况，及时发现废气处理设备的隐患，确保废气处理系统正常运行；</w:t>
            </w:r>
          </w:p>
          <w:p w14:paraId="4F7F10CC">
            <w:pPr>
              <w:numPr>
                <w:ilvl w:val="0"/>
                <w:numId w:val="0"/>
              </w:numPr>
              <w:tabs>
                <w:tab w:val="left" w:pos="420"/>
              </w:tabs>
              <w:adjustRightInd w:val="0"/>
              <w:snapToGrid w:val="0"/>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kern w:val="2"/>
                <w:sz w:val="24"/>
                <w:szCs w:val="24"/>
                <w:lang w:val="en-US" w:eastAsia="zh-CN" w:bidi="ar-SA"/>
              </w:rPr>
              <w:t>（2）</w:t>
            </w:r>
            <w:r>
              <w:rPr>
                <w:rFonts w:ascii="Times New Roman" w:hAnsi="Times New Roman" w:eastAsia="宋体" w:cs="Times New Roman"/>
                <w:bCs/>
                <w:color w:val="auto"/>
                <w:sz w:val="24"/>
              </w:rPr>
              <w:t>建立健全的环保管理机构，对环保管理人员和技术人员进行岗位培训，委托具有专业资质的环境检测单位对项目排放的各类污染物进行定期检测；</w:t>
            </w:r>
          </w:p>
          <w:p w14:paraId="07B6B9EE">
            <w:pPr>
              <w:numPr>
                <w:ilvl w:val="0"/>
                <w:numId w:val="0"/>
              </w:numPr>
              <w:tabs>
                <w:tab w:val="left" w:pos="420"/>
              </w:tabs>
              <w:adjustRightInd w:val="0"/>
              <w:snapToGrid w:val="0"/>
              <w:spacing w:line="360"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bCs/>
                <w:color w:val="auto"/>
                <w:kern w:val="2"/>
                <w:sz w:val="24"/>
                <w:szCs w:val="24"/>
                <w:lang w:val="en-US" w:eastAsia="zh-CN" w:bidi="ar-SA"/>
              </w:rPr>
              <w:t>（3）</w:t>
            </w:r>
            <w:r>
              <w:rPr>
                <w:rFonts w:ascii="Times New Roman" w:hAnsi="Times New Roman" w:eastAsia="宋体" w:cs="Times New Roman"/>
                <w:bCs/>
                <w:color w:val="auto"/>
                <w:sz w:val="24"/>
              </w:rPr>
              <w:t>应定期维修、检修废气净化装置，以保持废气处理装置的净化能力和净化容量；</w:t>
            </w:r>
          </w:p>
          <w:p w14:paraId="21D2F8BB">
            <w:pPr>
              <w:numPr>
                <w:ilvl w:val="0"/>
                <w:numId w:val="0"/>
              </w:numPr>
              <w:tabs>
                <w:tab w:val="left" w:pos="420"/>
              </w:tabs>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kern w:val="2"/>
                <w:sz w:val="24"/>
                <w:szCs w:val="24"/>
                <w:lang w:val="en-US" w:eastAsia="zh-CN" w:bidi="ar-SA"/>
              </w:rPr>
              <w:t>（4）</w:t>
            </w:r>
            <w:r>
              <w:rPr>
                <w:rFonts w:ascii="Times New Roman" w:hAnsi="Times New Roman" w:eastAsia="宋体" w:cs="Times New Roman"/>
                <w:bCs/>
                <w:color w:val="auto"/>
                <w:kern w:val="2"/>
                <w:sz w:val="24"/>
                <w:szCs w:val="24"/>
                <w:lang w:val="en-US" w:eastAsia="zh-CN" w:bidi="ar-SA"/>
              </w:rPr>
              <w:t>生</w:t>
            </w:r>
            <w:r>
              <w:rPr>
                <w:rFonts w:ascii="Times New Roman" w:hAnsi="Times New Roman" w:eastAsia="宋体" w:cs="Times New Roman"/>
                <w:bCs/>
                <w:color w:val="auto"/>
                <w:sz w:val="24"/>
              </w:rPr>
              <w:t>产加工前开启相应的废气处理设备，生产停止一段时间后再关闭相应废气处理设施，杜绝废气突然排放的情况。</w:t>
            </w:r>
          </w:p>
          <w:p w14:paraId="6AACF74F">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4、大气污染物排放量汇总</w:t>
            </w:r>
          </w:p>
          <w:p w14:paraId="5B655484">
            <w:pPr>
              <w:numPr>
                <w:ilvl w:val="0"/>
                <w:numId w:val="13"/>
              </w:numPr>
              <w:snapToGrid w:val="0"/>
              <w:ind w:left="0" w:leftChars="0" w:firstLine="0"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大气污染物有组织排放量核算表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1"/>
              <w:gridCol w:w="1342"/>
              <w:gridCol w:w="1748"/>
              <w:gridCol w:w="1599"/>
              <w:gridCol w:w="1490"/>
              <w:gridCol w:w="1604"/>
            </w:tblGrid>
            <w:tr w14:paraId="16F7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80" w:type="pct"/>
                  <w:noWrap w:val="0"/>
                  <w:tcMar>
                    <w:top w:w="15" w:type="dxa"/>
                    <w:left w:w="15" w:type="dxa"/>
                    <w:right w:w="15" w:type="dxa"/>
                  </w:tcMar>
                  <w:vAlign w:val="center"/>
                </w:tcPr>
                <w:p w14:paraId="5D3B57C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序号</w:t>
                  </w:r>
                </w:p>
              </w:tc>
              <w:tc>
                <w:tcPr>
                  <w:tcW w:w="762" w:type="pct"/>
                  <w:noWrap w:val="0"/>
                  <w:tcMar>
                    <w:top w:w="15" w:type="dxa"/>
                    <w:left w:w="15" w:type="dxa"/>
                    <w:right w:w="15" w:type="dxa"/>
                  </w:tcMar>
                  <w:vAlign w:val="center"/>
                </w:tcPr>
                <w:p w14:paraId="1109FCAB">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排放口编号</w:t>
                  </w:r>
                </w:p>
              </w:tc>
              <w:tc>
                <w:tcPr>
                  <w:tcW w:w="993" w:type="pct"/>
                  <w:noWrap w:val="0"/>
                  <w:tcMar>
                    <w:top w:w="15" w:type="dxa"/>
                    <w:left w:w="15" w:type="dxa"/>
                    <w:right w:w="15" w:type="dxa"/>
                  </w:tcMar>
                  <w:vAlign w:val="center"/>
                </w:tcPr>
                <w:p w14:paraId="48F757E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污染物</w:t>
                  </w:r>
                </w:p>
              </w:tc>
              <w:tc>
                <w:tcPr>
                  <w:tcW w:w="908" w:type="pct"/>
                  <w:noWrap w:val="0"/>
                  <w:tcMar>
                    <w:top w:w="15" w:type="dxa"/>
                    <w:left w:w="15" w:type="dxa"/>
                    <w:right w:w="15" w:type="dxa"/>
                  </w:tcMar>
                  <w:vAlign w:val="center"/>
                </w:tcPr>
                <w:p w14:paraId="581D7167">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kern w:val="0"/>
                      <w:highlight w:val="none"/>
                      <w:lang w:bidi="ar"/>
                    </w:rPr>
                    <w:t>核算排放浓度</w:t>
                  </w:r>
                </w:p>
                <w:p w14:paraId="3F0E2883">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/（mg/m</w:t>
                  </w:r>
                  <w:r>
                    <w:rPr>
                      <w:rFonts w:hint="default" w:ascii="Times New Roman" w:hAnsi="Times New Roman" w:eastAsia="宋体" w:cs="Times New Roman"/>
                      <w:color w:val="auto"/>
                      <w:kern w:val="0"/>
                      <w:highlight w:val="none"/>
                      <w:vertAlign w:val="superscript"/>
                      <w:lang w:bidi="ar"/>
                    </w:rPr>
                    <w:t>3</w:t>
                  </w:r>
                  <w:r>
                    <w:rPr>
                      <w:rFonts w:hint="default" w:ascii="Times New Roman" w:hAnsi="Times New Roman" w:eastAsia="宋体" w:cs="Times New Roman"/>
                      <w:color w:val="auto"/>
                      <w:kern w:val="0"/>
                      <w:highlight w:val="none"/>
                      <w:lang w:bidi="ar"/>
                    </w:rPr>
                    <w:t>）</w:t>
                  </w:r>
                </w:p>
              </w:tc>
              <w:tc>
                <w:tcPr>
                  <w:tcW w:w="846" w:type="pct"/>
                  <w:noWrap w:val="0"/>
                  <w:tcMar>
                    <w:top w:w="15" w:type="dxa"/>
                    <w:left w:w="15" w:type="dxa"/>
                    <w:right w:w="15" w:type="dxa"/>
                  </w:tcMar>
                  <w:vAlign w:val="center"/>
                </w:tcPr>
                <w:p w14:paraId="1505734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核算排放速率/（kg/h）</w:t>
                  </w:r>
                </w:p>
              </w:tc>
              <w:tc>
                <w:tcPr>
                  <w:tcW w:w="909" w:type="pct"/>
                  <w:noWrap w:val="0"/>
                  <w:tcMar>
                    <w:top w:w="15" w:type="dxa"/>
                    <w:left w:w="15" w:type="dxa"/>
                    <w:right w:w="15" w:type="dxa"/>
                  </w:tcMar>
                  <w:vAlign w:val="center"/>
                </w:tcPr>
                <w:p w14:paraId="01B402A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核算年排放量/（t/a）</w:t>
                  </w:r>
                </w:p>
              </w:tc>
            </w:tr>
            <w:tr w14:paraId="124B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00" w:type="pct"/>
                  <w:gridSpan w:val="6"/>
                  <w:noWrap w:val="0"/>
                  <w:tcMar>
                    <w:top w:w="15" w:type="dxa"/>
                    <w:left w:w="15" w:type="dxa"/>
                    <w:right w:w="15" w:type="dxa"/>
                  </w:tcMar>
                  <w:vAlign w:val="center"/>
                </w:tcPr>
                <w:p w14:paraId="430292D0">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主要排放口</w:t>
                  </w:r>
                </w:p>
              </w:tc>
            </w:tr>
            <w:tr w14:paraId="0177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80" w:type="pct"/>
                  <w:noWrap w:val="0"/>
                  <w:tcMar>
                    <w:top w:w="15" w:type="dxa"/>
                    <w:left w:w="15" w:type="dxa"/>
                    <w:right w:w="15" w:type="dxa"/>
                  </w:tcMar>
                  <w:vAlign w:val="center"/>
                </w:tcPr>
                <w:p w14:paraId="165CD5C9">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1</w:t>
                  </w:r>
                </w:p>
              </w:tc>
              <w:tc>
                <w:tcPr>
                  <w:tcW w:w="762" w:type="pct"/>
                  <w:noWrap w:val="0"/>
                  <w:tcMar>
                    <w:top w:w="15" w:type="dxa"/>
                    <w:left w:w="15" w:type="dxa"/>
                    <w:right w:w="15" w:type="dxa"/>
                  </w:tcMar>
                  <w:vAlign w:val="center"/>
                </w:tcPr>
                <w:p w14:paraId="5A92F3AB">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w:t>
                  </w:r>
                </w:p>
              </w:tc>
              <w:tc>
                <w:tcPr>
                  <w:tcW w:w="993" w:type="pct"/>
                  <w:noWrap w:val="0"/>
                  <w:tcMar>
                    <w:top w:w="15" w:type="dxa"/>
                    <w:left w:w="15" w:type="dxa"/>
                    <w:right w:w="15" w:type="dxa"/>
                  </w:tcMar>
                  <w:vAlign w:val="center"/>
                </w:tcPr>
                <w:p w14:paraId="1F2F07C6">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w:t>
                  </w:r>
                </w:p>
              </w:tc>
              <w:tc>
                <w:tcPr>
                  <w:tcW w:w="908" w:type="pct"/>
                  <w:noWrap w:val="0"/>
                  <w:tcMar>
                    <w:top w:w="15" w:type="dxa"/>
                    <w:left w:w="15" w:type="dxa"/>
                    <w:right w:w="15" w:type="dxa"/>
                  </w:tcMar>
                  <w:vAlign w:val="center"/>
                </w:tcPr>
                <w:p w14:paraId="42D37AE4">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w:t>
                  </w:r>
                </w:p>
              </w:tc>
              <w:tc>
                <w:tcPr>
                  <w:tcW w:w="846" w:type="pct"/>
                  <w:noWrap w:val="0"/>
                  <w:tcMar>
                    <w:top w:w="15" w:type="dxa"/>
                    <w:left w:w="15" w:type="dxa"/>
                    <w:right w:w="15" w:type="dxa"/>
                  </w:tcMar>
                  <w:vAlign w:val="center"/>
                </w:tcPr>
                <w:p w14:paraId="042562F4">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w:t>
                  </w:r>
                </w:p>
              </w:tc>
              <w:tc>
                <w:tcPr>
                  <w:tcW w:w="909" w:type="pct"/>
                  <w:noWrap w:val="0"/>
                  <w:tcMar>
                    <w:top w:w="15" w:type="dxa"/>
                    <w:left w:w="15" w:type="dxa"/>
                    <w:right w:w="15" w:type="dxa"/>
                  </w:tcMar>
                  <w:vAlign w:val="center"/>
                </w:tcPr>
                <w:p w14:paraId="332CAC44">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w:t>
                  </w:r>
                </w:p>
              </w:tc>
            </w:tr>
            <w:tr w14:paraId="3007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42" w:type="pct"/>
                  <w:gridSpan w:val="2"/>
                  <w:noWrap w:val="0"/>
                  <w:tcMar>
                    <w:top w:w="15" w:type="dxa"/>
                    <w:left w:w="15" w:type="dxa"/>
                    <w:right w:w="15" w:type="dxa"/>
                  </w:tcMar>
                  <w:vAlign w:val="center"/>
                </w:tcPr>
                <w:p w14:paraId="3766360A">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主要排放口合计</w:t>
                  </w:r>
                </w:p>
              </w:tc>
              <w:tc>
                <w:tcPr>
                  <w:tcW w:w="2747" w:type="pct"/>
                  <w:gridSpan w:val="3"/>
                  <w:noWrap w:val="0"/>
                  <w:tcMar>
                    <w:top w:w="15" w:type="dxa"/>
                    <w:left w:w="15" w:type="dxa"/>
                    <w:right w:w="15" w:type="dxa"/>
                  </w:tcMar>
                  <w:vAlign w:val="center"/>
                </w:tcPr>
                <w:p w14:paraId="18FF25CA">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w:t>
                  </w:r>
                </w:p>
              </w:tc>
              <w:tc>
                <w:tcPr>
                  <w:tcW w:w="909" w:type="pct"/>
                  <w:noWrap w:val="0"/>
                  <w:tcMar>
                    <w:top w:w="15" w:type="dxa"/>
                    <w:left w:w="15" w:type="dxa"/>
                    <w:right w:w="15" w:type="dxa"/>
                  </w:tcMar>
                  <w:vAlign w:val="center"/>
                </w:tcPr>
                <w:p w14:paraId="34805033">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kern w:val="0"/>
                      <w:highlight w:val="none"/>
                      <w:lang w:bidi="ar"/>
                    </w:rPr>
                  </w:pPr>
                  <w:r>
                    <w:rPr>
                      <w:rFonts w:hint="default" w:ascii="Times New Roman" w:hAnsi="Times New Roman" w:eastAsia="宋体" w:cs="Times New Roman"/>
                      <w:color w:val="auto"/>
                      <w:kern w:val="0"/>
                      <w:highlight w:val="none"/>
                      <w:lang w:bidi="ar"/>
                    </w:rPr>
                    <w:t>/</w:t>
                  </w:r>
                </w:p>
              </w:tc>
            </w:tr>
            <w:tr w14:paraId="4FA5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00" w:type="pct"/>
                  <w:gridSpan w:val="6"/>
                  <w:noWrap w:val="0"/>
                  <w:tcMar>
                    <w:top w:w="15" w:type="dxa"/>
                    <w:left w:w="15" w:type="dxa"/>
                    <w:right w:w="15" w:type="dxa"/>
                  </w:tcMar>
                  <w:vAlign w:val="center"/>
                </w:tcPr>
                <w:p w14:paraId="49DE8150">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一般排放口</w:t>
                  </w:r>
                </w:p>
              </w:tc>
            </w:tr>
            <w:tr w14:paraId="30FA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80" w:type="pct"/>
                  <w:noWrap w:val="0"/>
                  <w:tcMar>
                    <w:top w:w="15" w:type="dxa"/>
                    <w:left w:w="15" w:type="dxa"/>
                    <w:right w:w="15" w:type="dxa"/>
                  </w:tcMar>
                  <w:vAlign w:val="center"/>
                </w:tcPr>
                <w:p w14:paraId="02067A3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62" w:type="pct"/>
                  <w:noWrap w:val="0"/>
                  <w:tcMar>
                    <w:top w:w="15" w:type="dxa"/>
                    <w:left w:w="15" w:type="dxa"/>
                    <w:right w:w="15" w:type="dxa"/>
                  </w:tcMar>
                  <w:vAlign w:val="center"/>
                </w:tcPr>
                <w:p w14:paraId="65D7F9C7">
                  <w:pPr>
                    <w:keepNext w:val="0"/>
                    <w:keepLines w:val="0"/>
                    <w:pageBreakBefore w:val="0"/>
                    <w:kinsoku/>
                    <w:wordWrap/>
                    <w:overflowPunct/>
                    <w:topLinePunct w:val="0"/>
                    <w:autoSpaceDE/>
                    <w:autoSpaceDN/>
                    <w:bidi w:val="0"/>
                    <w:spacing w:line="240" w:lineRule="auto"/>
                    <w:ind w:left="-63" w:leftChars="-30" w:right="-63" w:rightChars="-3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DA00</w:t>
                  </w:r>
                  <w:r>
                    <w:rPr>
                      <w:rFonts w:hint="eastAsia" w:ascii="Times New Roman" w:hAnsi="Times New Roman" w:eastAsia="宋体" w:cs="Times New Roman"/>
                      <w:color w:val="auto"/>
                      <w:highlight w:val="none"/>
                      <w:lang w:val="en-US" w:eastAsia="zh-CN"/>
                    </w:rPr>
                    <w:t>1</w:t>
                  </w:r>
                </w:p>
              </w:tc>
              <w:tc>
                <w:tcPr>
                  <w:tcW w:w="993" w:type="pct"/>
                  <w:noWrap w:val="0"/>
                  <w:tcMar>
                    <w:top w:w="15" w:type="dxa"/>
                    <w:left w:w="15" w:type="dxa"/>
                    <w:right w:w="15" w:type="dxa"/>
                  </w:tcMar>
                  <w:vAlign w:val="center"/>
                </w:tcPr>
                <w:p w14:paraId="0D48F667">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rPr>
                    <w:t>非甲烷总烃</w:t>
                  </w:r>
                </w:p>
              </w:tc>
              <w:tc>
                <w:tcPr>
                  <w:tcW w:w="1513" w:type="dxa"/>
                  <w:noWrap w:val="0"/>
                  <w:tcMar>
                    <w:top w:w="15" w:type="dxa"/>
                    <w:left w:w="15" w:type="dxa"/>
                    <w:right w:w="15" w:type="dxa"/>
                  </w:tcMar>
                  <w:vAlign w:val="center"/>
                </w:tcPr>
                <w:p w14:paraId="2462BA1D">
                  <w:pPr>
                    <w:widowControl/>
                    <w:ind w:left="-84" w:leftChars="-40" w:right="-84" w:rightChars="-4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000000"/>
                      <w:szCs w:val="21"/>
                      <w:lang w:val="en-US" w:eastAsia="zh-CN"/>
                    </w:rPr>
                    <w:t>28.2</w:t>
                  </w:r>
                </w:p>
              </w:tc>
              <w:tc>
                <w:tcPr>
                  <w:tcW w:w="1410" w:type="dxa"/>
                  <w:noWrap w:val="0"/>
                  <w:tcMar>
                    <w:top w:w="15" w:type="dxa"/>
                    <w:left w:w="15" w:type="dxa"/>
                    <w:right w:w="15" w:type="dxa"/>
                  </w:tcMar>
                  <w:vAlign w:val="center"/>
                </w:tcPr>
                <w:p w14:paraId="253CF246">
                  <w:pPr>
                    <w:widowControl/>
                    <w:ind w:left="-84" w:leftChars="-40" w:right="-84" w:rightChars="-4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000000"/>
                      <w:szCs w:val="21"/>
                      <w:lang w:val="en-US" w:eastAsia="zh-CN"/>
                    </w:rPr>
                    <w:t>0.141</w:t>
                  </w:r>
                </w:p>
              </w:tc>
              <w:tc>
                <w:tcPr>
                  <w:tcW w:w="1518" w:type="dxa"/>
                  <w:noWrap w:val="0"/>
                  <w:tcMar>
                    <w:top w:w="15" w:type="dxa"/>
                    <w:left w:w="15" w:type="dxa"/>
                    <w:right w:w="15" w:type="dxa"/>
                  </w:tcMar>
                  <w:vAlign w:val="center"/>
                </w:tcPr>
                <w:p w14:paraId="4D5E20E6">
                  <w:pPr>
                    <w:widowControl/>
                    <w:ind w:left="-84" w:leftChars="-40" w:right="-84" w:rightChars="-4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000000"/>
                      <w:szCs w:val="21"/>
                      <w:lang w:val="en-US" w:eastAsia="zh-CN"/>
                    </w:rPr>
                    <w:t>0.3384</w:t>
                  </w:r>
                </w:p>
              </w:tc>
            </w:tr>
            <w:tr w14:paraId="30A9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42" w:type="pct"/>
                  <w:gridSpan w:val="2"/>
                  <w:noWrap w:val="0"/>
                  <w:tcMar>
                    <w:top w:w="15" w:type="dxa"/>
                    <w:left w:w="15" w:type="dxa"/>
                    <w:right w:w="15" w:type="dxa"/>
                  </w:tcMar>
                  <w:vAlign w:val="center"/>
                </w:tcPr>
                <w:p w14:paraId="0C719A4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bidi="ar"/>
                    </w:rPr>
                    <w:t>一般</w:t>
                  </w:r>
                  <w:r>
                    <w:rPr>
                      <w:rFonts w:hint="default" w:ascii="Times New Roman" w:hAnsi="Times New Roman" w:eastAsia="宋体" w:cs="Times New Roman"/>
                      <w:color w:val="auto"/>
                      <w:kern w:val="0"/>
                      <w:highlight w:val="none"/>
                      <w:lang w:bidi="ar"/>
                    </w:rPr>
                    <w:t>排放口合计</w:t>
                  </w:r>
                </w:p>
              </w:tc>
              <w:tc>
                <w:tcPr>
                  <w:tcW w:w="2747" w:type="pct"/>
                  <w:gridSpan w:val="3"/>
                  <w:noWrap w:val="0"/>
                  <w:tcMar>
                    <w:top w:w="15" w:type="dxa"/>
                    <w:left w:w="15" w:type="dxa"/>
                    <w:right w:w="15" w:type="dxa"/>
                  </w:tcMar>
                  <w:vAlign w:val="center"/>
                </w:tcPr>
                <w:p w14:paraId="682456D0">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非甲烷总烃</w:t>
                  </w:r>
                </w:p>
              </w:tc>
              <w:tc>
                <w:tcPr>
                  <w:tcW w:w="909" w:type="pct"/>
                  <w:noWrap w:val="0"/>
                  <w:tcMar>
                    <w:top w:w="15" w:type="dxa"/>
                    <w:left w:w="15" w:type="dxa"/>
                    <w:right w:w="15" w:type="dxa"/>
                  </w:tcMar>
                  <w:vAlign w:val="center"/>
                </w:tcPr>
                <w:p w14:paraId="3CDD4FAB">
                  <w:pPr>
                    <w:keepNext w:val="0"/>
                    <w:keepLines w:val="0"/>
                    <w:widowControl/>
                    <w:suppressLineNumbers w:val="0"/>
                    <w:jc w:val="center"/>
                    <w:textAlignment w:val="center"/>
                    <w:rPr>
                      <w:rFonts w:hint="default" w:ascii="Times New Roman" w:hAnsi="Times New Roman" w:eastAsia="宋体" w:cs="Times New Roman"/>
                      <w:bCs/>
                      <w:color w:val="auto"/>
                      <w:highlight w:val="none"/>
                      <w:lang w:val="en-US" w:eastAsia="zh-CN"/>
                    </w:rPr>
                  </w:pPr>
                  <w:r>
                    <w:rPr>
                      <w:rFonts w:hint="eastAsia" w:eastAsia="宋体"/>
                      <w:color w:val="000000"/>
                      <w:szCs w:val="21"/>
                      <w:lang w:val="en-US" w:eastAsia="zh-CN"/>
                    </w:rPr>
                    <w:t>0.3384</w:t>
                  </w:r>
                </w:p>
              </w:tc>
            </w:tr>
            <w:tr w14:paraId="6934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5000" w:type="pct"/>
                  <w:gridSpan w:val="6"/>
                  <w:noWrap w:val="0"/>
                  <w:tcMar>
                    <w:top w:w="15" w:type="dxa"/>
                    <w:left w:w="15" w:type="dxa"/>
                    <w:right w:w="15" w:type="dxa"/>
                  </w:tcMar>
                  <w:vAlign w:val="center"/>
                </w:tcPr>
                <w:p w14:paraId="620E5A0E">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有组织排放总计</w:t>
                  </w:r>
                </w:p>
              </w:tc>
            </w:tr>
            <w:tr w14:paraId="244D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42" w:type="pct"/>
                  <w:gridSpan w:val="2"/>
                  <w:noWrap w:val="0"/>
                  <w:tcMar>
                    <w:top w:w="15" w:type="dxa"/>
                    <w:left w:w="15" w:type="dxa"/>
                    <w:right w:w="15" w:type="dxa"/>
                  </w:tcMar>
                  <w:vAlign w:val="center"/>
                </w:tcPr>
                <w:p w14:paraId="201B9926">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lang w:bidi="ar"/>
                    </w:rPr>
                    <w:t>有组织排放总计</w:t>
                  </w:r>
                </w:p>
              </w:tc>
              <w:tc>
                <w:tcPr>
                  <w:tcW w:w="2747" w:type="pct"/>
                  <w:gridSpan w:val="3"/>
                  <w:noWrap w:val="0"/>
                  <w:tcMar>
                    <w:top w:w="15" w:type="dxa"/>
                    <w:left w:w="15" w:type="dxa"/>
                    <w:right w:w="15" w:type="dxa"/>
                  </w:tcMar>
                  <w:vAlign w:val="center"/>
                </w:tcPr>
                <w:p w14:paraId="29950187">
                  <w:pPr>
                    <w:keepNext w:val="0"/>
                    <w:keepLines w:val="0"/>
                    <w:pageBreakBefore w:val="0"/>
                    <w:widowControl/>
                    <w:kinsoku/>
                    <w:wordWrap/>
                    <w:overflowPunct/>
                    <w:topLinePunct w:val="0"/>
                    <w:autoSpaceDE/>
                    <w:autoSpaceDN/>
                    <w:bidi w:val="0"/>
                    <w:spacing w:line="240" w:lineRule="auto"/>
                    <w:ind w:left="-63" w:leftChars="-30" w:right="-63" w:rightChars="-30"/>
                    <w:jc w:val="center"/>
                    <w:textAlignment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rPr>
                    <w:t>非甲烷总烃</w:t>
                  </w:r>
                </w:p>
              </w:tc>
              <w:tc>
                <w:tcPr>
                  <w:tcW w:w="909" w:type="pct"/>
                  <w:noWrap w:val="0"/>
                  <w:tcMar>
                    <w:top w:w="15" w:type="dxa"/>
                    <w:left w:w="15" w:type="dxa"/>
                    <w:right w:w="15" w:type="dxa"/>
                  </w:tcMar>
                  <w:vAlign w:val="center"/>
                </w:tcPr>
                <w:p w14:paraId="2D117D6C">
                  <w:pPr>
                    <w:keepNext w:val="0"/>
                    <w:keepLines w:val="0"/>
                    <w:widowControl/>
                    <w:suppressLineNumbers w:val="0"/>
                    <w:jc w:val="center"/>
                    <w:textAlignment w:val="center"/>
                    <w:rPr>
                      <w:rFonts w:hint="default" w:ascii="Times New Roman" w:hAnsi="Times New Roman" w:eastAsia="宋体" w:cs="Times New Roman"/>
                      <w:bCs/>
                      <w:color w:val="auto"/>
                      <w:highlight w:val="none"/>
                    </w:rPr>
                  </w:pPr>
                  <w:r>
                    <w:rPr>
                      <w:rFonts w:hint="eastAsia" w:eastAsia="宋体"/>
                      <w:color w:val="000000"/>
                      <w:szCs w:val="21"/>
                      <w:lang w:val="en-US" w:eastAsia="zh-CN"/>
                    </w:rPr>
                    <w:t>0.3384</w:t>
                  </w:r>
                </w:p>
              </w:tc>
            </w:tr>
          </w:tbl>
          <w:p w14:paraId="2496AB42">
            <w:pPr>
              <w:keepNext w:val="0"/>
              <w:keepLines w:val="0"/>
              <w:pageBreakBefore w:val="0"/>
              <w:widowControl w:val="0"/>
              <w:numPr>
                <w:ilvl w:val="0"/>
                <w:numId w:val="13"/>
              </w:numPr>
              <w:kinsoku/>
              <w:wordWrap/>
              <w:overflowPunct/>
              <w:topLinePunct w:val="0"/>
              <w:autoSpaceDE/>
              <w:autoSpaceDN/>
              <w:bidi w:val="0"/>
              <w:adjustRightInd/>
              <w:snapToGrid w:val="0"/>
              <w:spacing w:before="157" w:beforeLines="50"/>
              <w:ind w:left="0" w:leftChars="0" w:firstLine="0" w:firstLineChars="0"/>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大气污染物无组织排放量核算表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644"/>
              <w:gridCol w:w="750"/>
              <w:gridCol w:w="822"/>
              <w:gridCol w:w="2021"/>
              <w:gridCol w:w="2124"/>
              <w:gridCol w:w="1083"/>
              <w:gridCol w:w="920"/>
            </w:tblGrid>
            <w:tr w14:paraId="30DA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250" w:type="pct"/>
                  <w:vMerge w:val="restart"/>
                  <w:noWrap w:val="0"/>
                  <w:vAlign w:val="center"/>
                </w:tcPr>
                <w:p w14:paraId="4262D15C">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366" w:type="pct"/>
                  <w:vMerge w:val="restart"/>
                  <w:noWrap w:val="0"/>
                  <w:vAlign w:val="center"/>
                </w:tcPr>
                <w:p w14:paraId="0450D940">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排放口编号</w:t>
                  </w:r>
                </w:p>
              </w:tc>
              <w:tc>
                <w:tcPr>
                  <w:tcW w:w="426" w:type="pct"/>
                  <w:vMerge w:val="restart"/>
                  <w:noWrap w:val="0"/>
                  <w:vAlign w:val="center"/>
                </w:tcPr>
                <w:p w14:paraId="703B7B57">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产污环节</w:t>
                  </w:r>
                </w:p>
              </w:tc>
              <w:tc>
                <w:tcPr>
                  <w:tcW w:w="466" w:type="pct"/>
                  <w:vMerge w:val="restart"/>
                  <w:noWrap w:val="0"/>
                  <w:vAlign w:val="center"/>
                </w:tcPr>
                <w:p w14:paraId="25E129CB">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w:t>
                  </w:r>
                </w:p>
              </w:tc>
              <w:tc>
                <w:tcPr>
                  <w:tcW w:w="1148" w:type="pct"/>
                  <w:vMerge w:val="restart"/>
                  <w:noWrap w:val="0"/>
                  <w:vAlign w:val="center"/>
                </w:tcPr>
                <w:p w14:paraId="5CB2749E">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主要污染防治措施</w:t>
                  </w:r>
                </w:p>
              </w:tc>
              <w:tc>
                <w:tcPr>
                  <w:tcW w:w="1821" w:type="pct"/>
                  <w:gridSpan w:val="2"/>
                  <w:noWrap w:val="0"/>
                  <w:vAlign w:val="center"/>
                </w:tcPr>
                <w:p w14:paraId="3C15E3E2">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国家或地方污染物排放标准</w:t>
                  </w:r>
                </w:p>
              </w:tc>
              <w:tc>
                <w:tcPr>
                  <w:tcW w:w="520" w:type="pct"/>
                  <w:vMerge w:val="restart"/>
                  <w:noWrap w:val="0"/>
                  <w:vAlign w:val="center"/>
                </w:tcPr>
                <w:p w14:paraId="26DF536E">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年排放量(t/a)</w:t>
                  </w:r>
                </w:p>
              </w:tc>
            </w:tr>
            <w:tr w14:paraId="33A6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tblHeader/>
                <w:jc w:val="center"/>
              </w:trPr>
              <w:tc>
                <w:tcPr>
                  <w:tcW w:w="250" w:type="pct"/>
                  <w:vMerge w:val="continue"/>
                  <w:noWrap w:val="0"/>
                  <w:vAlign w:val="center"/>
                </w:tcPr>
                <w:p w14:paraId="2ECF9C84">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p>
              </w:tc>
              <w:tc>
                <w:tcPr>
                  <w:tcW w:w="366" w:type="pct"/>
                  <w:vMerge w:val="continue"/>
                  <w:noWrap w:val="0"/>
                  <w:vAlign w:val="center"/>
                </w:tcPr>
                <w:p w14:paraId="5C019810">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p>
              </w:tc>
              <w:tc>
                <w:tcPr>
                  <w:tcW w:w="426" w:type="pct"/>
                  <w:vMerge w:val="continue"/>
                  <w:noWrap w:val="0"/>
                  <w:vAlign w:val="center"/>
                </w:tcPr>
                <w:p w14:paraId="399BD9D7">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p>
              </w:tc>
              <w:tc>
                <w:tcPr>
                  <w:tcW w:w="466" w:type="pct"/>
                  <w:vMerge w:val="continue"/>
                  <w:noWrap w:val="0"/>
                  <w:vAlign w:val="center"/>
                </w:tcPr>
                <w:p w14:paraId="58D69F9A">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p>
              </w:tc>
              <w:tc>
                <w:tcPr>
                  <w:tcW w:w="1148" w:type="pct"/>
                  <w:vMerge w:val="continue"/>
                  <w:noWrap w:val="0"/>
                  <w:vAlign w:val="center"/>
                </w:tcPr>
                <w:p w14:paraId="77E4A89E">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p>
              </w:tc>
              <w:tc>
                <w:tcPr>
                  <w:tcW w:w="1205" w:type="pct"/>
                  <w:noWrap w:val="0"/>
                  <w:vAlign w:val="center"/>
                </w:tcPr>
                <w:p w14:paraId="570BF290">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标准名称</w:t>
                  </w:r>
                </w:p>
              </w:tc>
              <w:tc>
                <w:tcPr>
                  <w:tcW w:w="615" w:type="pct"/>
                  <w:noWrap w:val="0"/>
                  <w:vAlign w:val="center"/>
                </w:tcPr>
                <w:p w14:paraId="0659BCD9">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浓度限值(mg/m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p>
              </w:tc>
              <w:tc>
                <w:tcPr>
                  <w:tcW w:w="520" w:type="pct"/>
                  <w:vMerge w:val="continue"/>
                  <w:noWrap w:val="0"/>
                  <w:vAlign w:val="center"/>
                </w:tcPr>
                <w:p w14:paraId="030E2619">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p>
              </w:tc>
            </w:tr>
            <w:tr w14:paraId="784E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tblHeader/>
                <w:jc w:val="center"/>
              </w:trPr>
              <w:tc>
                <w:tcPr>
                  <w:tcW w:w="250" w:type="pct"/>
                  <w:noWrap w:val="0"/>
                  <w:vAlign w:val="center"/>
                </w:tcPr>
                <w:p w14:paraId="1C39EDCD">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66" w:type="pct"/>
                  <w:noWrap w:val="0"/>
                  <w:vAlign w:val="center"/>
                </w:tcPr>
                <w:p w14:paraId="2120FE34">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A1</w:t>
                  </w:r>
                </w:p>
              </w:tc>
              <w:tc>
                <w:tcPr>
                  <w:tcW w:w="426" w:type="pct"/>
                  <w:noWrap w:val="0"/>
                  <w:vAlign w:val="center"/>
                </w:tcPr>
                <w:p w14:paraId="2B00EFB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车间</w:t>
                  </w:r>
                </w:p>
              </w:tc>
              <w:tc>
                <w:tcPr>
                  <w:tcW w:w="466" w:type="pct"/>
                  <w:noWrap w:val="0"/>
                  <w:vAlign w:val="center"/>
                </w:tcPr>
                <w:p w14:paraId="64E9EE03">
                  <w:pPr>
                    <w:keepNext w:val="0"/>
                    <w:keepLines w:val="0"/>
                    <w:pageBreakBefore w:val="0"/>
                    <w:kinsoku/>
                    <w:wordWrap/>
                    <w:overflowPunct/>
                    <w:topLinePunct w:val="0"/>
                    <w:autoSpaceDE w:val="0"/>
                    <w:autoSpaceDN w:val="0"/>
                    <w:bidi w:val="0"/>
                    <w:adjustRightIn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highlight w:val="none"/>
                      <w:lang w:val="en-US" w:eastAsia="zh-CN"/>
                    </w:rPr>
                    <w:t>非甲烷总烃</w:t>
                  </w:r>
                </w:p>
              </w:tc>
              <w:tc>
                <w:tcPr>
                  <w:tcW w:w="1148" w:type="pct"/>
                  <w:noWrap w:val="0"/>
                  <w:vAlign w:val="center"/>
                </w:tcPr>
                <w:p w14:paraId="3BB7B143">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废气收集处理后排放，加强厂区绿化</w:t>
                  </w:r>
                </w:p>
              </w:tc>
              <w:tc>
                <w:tcPr>
                  <w:tcW w:w="1205" w:type="pct"/>
                  <w:noWrap w:val="0"/>
                  <w:vAlign w:val="center"/>
                </w:tcPr>
                <w:p w14:paraId="6B7D9E3F">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合成树脂工业污染物排放标准</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GB31572-2015</w:t>
                  </w:r>
                  <w:r>
                    <w:rPr>
                      <w:rFonts w:hint="eastAsia" w:ascii="Times New Roman" w:hAnsi="Times New Roman" w:eastAsia="宋体" w:cs="Times New Roman"/>
                      <w:kern w:val="0"/>
                      <w:sz w:val="21"/>
                      <w:szCs w:val="21"/>
                      <w:lang w:eastAsia="zh-CN"/>
                    </w:rPr>
                    <w:t>）</w:t>
                  </w:r>
                </w:p>
              </w:tc>
              <w:tc>
                <w:tcPr>
                  <w:tcW w:w="615" w:type="pct"/>
                  <w:noWrap w:val="0"/>
                  <w:vAlign w:val="center"/>
                </w:tcPr>
                <w:p w14:paraId="3F61BA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w:t>
                  </w:r>
                </w:p>
              </w:tc>
              <w:tc>
                <w:tcPr>
                  <w:tcW w:w="520" w:type="pct"/>
                  <w:noWrap w:val="0"/>
                  <w:vAlign w:val="center"/>
                </w:tcPr>
                <w:p w14:paraId="27976983">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0.376</w:t>
                  </w:r>
                </w:p>
              </w:tc>
            </w:tr>
            <w:tr w14:paraId="368B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tblHeader/>
                <w:jc w:val="center"/>
              </w:trPr>
              <w:tc>
                <w:tcPr>
                  <w:tcW w:w="5000" w:type="pct"/>
                  <w:gridSpan w:val="8"/>
                  <w:noWrap w:val="0"/>
                  <w:vAlign w:val="center"/>
                </w:tcPr>
                <w:p w14:paraId="102E8FD1">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无组织排放总计</w:t>
                  </w:r>
                </w:p>
              </w:tc>
            </w:tr>
            <w:tr w14:paraId="5889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blHeader/>
                <w:jc w:val="center"/>
              </w:trPr>
              <w:tc>
                <w:tcPr>
                  <w:tcW w:w="1509" w:type="pct"/>
                  <w:gridSpan w:val="4"/>
                  <w:noWrap w:val="0"/>
                  <w:vAlign w:val="center"/>
                </w:tcPr>
                <w:p w14:paraId="0F68BE5D">
                  <w:pPr>
                    <w:keepNext w:val="0"/>
                    <w:keepLines w:val="0"/>
                    <w:pageBreakBefore w:val="0"/>
                    <w:widowControl/>
                    <w:kinsoku/>
                    <w:wordWrap/>
                    <w:overflowPunct/>
                    <w:topLinePunct w:val="0"/>
                    <w:bidi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无组织排放总计</w:t>
                  </w:r>
                </w:p>
              </w:tc>
              <w:tc>
                <w:tcPr>
                  <w:tcW w:w="2354" w:type="pct"/>
                  <w:gridSpan w:val="2"/>
                  <w:noWrap w:val="0"/>
                  <w:vAlign w:val="center"/>
                </w:tcPr>
                <w:p w14:paraId="2CB17EEF">
                  <w:pPr>
                    <w:keepNext w:val="0"/>
                    <w:keepLines w:val="0"/>
                    <w:pageBreakBefore w:val="0"/>
                    <w:widowControl/>
                    <w:kinsoku/>
                    <w:wordWrap/>
                    <w:overflowPunct/>
                    <w:topLinePunct w:val="0"/>
                    <w:bidi w:val="0"/>
                    <w:spacing w:line="240" w:lineRule="auto"/>
                    <w:jc w:val="center"/>
                    <w:textAlignment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kern w:val="0"/>
                      <w:highlight w:val="none"/>
                      <w:lang w:val="en-US" w:eastAsia="zh-CN"/>
                    </w:rPr>
                    <w:t>非甲烷总烃</w:t>
                  </w:r>
                </w:p>
              </w:tc>
              <w:tc>
                <w:tcPr>
                  <w:tcW w:w="1135" w:type="pct"/>
                  <w:gridSpan w:val="2"/>
                  <w:noWrap w:val="0"/>
                  <w:vAlign w:val="center"/>
                </w:tcPr>
                <w:p w14:paraId="3F268002">
                  <w:pPr>
                    <w:keepNext w:val="0"/>
                    <w:keepLines w:val="0"/>
                    <w:pageBreakBefore w:val="0"/>
                    <w:widowControl/>
                    <w:suppressLineNumbers w:val="0"/>
                    <w:kinsoku/>
                    <w:wordWrap/>
                    <w:overflowPunct/>
                    <w:topLinePunct w:val="0"/>
                    <w:bidi w:val="0"/>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0.376</w:t>
                  </w:r>
                </w:p>
              </w:tc>
            </w:tr>
          </w:tbl>
          <w:p w14:paraId="68891F21">
            <w:pPr>
              <w:keepNext w:val="0"/>
              <w:keepLines w:val="0"/>
              <w:pageBreakBefore w:val="0"/>
              <w:widowControl w:val="0"/>
              <w:numPr>
                <w:ilvl w:val="0"/>
                <w:numId w:val="13"/>
              </w:numPr>
              <w:kinsoku/>
              <w:wordWrap/>
              <w:overflowPunct/>
              <w:topLinePunct w:val="0"/>
              <w:autoSpaceDE/>
              <w:autoSpaceDN/>
              <w:bidi w:val="0"/>
              <w:adjustRightInd/>
              <w:snapToGrid w:val="0"/>
              <w:spacing w:before="157" w:beforeLines="50"/>
              <w:ind w:left="0" w:leftChars="0" w:firstLine="0" w:firstLineChars="0"/>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大气污染物年排放量核算表</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3304"/>
              <w:gridCol w:w="3505"/>
            </w:tblGrid>
            <w:tr w14:paraId="4DB4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1927" w:type="dxa"/>
                  <w:noWrap w:val="0"/>
                  <w:vAlign w:val="center"/>
                </w:tcPr>
                <w:p w14:paraId="1C20109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序号</w:t>
                  </w:r>
                </w:p>
              </w:tc>
              <w:tc>
                <w:tcPr>
                  <w:tcW w:w="3197" w:type="dxa"/>
                  <w:noWrap w:val="0"/>
                  <w:vAlign w:val="center"/>
                </w:tcPr>
                <w:p w14:paraId="45377FA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污染物</w:t>
                  </w:r>
                </w:p>
              </w:tc>
              <w:tc>
                <w:tcPr>
                  <w:tcW w:w="3391" w:type="dxa"/>
                  <w:noWrap w:val="0"/>
                  <w:vAlign w:val="center"/>
                </w:tcPr>
                <w:p w14:paraId="5CD3AF1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年排放量/（t/a）</w:t>
                  </w:r>
                </w:p>
              </w:tc>
            </w:tr>
            <w:tr w14:paraId="18FE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7" w:type="dxa"/>
                  <w:noWrap w:val="0"/>
                  <w:vAlign w:val="center"/>
                </w:tcPr>
                <w:p w14:paraId="1EF630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kern w:val="0"/>
                      <w:sz w:val="22"/>
                      <w:szCs w:val="22"/>
                      <w:highlight w:val="none"/>
                      <w:lang w:bidi="ar"/>
                    </w:rPr>
                    <w:t>1</w:t>
                  </w:r>
                </w:p>
              </w:tc>
              <w:tc>
                <w:tcPr>
                  <w:tcW w:w="3197" w:type="dxa"/>
                  <w:noWrap w:val="0"/>
                  <w:vAlign w:val="center"/>
                </w:tcPr>
                <w:p w14:paraId="2F8E1397">
                  <w:pPr>
                    <w:keepNext w:val="0"/>
                    <w:keepLines w:val="0"/>
                    <w:pageBreakBefore w:val="0"/>
                    <w:widowControl/>
                    <w:kinsoku/>
                    <w:wordWrap/>
                    <w:overflowPunct/>
                    <w:topLinePunct w:val="0"/>
                    <w:autoSpaceDE/>
                    <w:autoSpaceDN/>
                    <w:bidi w:val="0"/>
                    <w:adjustRightInd/>
                    <w:snapToGrid/>
                    <w:spacing w:line="240" w:lineRule="auto"/>
                    <w:ind w:left="-63" w:leftChars="-30" w:right="-63" w:rightChars="-30"/>
                    <w:jc w:val="center"/>
                    <w:textAlignment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highlight w:val="none"/>
                      <w:lang w:val="en-US" w:eastAsia="zh-CN"/>
                    </w:rPr>
                    <w:t>非甲烷总烃</w:t>
                  </w:r>
                </w:p>
              </w:tc>
              <w:tc>
                <w:tcPr>
                  <w:tcW w:w="3391" w:type="dxa"/>
                  <w:noWrap w:val="0"/>
                  <w:vAlign w:val="center"/>
                </w:tcPr>
                <w:p w14:paraId="49E4D199">
                  <w:pPr>
                    <w:keepNext w:val="0"/>
                    <w:keepLines w:val="0"/>
                    <w:widowControl/>
                    <w:suppressLineNumbers w:val="0"/>
                    <w:jc w:val="center"/>
                    <w:textAlignment w:val="center"/>
                    <w:rPr>
                      <w:rFonts w:hint="default" w:ascii="Times New Roman" w:hAnsi="Times New Roman" w:eastAsia="宋体" w:cs="Times New Roman"/>
                      <w:color w:val="auto"/>
                      <w:kern w:val="0"/>
                      <w:highlight w:val="none"/>
                      <w:lang w:val="en-US" w:eastAsia="zh-CN" w:bidi="ar"/>
                    </w:rPr>
                  </w:pPr>
                  <w:r>
                    <w:rPr>
                      <w:rFonts w:hint="eastAsia" w:ascii="Times New Roman" w:hAnsi="Times New Roman" w:eastAsia="宋体" w:cs="Times New Roman"/>
                      <w:color w:val="auto"/>
                      <w:kern w:val="0"/>
                      <w:highlight w:val="none"/>
                      <w:lang w:val="en-US" w:eastAsia="zh-CN" w:bidi="ar"/>
                    </w:rPr>
                    <w:t>0.7144</w:t>
                  </w:r>
                </w:p>
              </w:tc>
            </w:tr>
          </w:tbl>
          <w:p w14:paraId="6A5B8390">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jc w:val="both"/>
              <w:textAlignment w:val="auto"/>
              <w:rPr>
                <w:rFonts w:ascii="Times New Roman" w:hAnsi="Times New Roman" w:eastAsia="宋体" w:cs="Times New Roman"/>
                <w:b/>
                <w:color w:val="auto"/>
                <w:kern w:val="2"/>
                <w:sz w:val="24"/>
                <w:szCs w:val="24"/>
                <w:lang w:val="en-US" w:eastAsia="zh-CN" w:bidi="ar-SA"/>
              </w:rPr>
            </w:pPr>
            <w:r>
              <w:rPr>
                <w:rFonts w:hint="eastAsia" w:cs="Times New Roman"/>
                <w:b/>
                <w:color w:val="auto"/>
                <w:kern w:val="2"/>
                <w:sz w:val="24"/>
                <w:szCs w:val="24"/>
                <w:lang w:val="en-US" w:eastAsia="zh-CN" w:bidi="ar-SA"/>
              </w:rPr>
              <w:t>5</w:t>
            </w:r>
            <w:r>
              <w:rPr>
                <w:rFonts w:hint="eastAsia" w:ascii="Times New Roman" w:hAnsi="Times New Roman" w:eastAsia="宋体" w:cs="Times New Roman"/>
                <w:b/>
                <w:color w:val="auto"/>
                <w:kern w:val="2"/>
                <w:sz w:val="24"/>
                <w:szCs w:val="24"/>
                <w:lang w:val="en-US" w:eastAsia="zh-CN" w:bidi="ar-SA"/>
              </w:rPr>
              <w:t>、</w:t>
            </w:r>
            <w:r>
              <w:rPr>
                <w:rFonts w:ascii="Times New Roman" w:hAnsi="Times New Roman" w:eastAsia="宋体" w:cs="Times New Roman"/>
                <w:b/>
                <w:color w:val="auto"/>
                <w:kern w:val="2"/>
                <w:sz w:val="24"/>
                <w:szCs w:val="24"/>
                <w:lang w:val="en-US" w:eastAsia="zh-CN" w:bidi="ar-SA"/>
              </w:rPr>
              <w:t>废气</w:t>
            </w:r>
            <w:r>
              <w:rPr>
                <w:rFonts w:hint="eastAsia" w:ascii="Times New Roman" w:hAnsi="Times New Roman" w:eastAsia="宋体" w:cs="Times New Roman"/>
                <w:b/>
                <w:color w:val="auto"/>
                <w:kern w:val="2"/>
                <w:sz w:val="24"/>
                <w:szCs w:val="24"/>
                <w:lang w:val="en-US" w:eastAsia="zh-CN" w:bidi="ar-SA"/>
              </w:rPr>
              <w:t>排放</w:t>
            </w:r>
            <w:r>
              <w:rPr>
                <w:rFonts w:ascii="Times New Roman" w:hAnsi="Times New Roman" w:eastAsia="宋体" w:cs="Times New Roman"/>
                <w:b/>
                <w:color w:val="auto"/>
                <w:kern w:val="2"/>
                <w:sz w:val="24"/>
                <w:szCs w:val="24"/>
                <w:lang w:val="en-US" w:eastAsia="zh-CN" w:bidi="ar-SA"/>
              </w:rPr>
              <w:t>监测计划</w:t>
            </w:r>
          </w:p>
          <w:p w14:paraId="508E2E12">
            <w:pPr>
              <w:widowControl w:val="0"/>
              <w:adjustRightInd w:val="0"/>
              <w:spacing w:line="360" w:lineRule="auto"/>
              <w:ind w:firstLine="480" w:firstLineChars="200"/>
              <w:jc w:val="both"/>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根据</w:t>
            </w:r>
            <w:r>
              <w:rPr>
                <w:rFonts w:hint="default" w:ascii="Times New Roman" w:hAnsi="Times New Roman" w:eastAsia="宋体" w:cs="Times New Roman"/>
                <w:b w:val="0"/>
                <w:bCs w:val="0"/>
                <w:color w:val="auto"/>
                <w:kern w:val="0"/>
                <w:sz w:val="24"/>
                <w:szCs w:val="20"/>
                <w:lang w:val="en-US" w:eastAsia="zh-CN" w:bidi="ar-SA"/>
              </w:rPr>
              <w:t>《排污单位自行监测技术指南 橡胶和塑料制品》（HJ 1207-2021）</w:t>
            </w:r>
            <w:r>
              <w:rPr>
                <w:rFonts w:hint="default" w:ascii="Times New Roman" w:hAnsi="Times New Roman" w:eastAsia="宋体" w:cs="Times New Roman"/>
                <w:color w:val="auto"/>
                <w:kern w:val="0"/>
                <w:sz w:val="24"/>
                <w:szCs w:val="20"/>
                <w:lang w:val="en-US" w:eastAsia="zh-CN" w:bidi="ar-SA"/>
              </w:rPr>
              <w:t>中表4和表6中的相关要求</w:t>
            </w:r>
            <w:r>
              <w:rPr>
                <w:rFonts w:hint="default" w:ascii="Times New Roman" w:hAnsi="Times New Roman" w:eastAsia="宋体" w:cs="Times New Roman"/>
                <w:kern w:val="0"/>
                <w:sz w:val="24"/>
                <w:szCs w:val="24"/>
                <w:lang w:val="en-US" w:eastAsia="zh-CN" w:bidi="ar-SA"/>
              </w:rPr>
              <w:t>，制定以下监测计划。</w:t>
            </w:r>
          </w:p>
          <w:p w14:paraId="6DC60829">
            <w:pPr>
              <w:widowControl w:val="0"/>
              <w:numPr>
                <w:ilvl w:val="0"/>
                <w:numId w:val="13"/>
              </w:numPr>
              <w:adjustRightInd w:val="0"/>
              <w:spacing w:line="240" w:lineRule="auto"/>
              <w:ind w:left="0" w:leftChars="0" w:firstLine="0" w:firstLineChars="0"/>
              <w:jc w:val="center"/>
              <w:rPr>
                <w:rFonts w:hint="eastAsia"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本项目废气污染物</w:t>
            </w:r>
            <w:r>
              <w:rPr>
                <w:rFonts w:hint="eastAsia" w:ascii="Times New Roman" w:hAnsi="Times New Roman" w:eastAsia="宋体" w:cs="Times New Roman"/>
                <w:b/>
                <w:bCs/>
                <w:kern w:val="0"/>
                <w:sz w:val="24"/>
                <w:szCs w:val="24"/>
                <w:lang w:val="en-US" w:eastAsia="zh-CN" w:bidi="ar-SA"/>
              </w:rPr>
              <w:t>监测一览表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2336"/>
              <w:gridCol w:w="3289"/>
              <w:gridCol w:w="1592"/>
            </w:tblGrid>
            <w:tr w14:paraId="45A5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1" w:type="pct"/>
                  <w:noWrap w:val="0"/>
                  <w:vAlign w:val="center"/>
                </w:tcPr>
                <w:p w14:paraId="3247D10C">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项目</w:t>
                  </w:r>
                </w:p>
              </w:tc>
              <w:tc>
                <w:tcPr>
                  <w:tcW w:w="1326" w:type="pct"/>
                  <w:noWrap w:val="0"/>
                  <w:vAlign w:val="center"/>
                </w:tcPr>
                <w:p w14:paraId="0FDE24B8">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监测点位</w:t>
                  </w:r>
                </w:p>
              </w:tc>
              <w:tc>
                <w:tcPr>
                  <w:tcW w:w="1867" w:type="pct"/>
                  <w:noWrap w:val="0"/>
                  <w:vAlign w:val="center"/>
                </w:tcPr>
                <w:p w14:paraId="1B3E1803">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监测内容</w:t>
                  </w:r>
                </w:p>
              </w:tc>
              <w:tc>
                <w:tcPr>
                  <w:tcW w:w="904" w:type="pct"/>
                  <w:noWrap w:val="0"/>
                  <w:vAlign w:val="center"/>
                </w:tcPr>
                <w:p w14:paraId="474A6742">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监测频率</w:t>
                  </w:r>
                </w:p>
              </w:tc>
            </w:tr>
            <w:tr w14:paraId="4C61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vMerge w:val="restart"/>
                  <w:noWrap w:val="0"/>
                  <w:vAlign w:val="center"/>
                </w:tcPr>
                <w:p w14:paraId="0DA24499">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废气</w:t>
                  </w:r>
                </w:p>
              </w:tc>
              <w:tc>
                <w:tcPr>
                  <w:tcW w:w="1326" w:type="pct"/>
                  <w:noWrap w:val="0"/>
                  <w:vAlign w:val="center"/>
                </w:tcPr>
                <w:p w14:paraId="68908577">
                  <w:pPr>
                    <w:widowControl w:val="0"/>
                    <w:adjustRightInd w:val="0"/>
                    <w:spacing w:line="240" w:lineRule="auto"/>
                    <w:ind w:firstLine="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DA001</w:t>
                  </w:r>
                </w:p>
              </w:tc>
              <w:tc>
                <w:tcPr>
                  <w:tcW w:w="1867" w:type="pct"/>
                  <w:noWrap w:val="0"/>
                  <w:vAlign w:val="center"/>
                </w:tcPr>
                <w:p w14:paraId="1DECA648">
                  <w:pPr>
                    <w:widowControl w:val="0"/>
                    <w:adjustRightInd w:val="0"/>
                    <w:spacing w:line="240" w:lineRule="auto"/>
                    <w:ind w:firstLine="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非甲烷总烃</w:t>
                  </w:r>
                </w:p>
              </w:tc>
              <w:tc>
                <w:tcPr>
                  <w:tcW w:w="904" w:type="pct"/>
                  <w:noWrap w:val="0"/>
                  <w:vAlign w:val="center"/>
                </w:tcPr>
                <w:p w14:paraId="726CAD08">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1次/半年</w:t>
                  </w:r>
                </w:p>
              </w:tc>
            </w:tr>
            <w:tr w14:paraId="6709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pct"/>
                  <w:vMerge w:val="continue"/>
                  <w:noWrap w:val="0"/>
                  <w:vAlign w:val="center"/>
                </w:tcPr>
                <w:p w14:paraId="5FEEA117">
                  <w:pPr>
                    <w:widowControl w:val="0"/>
                    <w:adjustRightInd w:val="0"/>
                    <w:spacing w:line="240" w:lineRule="auto"/>
                    <w:ind w:firstLine="567"/>
                    <w:jc w:val="center"/>
                    <w:rPr>
                      <w:rFonts w:hint="eastAsia" w:ascii="Times New Roman" w:hAnsi="Times New Roman" w:eastAsia="宋体" w:cs="Times New Roman"/>
                      <w:kern w:val="0"/>
                      <w:sz w:val="21"/>
                      <w:szCs w:val="21"/>
                      <w:lang w:val="en-US" w:eastAsia="zh-CN" w:bidi="ar-SA"/>
                    </w:rPr>
                  </w:pPr>
                </w:p>
              </w:tc>
              <w:tc>
                <w:tcPr>
                  <w:tcW w:w="1326" w:type="pct"/>
                  <w:noWrap w:val="0"/>
                  <w:vAlign w:val="center"/>
                </w:tcPr>
                <w:p w14:paraId="412F9C7B">
                  <w:pPr>
                    <w:widowControl w:val="0"/>
                    <w:adjustRightInd w:val="0"/>
                    <w:spacing w:line="240" w:lineRule="auto"/>
                    <w:ind w:firstLine="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w:t>
                  </w:r>
                </w:p>
              </w:tc>
              <w:tc>
                <w:tcPr>
                  <w:tcW w:w="1867" w:type="pct"/>
                  <w:noWrap w:val="0"/>
                  <w:vAlign w:val="center"/>
                </w:tcPr>
                <w:p w14:paraId="0910B597">
                  <w:pPr>
                    <w:spacing w:line="240" w:lineRule="auto"/>
                    <w:ind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非甲烷总烃</w:t>
                  </w:r>
                </w:p>
              </w:tc>
              <w:tc>
                <w:tcPr>
                  <w:tcW w:w="904" w:type="pct"/>
                  <w:noWrap w:val="0"/>
                  <w:vAlign w:val="center"/>
                </w:tcPr>
                <w:p w14:paraId="2145FB73">
                  <w:pPr>
                    <w:widowControl w:val="0"/>
                    <w:adjustRightInd w:val="0"/>
                    <w:spacing w:line="240" w:lineRule="auto"/>
                    <w:ind w:firstLine="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1次/年</w:t>
                  </w:r>
                </w:p>
              </w:tc>
            </w:tr>
          </w:tbl>
          <w:p w14:paraId="10A68E1E">
            <w:pPr>
              <w:spacing w:line="360" w:lineRule="auto"/>
              <w:rPr>
                <w:b/>
                <w:color w:val="auto"/>
                <w:spacing w:val="4"/>
                <w:sz w:val="24"/>
              </w:rPr>
            </w:pPr>
            <w:r>
              <w:rPr>
                <w:b/>
                <w:color w:val="auto"/>
                <w:spacing w:val="4"/>
                <w:sz w:val="24"/>
              </w:rPr>
              <w:t>4.2废水环境影响及防治措施分析</w:t>
            </w:r>
          </w:p>
          <w:p w14:paraId="63DD1B2D">
            <w:pPr>
              <w:pStyle w:val="103"/>
              <w:ind w:firstLine="482"/>
              <w:jc w:val="both"/>
              <w:rPr>
                <w:b/>
                <w:sz w:val="24"/>
                <w:szCs w:val="24"/>
              </w:rPr>
            </w:pPr>
            <w:r>
              <w:rPr>
                <w:rFonts w:hint="eastAsia"/>
                <w:b/>
                <w:sz w:val="24"/>
                <w:szCs w:val="24"/>
              </w:rPr>
              <w:t>1、</w:t>
            </w:r>
            <w:r>
              <w:rPr>
                <w:b/>
                <w:sz w:val="24"/>
                <w:szCs w:val="24"/>
              </w:rPr>
              <w:t>废水排放情况及污染防治措施</w:t>
            </w:r>
          </w:p>
          <w:p w14:paraId="4F3D26E9">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本项目产生的废水主要包括循环冷却水和员工生活污水两类。</w:t>
            </w:r>
          </w:p>
          <w:p w14:paraId="0A61CD55">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①</w:t>
            </w:r>
            <w:r>
              <w:rPr>
                <w:rFonts w:hint="eastAsia" w:ascii="Times New Roman" w:hAnsi="Times New Roman" w:eastAsia="宋体" w:cs="Times New Roman"/>
                <w:bCs/>
                <w:color w:val="auto"/>
                <w:kern w:val="2"/>
                <w:sz w:val="24"/>
                <w:szCs w:val="24"/>
                <w:lang w:val="en-US" w:eastAsia="zh-CN" w:bidi="ar-SA"/>
              </w:rPr>
              <w:t>循环冷却水</w:t>
            </w:r>
          </w:p>
          <w:p w14:paraId="1F7A8FF3">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捆草网生产冷却工序使用冷却水，冷却水循环使用，定期补充，不外排。项目设置1台挤出机，挤出机自带冷却水槽，日常蒸发量约为0.02m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/d。</w:t>
            </w:r>
          </w:p>
          <w:p w14:paraId="04B4F60C">
            <w:pPr>
              <w:widowControl w:val="0"/>
              <w:adjustRightInd w:val="0"/>
              <w:snapToGrid w:val="0"/>
              <w:spacing w:line="360" w:lineRule="auto"/>
              <w:ind w:firstLine="480" w:firstLineChars="200"/>
              <w:jc w:val="left"/>
              <w:rPr>
                <w:rFonts w:hint="eastAsia" w:ascii="Times New Roman" w:hAnsi="Times New Roman" w:eastAsia="宋体" w:cs="Times New Roman"/>
                <w:bCs/>
                <w:color w:val="auto"/>
                <w:kern w:val="2"/>
                <w:sz w:val="24"/>
                <w:szCs w:val="24"/>
                <w:lang w:val="en-US" w:eastAsia="zh-CN" w:bidi="ar-SA"/>
              </w:rPr>
            </w:pPr>
            <w:r>
              <w:rPr>
                <w:rFonts w:hint="eastAsia" w:cs="Times New Roman"/>
                <w:bCs/>
                <w:color w:val="auto"/>
                <w:kern w:val="2"/>
                <w:sz w:val="24"/>
                <w:szCs w:val="24"/>
                <w:lang w:val="en-US" w:eastAsia="zh-CN" w:bidi="ar-SA"/>
              </w:rPr>
              <w:t>②</w:t>
            </w:r>
            <w:r>
              <w:rPr>
                <w:rFonts w:ascii="Times New Roman" w:hAnsi="Times New Roman" w:eastAsia="宋体" w:cs="Times New Roman"/>
                <w:bCs/>
                <w:color w:val="auto"/>
                <w:kern w:val="2"/>
                <w:sz w:val="24"/>
                <w:szCs w:val="24"/>
                <w:lang w:val="en-US" w:eastAsia="zh-CN" w:bidi="ar-SA"/>
              </w:rPr>
              <w:t>生活用水</w:t>
            </w:r>
          </w:p>
          <w:p w14:paraId="17C7568D">
            <w:pPr>
              <w:widowControl w:val="0"/>
              <w:adjustRightInd w:val="0"/>
              <w:snapToGrid w:val="0"/>
              <w:spacing w:line="360" w:lineRule="auto"/>
              <w:ind w:firstLine="480" w:firstLineChars="200"/>
              <w:jc w:val="left"/>
              <w:rPr>
                <w:rFonts w:hint="eastAsia"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本项目劳动定员</w:t>
            </w:r>
            <w:r>
              <w:rPr>
                <w:rFonts w:hint="eastAsia" w:ascii="Times New Roman" w:hAnsi="Times New Roman" w:eastAsia="宋体" w:cs="Times New Roman"/>
                <w:bCs/>
                <w:color w:val="auto"/>
                <w:kern w:val="2"/>
                <w:sz w:val="24"/>
                <w:szCs w:val="24"/>
                <w:lang w:val="en-US" w:eastAsia="zh-CN" w:bidi="ar-SA"/>
              </w:rPr>
              <w:t>9</w:t>
            </w:r>
            <w:r>
              <w:rPr>
                <w:rFonts w:hint="default" w:ascii="Times New Roman" w:hAnsi="Times New Roman" w:eastAsia="宋体" w:cs="Times New Roman"/>
                <w:bCs/>
                <w:color w:val="auto"/>
                <w:kern w:val="2"/>
                <w:sz w:val="24"/>
                <w:szCs w:val="24"/>
                <w:lang w:val="en-US" w:eastAsia="zh-CN" w:bidi="ar-SA"/>
              </w:rPr>
              <w:t>人，</w:t>
            </w:r>
            <w:r>
              <w:rPr>
                <w:rFonts w:hint="eastAsia" w:ascii="Times New Roman" w:hAnsi="Times New Roman" w:eastAsia="宋体" w:cs="Times New Roman"/>
                <w:bCs/>
                <w:color w:val="auto"/>
                <w:kern w:val="2"/>
                <w:sz w:val="24"/>
                <w:szCs w:val="24"/>
                <w:lang w:val="en-US" w:eastAsia="zh-CN" w:bidi="ar-SA"/>
              </w:rPr>
              <w:t>不提供食宿，</w:t>
            </w:r>
            <w:r>
              <w:rPr>
                <w:rFonts w:ascii="Times New Roman" w:hAnsi="Times New Roman" w:eastAsia="宋体" w:cs="Times New Roman"/>
                <w:bCs/>
                <w:color w:val="auto"/>
                <w:kern w:val="2"/>
                <w:sz w:val="24"/>
                <w:szCs w:val="24"/>
                <w:lang w:val="en-US" w:eastAsia="zh-CN" w:bidi="ar-SA"/>
              </w:rPr>
              <w:t>用水标准参考</w:t>
            </w:r>
            <w:r>
              <w:rPr>
                <w:rFonts w:hint="eastAsia" w:ascii="Times New Roman" w:hAnsi="Times New Roman" w:eastAsia="宋体" w:cs="Times New Roman"/>
                <w:bCs/>
                <w:color w:val="auto"/>
                <w:kern w:val="2"/>
                <w:sz w:val="24"/>
                <w:szCs w:val="24"/>
                <w:lang w:val="en-US" w:eastAsia="zh-CN" w:bidi="ar-SA"/>
              </w:rPr>
              <w:t>《宿州市城市行业用水定额》（DB 3413/T 0001-2020）</w:t>
            </w:r>
            <w:r>
              <w:rPr>
                <w:rFonts w:ascii="Times New Roman" w:hAnsi="Times New Roman" w:eastAsia="宋体" w:cs="Times New Roman"/>
                <w:bCs/>
                <w:color w:val="auto"/>
                <w:kern w:val="2"/>
                <w:sz w:val="24"/>
                <w:szCs w:val="24"/>
                <w:lang w:val="en-US" w:eastAsia="zh-CN" w:bidi="ar-SA"/>
              </w:rPr>
              <w:t>，人均用水量按50L/d计，</w:t>
            </w:r>
            <w:r>
              <w:rPr>
                <w:rFonts w:hint="eastAsia" w:ascii="Times New Roman" w:hAnsi="Times New Roman" w:eastAsia="宋体" w:cs="Times New Roman"/>
                <w:bCs/>
                <w:color w:val="auto"/>
                <w:kern w:val="2"/>
                <w:sz w:val="24"/>
                <w:szCs w:val="24"/>
                <w:lang w:val="en-US" w:eastAsia="zh-CN" w:bidi="ar-SA"/>
              </w:rPr>
              <w:t>年工作300天，</w:t>
            </w:r>
            <w:r>
              <w:rPr>
                <w:rFonts w:ascii="Times New Roman" w:hAnsi="Times New Roman" w:eastAsia="宋体" w:cs="Times New Roman"/>
                <w:bCs/>
                <w:color w:val="auto"/>
                <w:kern w:val="2"/>
                <w:sz w:val="24"/>
                <w:szCs w:val="24"/>
                <w:lang w:val="en-US" w:eastAsia="zh-CN" w:bidi="ar-SA"/>
              </w:rPr>
              <w:t>则用水量为</w:t>
            </w:r>
            <w:r>
              <w:rPr>
                <w:rFonts w:hint="eastAsia" w:ascii="Times New Roman" w:hAnsi="Times New Roman" w:eastAsia="宋体" w:cs="Times New Roman"/>
                <w:bCs/>
                <w:color w:val="auto"/>
                <w:kern w:val="2"/>
                <w:sz w:val="24"/>
                <w:szCs w:val="24"/>
                <w:lang w:val="en-US" w:eastAsia="zh-CN" w:bidi="ar-SA"/>
              </w:rPr>
              <w:t>0.45</w:t>
            </w:r>
            <w:r>
              <w:rPr>
                <w:rFonts w:ascii="Times New Roman" w:hAnsi="Times New Roman" w:eastAsia="宋体" w:cs="Times New Roman"/>
                <w:bCs/>
                <w:color w:val="auto"/>
                <w:kern w:val="2"/>
                <w:sz w:val="24"/>
                <w:szCs w:val="24"/>
                <w:lang w:val="en-US" w:eastAsia="zh-CN" w:bidi="ar-SA"/>
              </w:rPr>
              <w:t>t/d，年用水量为</w:t>
            </w:r>
            <w:r>
              <w:rPr>
                <w:rFonts w:hint="eastAsia" w:ascii="Times New Roman" w:hAnsi="Times New Roman" w:eastAsia="宋体" w:cs="Times New Roman"/>
                <w:bCs/>
                <w:color w:val="auto"/>
                <w:kern w:val="2"/>
                <w:sz w:val="24"/>
                <w:szCs w:val="24"/>
                <w:lang w:val="en-US" w:eastAsia="zh-CN" w:bidi="ar-SA"/>
              </w:rPr>
              <w:t>135</w:t>
            </w:r>
            <w:r>
              <w:rPr>
                <w:rFonts w:ascii="Times New Roman" w:hAnsi="Times New Roman" w:eastAsia="宋体" w:cs="Times New Roman"/>
                <w:bCs/>
                <w:color w:val="auto"/>
                <w:kern w:val="2"/>
                <w:sz w:val="24"/>
                <w:szCs w:val="24"/>
                <w:lang w:val="en-US" w:eastAsia="zh-CN" w:bidi="ar-SA"/>
              </w:rPr>
              <w:t>t/a，废水产生系数取0.8，则废水产生量为</w:t>
            </w:r>
            <w:r>
              <w:rPr>
                <w:rFonts w:hint="eastAsia" w:ascii="Times New Roman" w:hAnsi="Times New Roman" w:eastAsia="宋体" w:cs="Times New Roman"/>
                <w:bCs/>
                <w:color w:val="auto"/>
                <w:kern w:val="2"/>
                <w:sz w:val="24"/>
                <w:szCs w:val="24"/>
                <w:lang w:val="en-US" w:eastAsia="zh-CN" w:bidi="ar-SA"/>
              </w:rPr>
              <w:t>0.36</w:t>
            </w:r>
            <w:r>
              <w:rPr>
                <w:rFonts w:ascii="Times New Roman" w:hAnsi="Times New Roman" w:eastAsia="宋体" w:cs="Times New Roman"/>
                <w:bCs/>
                <w:color w:val="auto"/>
                <w:kern w:val="2"/>
                <w:sz w:val="24"/>
                <w:szCs w:val="24"/>
                <w:lang w:val="en-US" w:eastAsia="zh-CN" w:bidi="ar-SA"/>
              </w:rPr>
              <w:t>t/d，</w:t>
            </w:r>
            <w:r>
              <w:rPr>
                <w:rFonts w:hint="eastAsia" w:ascii="Times New Roman" w:hAnsi="Times New Roman" w:eastAsia="宋体" w:cs="Times New Roman"/>
                <w:bCs/>
                <w:color w:val="auto"/>
                <w:kern w:val="2"/>
                <w:sz w:val="24"/>
                <w:szCs w:val="24"/>
                <w:lang w:val="en-US" w:eastAsia="zh-CN" w:bidi="ar-SA"/>
              </w:rPr>
              <w:t>108</w:t>
            </w:r>
            <w:r>
              <w:rPr>
                <w:rFonts w:ascii="Times New Roman" w:hAnsi="Times New Roman" w:eastAsia="宋体" w:cs="Times New Roman"/>
                <w:bCs/>
                <w:color w:val="auto"/>
                <w:kern w:val="2"/>
                <w:sz w:val="24"/>
                <w:szCs w:val="24"/>
                <w:lang w:val="en-US" w:eastAsia="zh-CN" w:bidi="ar-SA"/>
              </w:rPr>
              <w:t>t/a</w:t>
            </w:r>
            <w:r>
              <w:rPr>
                <w:rFonts w:hint="eastAsia" w:ascii="Times New Roman" w:hAnsi="Times New Roman" w:eastAsia="宋体" w:cs="Times New Roman"/>
                <w:bCs/>
                <w:color w:val="auto"/>
                <w:kern w:val="2"/>
                <w:sz w:val="24"/>
                <w:szCs w:val="24"/>
                <w:lang w:val="en-US" w:eastAsia="zh-CN" w:bidi="ar-SA"/>
              </w:rPr>
              <w:t>。</w:t>
            </w:r>
          </w:p>
          <w:p w14:paraId="26ADFE57">
            <w:pPr>
              <w:widowControl w:val="0"/>
              <w:adjustRightInd w:val="0"/>
              <w:snapToGrid w:val="0"/>
              <w:spacing w:line="360" w:lineRule="auto"/>
              <w:ind w:firstLine="480" w:firstLineChars="200"/>
              <w:jc w:val="left"/>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本项目水平衡图见下：</w:t>
            </w:r>
          </w:p>
          <w:p w14:paraId="57B8EA52">
            <w:pPr>
              <w:spacing w:line="360" w:lineRule="auto"/>
              <w:ind w:firstLine="420" w:firstLineChars="200"/>
              <w:jc w:val="left"/>
              <w:rPr>
                <w:rFonts w:ascii="宋体" w:hAnsi="宋体" w:eastAsia="宋体" w:cs="宋体"/>
                <w:color w:val="auto"/>
                <w:sz w:val="24"/>
              </w:rPr>
            </w:pPr>
            <w:r>
              <w:rPr>
                <w:rFonts w:ascii="Times New Roman" w:cs="Times New Roman"/>
                <w:color w:val="auto"/>
              </w:rPr>
              <w:object>
                <v:shape id="_x0000_i1029" o:spt="75" type="#_x0000_t75" style="height:168.6pt;width:380.85pt;" o:ole="t" filled="f" o:preferrelative="t" stroked="f" coordsize="21600,21600">
                  <v:path/>
                  <v:fill on="f" focussize="0,0"/>
                  <v:stroke on="f"/>
                  <v:imagedata r:id="rId21" o:title=""/>
                  <o:lock v:ext="edit" aspectratio="t"/>
                  <w10:wrap type="none"/>
                  <w10:anchorlock/>
                </v:shape>
                <o:OLEObject Type="Embed" ProgID="RFFlow4" ShapeID="_x0000_i1029" DrawAspect="Content" ObjectID="_1468075729" r:id="rId20">
                  <o:LockedField>false</o:LockedField>
                </o:OLEObject>
              </w:object>
            </w:r>
          </w:p>
          <w:p w14:paraId="0CB5775A">
            <w:pPr>
              <w:keepNext w:val="0"/>
              <w:keepLines w:val="0"/>
              <w:pageBreakBefore w:val="0"/>
              <w:widowControl w:val="0"/>
              <w:numPr>
                <w:ilvl w:val="0"/>
                <w:numId w:val="14"/>
              </w:numPr>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本项目水平衡图</w:t>
            </w:r>
            <w:r>
              <w:rPr>
                <w:b/>
                <w:color w:val="auto"/>
                <w:sz w:val="24"/>
                <w:szCs w:val="24"/>
                <w:highlight w:val="none"/>
              </w:rPr>
              <w:t>（m</w:t>
            </w:r>
            <w:r>
              <w:rPr>
                <w:b/>
                <w:color w:val="auto"/>
                <w:sz w:val="24"/>
                <w:szCs w:val="24"/>
                <w:highlight w:val="none"/>
                <w:vertAlign w:val="superscript"/>
              </w:rPr>
              <w:t>3</w:t>
            </w:r>
            <w:r>
              <w:rPr>
                <w:b/>
                <w:color w:val="auto"/>
                <w:sz w:val="24"/>
                <w:szCs w:val="24"/>
                <w:highlight w:val="none"/>
              </w:rPr>
              <w:t>/d）</w:t>
            </w:r>
          </w:p>
          <w:p w14:paraId="7C6CE14B">
            <w:pPr>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废水</w:t>
            </w:r>
            <w:r>
              <w:rPr>
                <w:rFonts w:hint="eastAsia" w:ascii="Times New Roman" w:hAnsi="Times New Roman" w:cs="Times New Roman"/>
                <w:b/>
                <w:bCs/>
                <w:color w:val="auto"/>
                <w:sz w:val="24"/>
                <w:szCs w:val="24"/>
                <w:lang w:val="en-US" w:eastAsia="zh-CN"/>
              </w:rPr>
              <w:t>处理</w:t>
            </w:r>
            <w:r>
              <w:rPr>
                <w:rFonts w:hint="default" w:ascii="Times New Roman" w:hAnsi="Times New Roman" w:cs="Times New Roman"/>
                <w:b/>
                <w:bCs/>
                <w:color w:val="auto"/>
                <w:sz w:val="24"/>
                <w:szCs w:val="24"/>
              </w:rPr>
              <w:t>可行性分析</w:t>
            </w:r>
          </w:p>
          <w:p w14:paraId="3BBDA7AB">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本项目</w:t>
            </w:r>
            <w:r>
              <w:rPr>
                <w:rFonts w:hint="eastAsia" w:ascii="Times New Roman" w:hAnsi="Times New Roman" w:eastAsia="宋体" w:cs="Times New Roman"/>
                <w:bCs/>
                <w:color w:val="auto"/>
                <w:sz w:val="24"/>
                <w:szCs w:val="24"/>
                <w:lang w:val="en-US" w:eastAsia="zh-CN"/>
              </w:rPr>
              <w:t>产生的</w:t>
            </w:r>
            <w:r>
              <w:rPr>
                <w:rFonts w:hint="default" w:ascii="Times New Roman" w:hAnsi="Times New Roman" w:cs="Times New Roman"/>
                <w:bCs/>
                <w:color w:val="auto"/>
                <w:sz w:val="24"/>
                <w:szCs w:val="24"/>
              </w:rPr>
              <w:t>废水主要为员工生活污水，水质简单，污染物浓度较低</w:t>
            </w:r>
            <w:r>
              <w:rPr>
                <w:rFonts w:hint="eastAsia" w:ascii="Times New Roman" w:hAnsi="Times New Roman" w:cs="Times New Roman"/>
                <w:bCs/>
                <w:color w:val="auto"/>
                <w:sz w:val="24"/>
                <w:szCs w:val="24"/>
                <w:lang w:eastAsia="zh-CN"/>
              </w:rPr>
              <w:t>。</w:t>
            </w:r>
            <w:r>
              <w:rPr>
                <w:rFonts w:ascii="Times New Roman" w:hAnsi="Times New Roman" w:eastAsia="宋体" w:cs="Times New Roman"/>
                <w:bCs/>
                <w:color w:val="auto"/>
                <w:kern w:val="2"/>
                <w:sz w:val="24"/>
                <w:szCs w:val="24"/>
                <w:lang w:val="en-US" w:eastAsia="zh-CN" w:bidi="ar-SA"/>
              </w:rPr>
              <w:t>员工生活污水主要含有COD、BOD</w:t>
            </w:r>
            <w:r>
              <w:rPr>
                <w:rFonts w:ascii="Times New Roman" w:hAnsi="Times New Roman" w:eastAsia="宋体" w:cs="Times New Roman"/>
                <w:bCs/>
                <w:color w:val="auto"/>
                <w:kern w:val="2"/>
                <w:sz w:val="24"/>
                <w:szCs w:val="24"/>
                <w:vertAlign w:val="subscript"/>
                <w:lang w:val="en-US" w:eastAsia="zh-CN" w:bidi="ar-SA"/>
              </w:rPr>
              <w:t>5</w:t>
            </w:r>
            <w:r>
              <w:rPr>
                <w:rFonts w:ascii="Times New Roman" w:hAnsi="Times New Roman" w:eastAsia="宋体" w:cs="Times New Roman"/>
                <w:bCs/>
                <w:color w:val="auto"/>
                <w:kern w:val="2"/>
                <w:sz w:val="24"/>
                <w:szCs w:val="24"/>
                <w:lang w:val="en-US" w:eastAsia="zh-CN" w:bidi="ar-SA"/>
              </w:rPr>
              <w:t>、SS、氨氮等常规污染物，经化粪池预处理后，</w:t>
            </w:r>
            <w:r>
              <w:rPr>
                <w:rFonts w:hint="eastAsia" w:cs="Times New Roman"/>
                <w:bCs/>
                <w:color w:val="auto"/>
                <w:kern w:val="2"/>
                <w:sz w:val="24"/>
                <w:szCs w:val="24"/>
                <w:lang w:val="en-US" w:eastAsia="zh-CN" w:bidi="ar-SA"/>
              </w:rPr>
              <w:t>委托环卫部门</w:t>
            </w:r>
            <w:r>
              <w:rPr>
                <w:rFonts w:ascii="Times New Roman" w:hAnsi="Times New Roman" w:eastAsia="宋体" w:cs="Times New Roman"/>
                <w:bCs/>
                <w:color w:val="auto"/>
                <w:kern w:val="2"/>
                <w:sz w:val="24"/>
                <w:szCs w:val="24"/>
                <w:lang w:val="en-US" w:eastAsia="zh-CN" w:bidi="ar-SA"/>
              </w:rPr>
              <w:t>负责清运处置，</w:t>
            </w:r>
            <w:r>
              <w:rPr>
                <w:rFonts w:hint="eastAsia" w:cs="Times New Roman"/>
                <w:bCs/>
                <w:color w:val="auto"/>
                <w:kern w:val="2"/>
                <w:sz w:val="24"/>
                <w:szCs w:val="24"/>
                <w:lang w:val="en-US" w:eastAsia="zh-CN" w:bidi="ar-SA"/>
              </w:rPr>
              <w:t>不会</w:t>
            </w:r>
            <w:r>
              <w:rPr>
                <w:rFonts w:ascii="Times New Roman" w:hAnsi="Times New Roman" w:eastAsia="宋体" w:cs="Times New Roman"/>
                <w:bCs/>
                <w:color w:val="auto"/>
                <w:kern w:val="2"/>
                <w:sz w:val="24"/>
                <w:szCs w:val="24"/>
                <w:lang w:val="en-US" w:eastAsia="zh-CN" w:bidi="ar-SA"/>
              </w:rPr>
              <w:t>对地表水和地下水造成污染。</w:t>
            </w:r>
          </w:p>
          <w:p w14:paraId="3CFB6D9A">
            <w:pPr>
              <w:widowControl w:val="0"/>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化粪池采用防渗设计，可有效防止污水渗漏至地下含水层，避免对地下水水质造成污染，保障了地下水资源的安全，符合项目周边区域的地下水保护要求。</w:t>
            </w:r>
          </w:p>
          <w:p w14:paraId="5FF20CAC">
            <w:pPr>
              <w:widowControl w:val="0"/>
              <w:adjustRightInd w:val="0"/>
              <w:snapToGrid w:val="0"/>
              <w:spacing w:line="360" w:lineRule="auto"/>
              <w:ind w:firstLine="480" w:firstLineChars="200"/>
              <w:jc w:val="left"/>
              <w:rPr>
                <w:rFonts w:hint="eastAsia" w:ascii="Times New Roman" w:hAnsi="Times New Roman" w:eastAsia="宋体" w:cs="Times New Roman"/>
                <w:bCs/>
                <w:color w:val="auto"/>
                <w:sz w:val="24"/>
                <w:lang w:val="en-US" w:eastAsia="zh-CN"/>
              </w:rPr>
            </w:pPr>
            <w:r>
              <w:rPr>
                <w:rFonts w:ascii="Times New Roman" w:hAnsi="Times New Roman" w:eastAsia="宋体" w:cs="Times New Roman"/>
                <w:bCs/>
                <w:color w:val="auto"/>
                <w:kern w:val="2"/>
                <w:sz w:val="24"/>
                <w:szCs w:val="24"/>
                <w:lang w:val="en-US" w:eastAsia="zh-CN" w:bidi="ar-SA"/>
              </w:rPr>
              <w:t>根据《中华人民共和国固体废物污染环境防治法》《城镇排水与污水处理条例》等相关法律法规，生活污水经预处理后，若不具备自行处理达标排放条件，委托具备相应资质的环卫部门或专业单位进行清运处置是合法合规的处理方式。环卫部门拥有专业的清运设备和处置设施，能够确保生活污水得到安全处理，符合环保要求。</w:t>
            </w:r>
          </w:p>
        </w:tc>
      </w:tr>
    </w:tbl>
    <w:p w14:paraId="1A3403C3">
      <w:pPr>
        <w:adjustRightInd w:val="0"/>
        <w:snapToGrid w:val="0"/>
        <w:spacing w:line="360" w:lineRule="auto"/>
        <w:rPr>
          <w:b/>
          <w:kern w:val="0"/>
          <w:sz w:val="28"/>
          <w:szCs w:val="28"/>
        </w:rPr>
        <w:sectPr>
          <w:pgSz w:w="11907" w:h="16840"/>
          <w:pgMar w:top="1418" w:right="1134" w:bottom="1418" w:left="1247" w:header="851" w:footer="851" w:gutter="0"/>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545"/>
      </w:tblGrid>
      <w:tr w14:paraId="3E08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32" w:hRule="atLeast"/>
        </w:trPr>
        <w:tc>
          <w:tcPr>
            <w:tcW w:w="675" w:type="dxa"/>
            <w:noWrap w:val="0"/>
            <w:vAlign w:val="center"/>
          </w:tcPr>
          <w:p w14:paraId="27B937D6">
            <w:pPr>
              <w:adjustRightInd w:val="0"/>
              <w:snapToGrid w:val="0"/>
              <w:jc w:val="center"/>
            </w:pPr>
            <w:r>
              <w:rPr>
                <w:b/>
                <w:bCs/>
                <w:szCs w:val="21"/>
              </w:rPr>
              <w:t>运营期环境影响和保护措施</w:t>
            </w:r>
          </w:p>
        </w:tc>
        <w:tc>
          <w:tcPr>
            <w:tcW w:w="13545" w:type="dxa"/>
            <w:noWrap w:val="0"/>
            <w:vAlign w:val="top"/>
          </w:tcPr>
          <w:p w14:paraId="6D10882F">
            <w:pPr>
              <w:adjustRightInd w:val="0"/>
              <w:snapToGrid w:val="0"/>
              <w:spacing w:line="360" w:lineRule="auto"/>
              <w:rPr>
                <w:b/>
                <w:bCs/>
                <w:spacing w:val="-10"/>
                <w:sz w:val="24"/>
              </w:rPr>
            </w:pPr>
            <w:r>
              <w:rPr>
                <w:b/>
                <w:bCs/>
                <w:spacing w:val="-10"/>
                <w:sz w:val="24"/>
              </w:rPr>
              <w:t>4.3</w:t>
            </w:r>
            <w:r>
              <w:rPr>
                <w:b/>
                <w:bCs/>
                <w:sz w:val="24"/>
              </w:rPr>
              <w:t>营运期声环境影响分析</w:t>
            </w:r>
          </w:p>
          <w:p w14:paraId="046D8B87">
            <w:pPr>
              <w:adjustRightInd w:val="0"/>
              <w:snapToGrid w:val="0"/>
              <w:spacing w:line="360" w:lineRule="auto"/>
              <w:ind w:firstLine="482" w:firstLineChars="200"/>
              <w:rPr>
                <w:b/>
                <w:bCs/>
                <w:sz w:val="24"/>
              </w:rPr>
            </w:pPr>
            <w:r>
              <w:rPr>
                <w:b/>
                <w:bCs/>
                <w:sz w:val="24"/>
              </w:rPr>
              <w:t>1、噪声源强及污染防治措施</w:t>
            </w:r>
          </w:p>
          <w:p w14:paraId="5A15EC04">
            <w:pPr>
              <w:tabs>
                <w:tab w:val="left" w:pos="3285"/>
              </w:tabs>
              <w:spacing w:line="360" w:lineRule="auto"/>
              <w:ind w:firstLine="480" w:firstLineChars="200"/>
              <w:rPr>
                <w:sz w:val="24"/>
              </w:rPr>
            </w:pPr>
            <w:r>
              <w:rPr>
                <w:rFonts w:hint="eastAsia"/>
                <w:sz w:val="24"/>
              </w:rPr>
              <w:t>本项目全厂</w:t>
            </w:r>
            <w:r>
              <w:rPr>
                <w:sz w:val="24"/>
              </w:rPr>
              <w:t>的噪声来源主要是由</w:t>
            </w:r>
            <w:r>
              <w:rPr>
                <w:rFonts w:hint="eastAsia"/>
                <w:sz w:val="24"/>
                <w:lang w:val="en-US" w:eastAsia="zh-CN"/>
              </w:rPr>
              <w:t>挤出机、绕卷机和织网机</w:t>
            </w:r>
            <w:r>
              <w:rPr>
                <w:sz w:val="24"/>
              </w:rPr>
              <w:t>等设备运行时产生的噪声，其产生的噪声值大约</w:t>
            </w:r>
            <w:r>
              <w:rPr>
                <w:rFonts w:hint="eastAsia"/>
                <w:sz w:val="24"/>
                <w:lang w:val="en-US" w:eastAsia="zh-CN"/>
              </w:rPr>
              <w:t>7</w:t>
            </w:r>
            <w:r>
              <w:rPr>
                <w:rFonts w:hint="eastAsia"/>
                <w:sz w:val="24"/>
              </w:rPr>
              <w:t>0</w:t>
            </w:r>
            <w:r>
              <w:rPr>
                <w:sz w:val="24"/>
              </w:rPr>
              <w:t>~</w:t>
            </w:r>
            <w:r>
              <w:rPr>
                <w:rFonts w:hint="eastAsia"/>
                <w:sz w:val="24"/>
              </w:rPr>
              <w:t>8</w:t>
            </w:r>
            <w:r>
              <w:rPr>
                <w:rFonts w:hint="eastAsia"/>
                <w:sz w:val="24"/>
                <w:lang w:val="en-US" w:eastAsia="zh-CN"/>
              </w:rPr>
              <w:t>0</w:t>
            </w:r>
            <w:r>
              <w:rPr>
                <w:sz w:val="24"/>
              </w:rPr>
              <w:t>dB（A）左右，项目</w:t>
            </w:r>
            <w:r>
              <w:rPr>
                <w:rFonts w:hint="eastAsia"/>
                <w:sz w:val="24"/>
              </w:rPr>
              <w:t>主要噪声</w:t>
            </w:r>
            <w:r>
              <w:rPr>
                <w:sz w:val="24"/>
              </w:rPr>
              <w:t>设备的噪声源强统计见下表。</w:t>
            </w:r>
          </w:p>
          <w:p w14:paraId="08AC240D">
            <w:pPr>
              <w:widowControl/>
              <w:numPr>
                <w:ilvl w:val="0"/>
                <w:numId w:val="13"/>
              </w:numPr>
              <w:spacing w:line="360" w:lineRule="auto"/>
              <w:ind w:left="0" w:leftChars="0" w:firstLine="0" w:firstLineChars="0"/>
              <w:jc w:val="center"/>
              <w:rPr>
                <w:b/>
                <w:sz w:val="24"/>
              </w:rPr>
            </w:pPr>
            <w:r>
              <w:rPr>
                <w:b/>
                <w:sz w:val="24"/>
              </w:rPr>
              <w:t>项目噪声源强</w:t>
            </w:r>
            <w:r>
              <w:rPr>
                <w:b/>
                <w:sz w:val="24"/>
                <w:szCs w:val="21"/>
              </w:rPr>
              <w:t>调查</w:t>
            </w:r>
            <w:r>
              <w:rPr>
                <w:b/>
                <w:sz w:val="24"/>
              </w:rPr>
              <w:t>清单（</w:t>
            </w:r>
            <w:r>
              <w:rPr>
                <w:rFonts w:hint="eastAsia"/>
                <w:b/>
                <w:sz w:val="24"/>
                <w:lang w:val="en-US" w:eastAsia="zh-CN"/>
              </w:rPr>
              <w:t>室外</w:t>
            </w:r>
            <w:r>
              <w:rPr>
                <w:b/>
                <w:sz w:val="24"/>
              </w:rPr>
              <w:t>声源）</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047"/>
              <w:gridCol w:w="1084"/>
              <w:gridCol w:w="1340"/>
              <w:gridCol w:w="1316"/>
              <w:gridCol w:w="1295"/>
              <w:gridCol w:w="2650"/>
              <w:gridCol w:w="2075"/>
              <w:gridCol w:w="1942"/>
            </w:tblGrid>
            <w:tr w14:paraId="1BFC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10" w:type="pct"/>
                  <w:vMerge w:val="restart"/>
                  <w:noWrap w:val="0"/>
                  <w:vAlign w:val="center"/>
                </w:tcPr>
                <w:p w14:paraId="2A430AB6">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序号</w:t>
                  </w:r>
                </w:p>
              </w:tc>
              <w:tc>
                <w:tcPr>
                  <w:tcW w:w="393" w:type="pct"/>
                  <w:vMerge w:val="restart"/>
                  <w:noWrap w:val="0"/>
                  <w:vAlign w:val="center"/>
                </w:tcPr>
                <w:p w14:paraId="7D816B0A">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声源名称</w:t>
                  </w:r>
                </w:p>
              </w:tc>
              <w:tc>
                <w:tcPr>
                  <w:tcW w:w="407" w:type="pct"/>
                  <w:vMerge w:val="restart"/>
                  <w:noWrap w:val="0"/>
                  <w:vAlign w:val="center"/>
                </w:tcPr>
                <w:p w14:paraId="5002526E">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型号</w:t>
                  </w:r>
                </w:p>
              </w:tc>
              <w:tc>
                <w:tcPr>
                  <w:tcW w:w="1484" w:type="pct"/>
                  <w:gridSpan w:val="3"/>
                  <w:noWrap w:val="0"/>
                  <w:vAlign w:val="center"/>
                </w:tcPr>
                <w:p w14:paraId="4F6A8A37">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空间相对位置/m</w:t>
                  </w:r>
                </w:p>
              </w:tc>
              <w:tc>
                <w:tcPr>
                  <w:tcW w:w="995" w:type="pct"/>
                  <w:noWrap w:val="0"/>
                  <w:vAlign w:val="center"/>
                </w:tcPr>
                <w:p w14:paraId="6F688AC5">
                  <w:pPr>
                    <w:autoSpaceDE w:val="0"/>
                    <w:autoSpaceDN w:val="0"/>
                    <w:jc w:val="center"/>
                    <w:rPr>
                      <w:rFonts w:eastAsia="Times New Roman"/>
                      <w:color w:val="auto"/>
                      <w:szCs w:val="21"/>
                      <w:lang w:val="zh-CN" w:bidi="zh-CN"/>
                    </w:rPr>
                  </w:pPr>
                  <w:r>
                    <w:rPr>
                      <w:rFonts w:eastAsia="Times New Roman"/>
                      <w:color w:val="auto"/>
                      <w:szCs w:val="21"/>
                      <w:lang w:val="zh-CN" w:bidi="zh-CN"/>
                    </w:rPr>
                    <w:t>声源源强</w:t>
                  </w:r>
                </w:p>
              </w:tc>
              <w:tc>
                <w:tcPr>
                  <w:tcW w:w="779" w:type="pct"/>
                  <w:vMerge w:val="restart"/>
                  <w:noWrap w:val="0"/>
                  <w:vAlign w:val="center"/>
                </w:tcPr>
                <w:p w14:paraId="6878569B">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声源控制措施</w:t>
                  </w:r>
                </w:p>
              </w:tc>
              <w:tc>
                <w:tcPr>
                  <w:tcW w:w="729" w:type="pct"/>
                  <w:vMerge w:val="restart"/>
                  <w:noWrap w:val="0"/>
                  <w:vAlign w:val="center"/>
                </w:tcPr>
                <w:p w14:paraId="3858AA07">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运行时段</w:t>
                  </w:r>
                </w:p>
              </w:tc>
            </w:tr>
            <w:tr w14:paraId="6AA8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10" w:type="pct"/>
                  <w:vMerge w:val="continue"/>
                  <w:noWrap w:val="0"/>
                  <w:vAlign w:val="center"/>
                </w:tcPr>
                <w:p w14:paraId="1EB58A70">
                  <w:pPr>
                    <w:autoSpaceDE w:val="0"/>
                    <w:autoSpaceDN w:val="0"/>
                    <w:jc w:val="center"/>
                    <w:rPr>
                      <w:rFonts w:eastAsia="Times New Roman"/>
                      <w:color w:val="auto"/>
                      <w:szCs w:val="21"/>
                      <w:lang w:val="zh-CN" w:eastAsia="en-US" w:bidi="zh-CN"/>
                    </w:rPr>
                  </w:pPr>
                </w:p>
              </w:tc>
              <w:tc>
                <w:tcPr>
                  <w:tcW w:w="393" w:type="pct"/>
                  <w:vMerge w:val="continue"/>
                  <w:noWrap w:val="0"/>
                  <w:vAlign w:val="center"/>
                </w:tcPr>
                <w:p w14:paraId="0CFF825D">
                  <w:pPr>
                    <w:autoSpaceDE w:val="0"/>
                    <w:autoSpaceDN w:val="0"/>
                    <w:jc w:val="center"/>
                    <w:rPr>
                      <w:rFonts w:eastAsia="Times New Roman"/>
                      <w:color w:val="auto"/>
                      <w:szCs w:val="21"/>
                      <w:lang w:val="zh-CN" w:eastAsia="en-US" w:bidi="zh-CN"/>
                    </w:rPr>
                  </w:pPr>
                </w:p>
              </w:tc>
              <w:tc>
                <w:tcPr>
                  <w:tcW w:w="407" w:type="pct"/>
                  <w:vMerge w:val="continue"/>
                  <w:noWrap w:val="0"/>
                  <w:vAlign w:val="center"/>
                </w:tcPr>
                <w:p w14:paraId="7105398A">
                  <w:pPr>
                    <w:autoSpaceDE w:val="0"/>
                    <w:autoSpaceDN w:val="0"/>
                    <w:jc w:val="center"/>
                    <w:rPr>
                      <w:rFonts w:eastAsia="Times New Roman"/>
                      <w:color w:val="auto"/>
                      <w:szCs w:val="21"/>
                      <w:lang w:val="zh-CN" w:eastAsia="en-US" w:bidi="zh-CN"/>
                    </w:rPr>
                  </w:pPr>
                </w:p>
              </w:tc>
              <w:tc>
                <w:tcPr>
                  <w:tcW w:w="503" w:type="pct"/>
                  <w:noWrap w:val="0"/>
                  <w:vAlign w:val="center"/>
                </w:tcPr>
                <w:p w14:paraId="52AA5D86">
                  <w:pPr>
                    <w:autoSpaceDE w:val="0"/>
                    <w:autoSpaceDN w:val="0"/>
                    <w:jc w:val="center"/>
                    <w:rPr>
                      <w:rFonts w:eastAsia="Times New Roman"/>
                      <w:iCs/>
                      <w:color w:val="auto"/>
                      <w:szCs w:val="21"/>
                      <w:lang w:val="zh-CN" w:eastAsia="en-US" w:bidi="zh-CN"/>
                    </w:rPr>
                  </w:pPr>
                  <w:r>
                    <w:rPr>
                      <w:rFonts w:eastAsia="Times New Roman"/>
                      <w:iCs/>
                      <w:color w:val="auto"/>
                      <w:szCs w:val="21"/>
                      <w:lang w:val="zh-CN" w:eastAsia="en-US" w:bidi="zh-CN"/>
                    </w:rPr>
                    <w:t>X</w:t>
                  </w:r>
                </w:p>
              </w:tc>
              <w:tc>
                <w:tcPr>
                  <w:tcW w:w="494" w:type="pct"/>
                  <w:noWrap w:val="0"/>
                  <w:vAlign w:val="center"/>
                </w:tcPr>
                <w:p w14:paraId="400B30B5">
                  <w:pPr>
                    <w:autoSpaceDE w:val="0"/>
                    <w:autoSpaceDN w:val="0"/>
                    <w:jc w:val="center"/>
                    <w:rPr>
                      <w:rFonts w:eastAsia="Times New Roman"/>
                      <w:iCs/>
                      <w:color w:val="auto"/>
                      <w:szCs w:val="21"/>
                      <w:lang w:val="zh-CN" w:eastAsia="en-US" w:bidi="zh-CN"/>
                    </w:rPr>
                  </w:pPr>
                  <w:r>
                    <w:rPr>
                      <w:rFonts w:eastAsia="Times New Roman"/>
                      <w:iCs/>
                      <w:color w:val="auto"/>
                      <w:szCs w:val="21"/>
                      <w:lang w:val="zh-CN" w:eastAsia="en-US" w:bidi="zh-CN"/>
                    </w:rPr>
                    <w:t>Y</w:t>
                  </w:r>
                </w:p>
              </w:tc>
              <w:tc>
                <w:tcPr>
                  <w:tcW w:w="486" w:type="pct"/>
                  <w:noWrap w:val="0"/>
                  <w:vAlign w:val="center"/>
                </w:tcPr>
                <w:p w14:paraId="570B1305">
                  <w:pPr>
                    <w:autoSpaceDE w:val="0"/>
                    <w:autoSpaceDN w:val="0"/>
                    <w:jc w:val="center"/>
                    <w:rPr>
                      <w:rFonts w:eastAsia="Times New Roman"/>
                      <w:iCs/>
                      <w:color w:val="auto"/>
                      <w:szCs w:val="21"/>
                      <w:lang w:val="zh-CN" w:eastAsia="en-US" w:bidi="zh-CN"/>
                    </w:rPr>
                  </w:pPr>
                  <w:r>
                    <w:rPr>
                      <w:rFonts w:eastAsia="Times New Roman"/>
                      <w:iCs/>
                      <w:color w:val="auto"/>
                      <w:szCs w:val="21"/>
                      <w:lang w:val="zh-CN" w:eastAsia="en-US" w:bidi="zh-CN"/>
                    </w:rPr>
                    <w:t>Z</w:t>
                  </w:r>
                </w:p>
              </w:tc>
              <w:tc>
                <w:tcPr>
                  <w:tcW w:w="995" w:type="pct"/>
                  <w:noWrap w:val="0"/>
                  <w:vAlign w:val="center"/>
                </w:tcPr>
                <w:p w14:paraId="09C28807">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（声压级/距声源距离）/（dB(A)/m）</w:t>
                  </w:r>
                </w:p>
              </w:tc>
              <w:tc>
                <w:tcPr>
                  <w:tcW w:w="779" w:type="pct"/>
                  <w:vMerge w:val="continue"/>
                  <w:noWrap w:val="0"/>
                  <w:vAlign w:val="center"/>
                </w:tcPr>
                <w:p w14:paraId="4FCECF21">
                  <w:pPr>
                    <w:autoSpaceDE w:val="0"/>
                    <w:autoSpaceDN w:val="0"/>
                    <w:jc w:val="center"/>
                    <w:rPr>
                      <w:rFonts w:eastAsia="Times New Roman"/>
                      <w:color w:val="auto"/>
                      <w:szCs w:val="21"/>
                      <w:lang w:val="zh-CN" w:eastAsia="en-US" w:bidi="zh-CN"/>
                    </w:rPr>
                  </w:pPr>
                </w:p>
              </w:tc>
              <w:tc>
                <w:tcPr>
                  <w:tcW w:w="729" w:type="pct"/>
                  <w:vMerge w:val="continue"/>
                  <w:noWrap w:val="0"/>
                  <w:vAlign w:val="center"/>
                </w:tcPr>
                <w:p w14:paraId="247EAC1A">
                  <w:pPr>
                    <w:autoSpaceDE w:val="0"/>
                    <w:autoSpaceDN w:val="0"/>
                    <w:jc w:val="center"/>
                    <w:rPr>
                      <w:rFonts w:eastAsia="Times New Roman"/>
                      <w:color w:val="auto"/>
                      <w:szCs w:val="21"/>
                      <w:lang w:val="zh-CN" w:eastAsia="en-US" w:bidi="zh-CN"/>
                    </w:rPr>
                  </w:pPr>
                </w:p>
              </w:tc>
            </w:tr>
            <w:tr w14:paraId="7B23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10" w:type="pct"/>
                  <w:noWrap w:val="0"/>
                  <w:vAlign w:val="center"/>
                </w:tcPr>
                <w:p w14:paraId="1AFF097E">
                  <w:pPr>
                    <w:autoSpaceDE w:val="0"/>
                    <w:autoSpaceDN w:val="0"/>
                    <w:jc w:val="center"/>
                    <w:rPr>
                      <w:rFonts w:eastAsia="Times New Roman"/>
                      <w:color w:val="auto"/>
                      <w:szCs w:val="21"/>
                      <w:lang w:val="zh-CN" w:eastAsia="en-US" w:bidi="zh-CN"/>
                    </w:rPr>
                  </w:pPr>
                  <w:r>
                    <w:rPr>
                      <w:rFonts w:eastAsia="Times New Roman"/>
                      <w:color w:val="auto"/>
                      <w:szCs w:val="21"/>
                      <w:lang w:val="zh-CN" w:eastAsia="en-US" w:bidi="zh-CN"/>
                    </w:rPr>
                    <w:t>1</w:t>
                  </w:r>
                </w:p>
              </w:tc>
              <w:tc>
                <w:tcPr>
                  <w:tcW w:w="393" w:type="pct"/>
                  <w:noWrap w:val="0"/>
                  <w:vAlign w:val="center"/>
                </w:tcPr>
                <w:p w14:paraId="27C1C349">
                  <w:pPr>
                    <w:autoSpaceDE w:val="0"/>
                    <w:autoSpaceDN w:val="0"/>
                    <w:jc w:val="center"/>
                    <w:rPr>
                      <w:rFonts w:eastAsia="Times New Roman"/>
                      <w:color w:val="auto"/>
                      <w:szCs w:val="21"/>
                      <w:lang w:bidi="zh-CN"/>
                    </w:rPr>
                  </w:pPr>
                  <w:r>
                    <w:rPr>
                      <w:rFonts w:eastAsia="Times New Roman"/>
                      <w:color w:val="auto"/>
                      <w:szCs w:val="21"/>
                      <w:lang w:bidi="zh-CN"/>
                    </w:rPr>
                    <w:t>风机</w:t>
                  </w:r>
                </w:p>
              </w:tc>
              <w:tc>
                <w:tcPr>
                  <w:tcW w:w="407" w:type="pct"/>
                  <w:noWrap w:val="0"/>
                  <w:vAlign w:val="center"/>
                </w:tcPr>
                <w:p w14:paraId="4C602F5B">
                  <w:pPr>
                    <w:autoSpaceDE w:val="0"/>
                    <w:autoSpaceDN w:val="0"/>
                    <w:jc w:val="center"/>
                    <w:rPr>
                      <w:rFonts w:eastAsia="Times New Roman"/>
                      <w:color w:val="auto"/>
                      <w:szCs w:val="21"/>
                      <w:lang w:eastAsia="en-US" w:bidi="zh-CN"/>
                    </w:rPr>
                  </w:pPr>
                  <w:r>
                    <w:rPr>
                      <w:rFonts w:eastAsia="Times New Roman"/>
                      <w:color w:val="auto"/>
                      <w:szCs w:val="21"/>
                      <w:lang w:eastAsia="en-US" w:bidi="zh-CN"/>
                    </w:rPr>
                    <w:t>/</w:t>
                  </w:r>
                </w:p>
              </w:tc>
              <w:tc>
                <w:tcPr>
                  <w:tcW w:w="503" w:type="pct"/>
                  <w:noWrap w:val="0"/>
                  <w:vAlign w:val="center"/>
                </w:tcPr>
                <w:p w14:paraId="0B7179C5">
                  <w:pPr>
                    <w:widowControl/>
                    <w:jc w:val="center"/>
                    <w:textAlignment w:val="center"/>
                    <w:rPr>
                      <w:rFonts w:hint="default"/>
                      <w:color w:val="auto"/>
                      <w:szCs w:val="21"/>
                      <w:lang w:val="en-US" w:bidi="zh-CN"/>
                    </w:rPr>
                  </w:pPr>
                  <w:r>
                    <w:rPr>
                      <w:rFonts w:hint="eastAsia"/>
                      <w:color w:val="auto"/>
                      <w:szCs w:val="21"/>
                      <w:lang w:val="en-US" w:bidi="zh-CN"/>
                    </w:rPr>
                    <w:t>75</w:t>
                  </w:r>
                </w:p>
              </w:tc>
              <w:tc>
                <w:tcPr>
                  <w:tcW w:w="494" w:type="pct"/>
                  <w:noWrap w:val="0"/>
                  <w:vAlign w:val="center"/>
                </w:tcPr>
                <w:p w14:paraId="1AC66057">
                  <w:pPr>
                    <w:widowControl/>
                    <w:jc w:val="center"/>
                    <w:textAlignment w:val="center"/>
                    <w:rPr>
                      <w:rFonts w:hint="default"/>
                      <w:color w:val="auto"/>
                      <w:szCs w:val="21"/>
                      <w:lang w:val="en-US" w:bidi="zh-CN"/>
                    </w:rPr>
                  </w:pPr>
                  <w:r>
                    <w:rPr>
                      <w:rFonts w:hint="eastAsia"/>
                      <w:color w:val="auto"/>
                      <w:szCs w:val="21"/>
                      <w:lang w:val="en-US" w:bidi="zh-CN"/>
                    </w:rPr>
                    <w:t>5</w:t>
                  </w:r>
                </w:p>
              </w:tc>
              <w:tc>
                <w:tcPr>
                  <w:tcW w:w="486" w:type="pct"/>
                  <w:noWrap w:val="0"/>
                  <w:vAlign w:val="center"/>
                </w:tcPr>
                <w:p w14:paraId="5CF5F766">
                  <w:pPr>
                    <w:autoSpaceDE w:val="0"/>
                    <w:autoSpaceDN w:val="0"/>
                    <w:jc w:val="center"/>
                    <w:rPr>
                      <w:rFonts w:eastAsia="Times New Roman"/>
                      <w:color w:val="auto"/>
                      <w:szCs w:val="21"/>
                      <w:lang w:bidi="zh-CN"/>
                    </w:rPr>
                  </w:pPr>
                  <w:r>
                    <w:rPr>
                      <w:rFonts w:hint="eastAsia"/>
                      <w:color w:val="auto"/>
                      <w:kern w:val="0"/>
                      <w:szCs w:val="21"/>
                      <w:lang w:bidi="ar"/>
                    </w:rPr>
                    <w:t>1</w:t>
                  </w:r>
                </w:p>
              </w:tc>
              <w:tc>
                <w:tcPr>
                  <w:tcW w:w="995" w:type="pct"/>
                  <w:noWrap w:val="0"/>
                  <w:vAlign w:val="center"/>
                </w:tcPr>
                <w:p w14:paraId="3C0D66C0">
                  <w:pPr>
                    <w:autoSpaceDE w:val="0"/>
                    <w:autoSpaceDN w:val="0"/>
                    <w:jc w:val="center"/>
                    <w:rPr>
                      <w:color w:val="auto"/>
                      <w:szCs w:val="21"/>
                      <w:lang w:bidi="zh-CN"/>
                    </w:rPr>
                  </w:pPr>
                  <w:r>
                    <w:rPr>
                      <w:rFonts w:eastAsia="Times New Roman"/>
                      <w:color w:val="auto"/>
                      <w:szCs w:val="21"/>
                      <w:lang w:eastAsia="en-US" w:bidi="zh-CN"/>
                    </w:rPr>
                    <w:t>80/1</w:t>
                  </w:r>
                </w:p>
              </w:tc>
              <w:tc>
                <w:tcPr>
                  <w:tcW w:w="779" w:type="pct"/>
                  <w:noWrap w:val="0"/>
                  <w:vAlign w:val="center"/>
                </w:tcPr>
                <w:p w14:paraId="0617C9FB">
                  <w:pPr>
                    <w:autoSpaceDE w:val="0"/>
                    <w:autoSpaceDN w:val="0"/>
                    <w:jc w:val="center"/>
                    <w:rPr>
                      <w:rFonts w:eastAsia="Times New Roman"/>
                      <w:color w:val="auto"/>
                      <w:szCs w:val="21"/>
                      <w:lang w:val="zh-CN" w:eastAsia="en-US" w:bidi="zh-CN"/>
                    </w:rPr>
                  </w:pPr>
                  <w:r>
                    <w:rPr>
                      <w:snapToGrid w:val="0"/>
                      <w:color w:val="auto"/>
                    </w:rPr>
                    <w:t>低噪声设备</w:t>
                  </w:r>
                  <w:r>
                    <w:rPr>
                      <w:color w:val="auto"/>
                    </w:rPr>
                    <w:t>，</w:t>
                  </w:r>
                  <w:r>
                    <w:rPr>
                      <w:color w:val="auto"/>
                      <w:szCs w:val="21"/>
                    </w:rPr>
                    <w:t>隔声罩，出口消声</w:t>
                  </w:r>
                  <w:r>
                    <w:rPr>
                      <w:color w:val="auto"/>
                    </w:rPr>
                    <w:t>，加强绿化</w:t>
                  </w:r>
                </w:p>
              </w:tc>
              <w:tc>
                <w:tcPr>
                  <w:tcW w:w="729" w:type="pct"/>
                  <w:noWrap w:val="0"/>
                  <w:vAlign w:val="center"/>
                </w:tcPr>
                <w:p w14:paraId="589722DA">
                  <w:pPr>
                    <w:autoSpaceDE w:val="0"/>
                    <w:autoSpaceDN w:val="0"/>
                    <w:jc w:val="center"/>
                    <w:rPr>
                      <w:rFonts w:eastAsia="Times New Roman"/>
                      <w:color w:val="auto"/>
                      <w:szCs w:val="21"/>
                      <w:lang w:val="zh-CN" w:eastAsia="en-US" w:bidi="zh-CN"/>
                    </w:rPr>
                  </w:pPr>
                  <w:r>
                    <w:rPr>
                      <w:rFonts w:hint="eastAsia"/>
                      <w:color w:val="auto"/>
                      <w:szCs w:val="21"/>
                      <w:lang w:val="en-US" w:eastAsia="zh-CN"/>
                    </w:rPr>
                    <w:t>9</w:t>
                  </w:r>
                  <w:r>
                    <w:rPr>
                      <w:rFonts w:hint="eastAsia"/>
                      <w:color w:val="auto"/>
                      <w:szCs w:val="21"/>
                    </w:rPr>
                    <w:t>：00~</w:t>
                  </w:r>
                  <w:r>
                    <w:rPr>
                      <w:rFonts w:hint="eastAsia"/>
                      <w:color w:val="auto"/>
                      <w:szCs w:val="21"/>
                      <w:lang w:val="en-US" w:eastAsia="zh-CN"/>
                    </w:rPr>
                    <w:t>18</w:t>
                  </w:r>
                  <w:r>
                    <w:rPr>
                      <w:rFonts w:hint="eastAsia"/>
                      <w:color w:val="auto"/>
                      <w:szCs w:val="21"/>
                    </w:rPr>
                    <w:t>：00</w:t>
                  </w:r>
                </w:p>
              </w:tc>
            </w:tr>
          </w:tbl>
          <w:p w14:paraId="2CDD81D2">
            <w:pPr>
              <w:tabs>
                <w:tab w:val="left" w:pos="3285"/>
              </w:tabs>
              <w:spacing w:line="360" w:lineRule="auto"/>
              <w:ind w:firstLine="0" w:firstLineChars="0"/>
              <w:rPr>
                <w:sz w:val="24"/>
              </w:rPr>
            </w:pPr>
          </w:p>
          <w:p w14:paraId="70632900">
            <w:pPr>
              <w:widowControl/>
              <w:numPr>
                <w:ilvl w:val="0"/>
                <w:numId w:val="13"/>
              </w:numPr>
              <w:spacing w:line="360" w:lineRule="auto"/>
              <w:ind w:left="0" w:leftChars="0" w:firstLine="0" w:firstLineChars="0"/>
              <w:jc w:val="center"/>
              <w:rPr>
                <w:b/>
                <w:sz w:val="24"/>
              </w:rPr>
            </w:pPr>
            <w:r>
              <w:rPr>
                <w:b/>
                <w:sz w:val="24"/>
              </w:rPr>
              <w:t>项目噪声源强</w:t>
            </w:r>
            <w:r>
              <w:rPr>
                <w:b/>
                <w:sz w:val="24"/>
                <w:szCs w:val="21"/>
              </w:rPr>
              <w:t>调查</w:t>
            </w:r>
            <w:r>
              <w:rPr>
                <w:b/>
                <w:sz w:val="24"/>
              </w:rPr>
              <w:t>清单（室内声源）</w:t>
            </w:r>
          </w:p>
          <w:tbl>
            <w:tblPr>
              <w:tblStyle w:val="34"/>
              <w:tblW w:w="13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797"/>
              <w:gridCol w:w="1352"/>
              <w:gridCol w:w="1295"/>
              <w:gridCol w:w="1155"/>
              <w:gridCol w:w="550"/>
              <w:gridCol w:w="550"/>
              <w:gridCol w:w="550"/>
              <w:gridCol w:w="930"/>
              <w:gridCol w:w="1050"/>
              <w:gridCol w:w="1578"/>
              <w:gridCol w:w="1157"/>
              <w:gridCol w:w="835"/>
              <w:gridCol w:w="861"/>
            </w:tblGrid>
            <w:tr w14:paraId="7D8B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blHeader/>
                <w:jc w:val="center"/>
              </w:trPr>
              <w:tc>
                <w:tcPr>
                  <w:tcW w:w="252" w:type="pct"/>
                  <w:vMerge w:val="restart"/>
                  <w:noWrap w:val="0"/>
                  <w:vAlign w:val="center"/>
                </w:tcPr>
                <w:p w14:paraId="79C1FB65">
                  <w:pPr>
                    <w:jc w:val="center"/>
                    <w:rPr>
                      <w:lang w:val="zh-CN" w:eastAsia="en-US"/>
                    </w:rPr>
                  </w:pPr>
                  <w:r>
                    <w:rPr>
                      <w:lang w:val="zh-CN" w:eastAsia="en-US"/>
                    </w:rPr>
                    <w:t>序号</w:t>
                  </w:r>
                </w:p>
              </w:tc>
              <w:tc>
                <w:tcPr>
                  <w:tcW w:w="298" w:type="pct"/>
                  <w:vMerge w:val="restart"/>
                  <w:noWrap w:val="0"/>
                  <w:vAlign w:val="center"/>
                </w:tcPr>
                <w:p w14:paraId="553F1359">
                  <w:pPr>
                    <w:jc w:val="center"/>
                    <w:rPr>
                      <w:lang w:val="zh-CN" w:eastAsia="en-US"/>
                    </w:rPr>
                  </w:pPr>
                  <w:r>
                    <w:rPr>
                      <w:lang w:val="zh-CN" w:eastAsia="en-US"/>
                    </w:rPr>
                    <w:t>建筑物名称</w:t>
                  </w:r>
                </w:p>
              </w:tc>
              <w:tc>
                <w:tcPr>
                  <w:tcW w:w="507" w:type="pct"/>
                  <w:vMerge w:val="restart"/>
                  <w:noWrap w:val="0"/>
                  <w:vAlign w:val="center"/>
                </w:tcPr>
                <w:p w14:paraId="264EF628">
                  <w:pPr>
                    <w:jc w:val="center"/>
                    <w:rPr>
                      <w:lang w:val="zh-CN" w:eastAsia="en-US"/>
                    </w:rPr>
                  </w:pPr>
                  <w:r>
                    <w:rPr>
                      <w:lang w:val="zh-CN" w:eastAsia="en-US"/>
                    </w:rPr>
                    <w:t>声源名称</w:t>
                  </w:r>
                </w:p>
              </w:tc>
              <w:tc>
                <w:tcPr>
                  <w:tcW w:w="485" w:type="pct"/>
                  <w:vMerge w:val="restart"/>
                  <w:noWrap w:val="0"/>
                  <w:vAlign w:val="center"/>
                </w:tcPr>
                <w:p w14:paraId="6120DC70">
                  <w:pPr>
                    <w:jc w:val="center"/>
                    <w:rPr>
                      <w:lang w:val="zh-CN"/>
                    </w:rPr>
                  </w:pPr>
                  <w:r>
                    <w:rPr>
                      <w:lang w:val="zh-CN" w:eastAsia="en-US"/>
                    </w:rPr>
                    <w:t>（声压级/距声源距离）/（dB(A)/m）</w:t>
                  </w:r>
                </w:p>
              </w:tc>
              <w:tc>
                <w:tcPr>
                  <w:tcW w:w="433" w:type="pct"/>
                  <w:vMerge w:val="restart"/>
                  <w:noWrap w:val="0"/>
                  <w:vAlign w:val="center"/>
                </w:tcPr>
                <w:p w14:paraId="7A055BC6">
                  <w:pPr>
                    <w:jc w:val="center"/>
                    <w:rPr>
                      <w:lang w:val="zh-CN" w:eastAsia="en-US"/>
                    </w:rPr>
                  </w:pPr>
                  <w:r>
                    <w:rPr>
                      <w:lang w:val="zh-CN" w:eastAsia="en-US"/>
                    </w:rPr>
                    <w:t>声源控制措施</w:t>
                  </w:r>
                </w:p>
              </w:tc>
              <w:tc>
                <w:tcPr>
                  <w:tcW w:w="618" w:type="pct"/>
                  <w:gridSpan w:val="3"/>
                  <w:noWrap w:val="0"/>
                  <w:vAlign w:val="center"/>
                </w:tcPr>
                <w:p w14:paraId="6E79FD93">
                  <w:pPr>
                    <w:jc w:val="center"/>
                    <w:rPr>
                      <w:color w:val="FF0000"/>
                      <w:lang w:val="zh-CN" w:eastAsia="en-US"/>
                    </w:rPr>
                  </w:pPr>
                  <w:r>
                    <w:rPr>
                      <w:color w:val="auto"/>
                      <w:lang w:val="zh-CN" w:eastAsia="en-US"/>
                    </w:rPr>
                    <w:t>空间相对位置/m</w:t>
                  </w:r>
                </w:p>
              </w:tc>
              <w:tc>
                <w:tcPr>
                  <w:tcW w:w="348" w:type="pct"/>
                  <w:vMerge w:val="restart"/>
                  <w:noWrap w:val="0"/>
                  <w:vAlign w:val="center"/>
                </w:tcPr>
                <w:p w14:paraId="50F9D9B3">
                  <w:pPr>
                    <w:jc w:val="center"/>
                    <w:rPr>
                      <w:color w:val="auto"/>
                      <w:lang w:val="zh-CN" w:eastAsia="en-US"/>
                    </w:rPr>
                  </w:pPr>
                  <w:r>
                    <w:rPr>
                      <w:color w:val="auto"/>
                      <w:lang w:val="zh-CN" w:eastAsia="en-US"/>
                    </w:rPr>
                    <w:t>距室内边界距离/m</w:t>
                  </w:r>
                </w:p>
              </w:tc>
              <w:tc>
                <w:tcPr>
                  <w:tcW w:w="393" w:type="pct"/>
                  <w:vMerge w:val="restart"/>
                  <w:noWrap w:val="0"/>
                  <w:vAlign w:val="center"/>
                </w:tcPr>
                <w:p w14:paraId="4B9BE4EF">
                  <w:pPr>
                    <w:jc w:val="center"/>
                    <w:rPr>
                      <w:color w:val="auto"/>
                      <w:lang w:val="zh-CN" w:eastAsia="en-US"/>
                    </w:rPr>
                  </w:pPr>
                  <w:r>
                    <w:rPr>
                      <w:color w:val="auto"/>
                      <w:lang w:val="zh-CN" w:eastAsia="en-US"/>
                    </w:rPr>
                    <w:t>室内边界声级/dB(A)</w:t>
                  </w:r>
                </w:p>
              </w:tc>
              <w:tc>
                <w:tcPr>
                  <w:tcW w:w="591" w:type="pct"/>
                  <w:vMerge w:val="restart"/>
                  <w:noWrap w:val="0"/>
                  <w:vAlign w:val="center"/>
                </w:tcPr>
                <w:p w14:paraId="1D91B678">
                  <w:pPr>
                    <w:jc w:val="center"/>
                    <w:rPr>
                      <w:lang w:val="zh-CN" w:eastAsia="en-US"/>
                    </w:rPr>
                  </w:pPr>
                  <w:r>
                    <w:rPr>
                      <w:lang w:val="zh-CN" w:eastAsia="en-US"/>
                    </w:rPr>
                    <w:t>运行时段</w:t>
                  </w:r>
                </w:p>
              </w:tc>
              <w:tc>
                <w:tcPr>
                  <w:tcW w:w="433" w:type="pct"/>
                  <w:vMerge w:val="restart"/>
                  <w:noWrap w:val="0"/>
                  <w:vAlign w:val="center"/>
                </w:tcPr>
                <w:p w14:paraId="64C3E43C">
                  <w:pPr>
                    <w:jc w:val="center"/>
                    <w:rPr>
                      <w:lang w:val="zh-CN" w:eastAsia="en-US"/>
                    </w:rPr>
                  </w:pPr>
                  <w:r>
                    <w:rPr>
                      <w:lang w:val="zh-CN" w:eastAsia="en-US"/>
                    </w:rPr>
                    <w:t>建筑物插入损失/dB(A)</w:t>
                  </w:r>
                </w:p>
              </w:tc>
              <w:tc>
                <w:tcPr>
                  <w:tcW w:w="636" w:type="pct"/>
                  <w:gridSpan w:val="2"/>
                  <w:noWrap w:val="0"/>
                  <w:vAlign w:val="center"/>
                </w:tcPr>
                <w:p w14:paraId="11309BE0">
                  <w:pPr>
                    <w:jc w:val="center"/>
                    <w:rPr>
                      <w:lang w:val="zh-CN" w:eastAsia="en-US"/>
                    </w:rPr>
                  </w:pPr>
                  <w:r>
                    <w:rPr>
                      <w:lang w:val="zh-CN" w:eastAsia="en-US"/>
                    </w:rPr>
                    <w:t>建筑物外噪声</w:t>
                  </w:r>
                </w:p>
              </w:tc>
            </w:tr>
            <w:tr w14:paraId="6875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Header/>
                <w:jc w:val="center"/>
              </w:trPr>
              <w:tc>
                <w:tcPr>
                  <w:tcW w:w="252" w:type="pct"/>
                  <w:vMerge w:val="continue"/>
                  <w:noWrap w:val="0"/>
                  <w:vAlign w:val="center"/>
                </w:tcPr>
                <w:p w14:paraId="430FFC73">
                  <w:pPr>
                    <w:jc w:val="center"/>
                    <w:rPr>
                      <w:lang w:val="zh-CN" w:eastAsia="en-US"/>
                    </w:rPr>
                  </w:pPr>
                </w:p>
              </w:tc>
              <w:tc>
                <w:tcPr>
                  <w:tcW w:w="298" w:type="pct"/>
                  <w:vMerge w:val="continue"/>
                  <w:noWrap w:val="0"/>
                  <w:vAlign w:val="center"/>
                </w:tcPr>
                <w:p w14:paraId="4B6F51F1">
                  <w:pPr>
                    <w:jc w:val="center"/>
                    <w:rPr>
                      <w:lang w:val="zh-CN" w:eastAsia="en-US"/>
                    </w:rPr>
                  </w:pPr>
                </w:p>
              </w:tc>
              <w:tc>
                <w:tcPr>
                  <w:tcW w:w="507" w:type="pct"/>
                  <w:vMerge w:val="continue"/>
                  <w:noWrap w:val="0"/>
                  <w:vAlign w:val="center"/>
                </w:tcPr>
                <w:p w14:paraId="38B96C2E">
                  <w:pPr>
                    <w:jc w:val="center"/>
                    <w:rPr>
                      <w:lang w:val="zh-CN" w:eastAsia="en-US"/>
                    </w:rPr>
                  </w:pPr>
                </w:p>
              </w:tc>
              <w:tc>
                <w:tcPr>
                  <w:tcW w:w="485" w:type="pct"/>
                  <w:vMerge w:val="continue"/>
                  <w:noWrap w:val="0"/>
                  <w:vAlign w:val="center"/>
                </w:tcPr>
                <w:p w14:paraId="569C1AB7">
                  <w:pPr>
                    <w:jc w:val="center"/>
                    <w:rPr>
                      <w:lang w:val="zh-CN" w:eastAsia="en-US"/>
                    </w:rPr>
                  </w:pPr>
                </w:p>
              </w:tc>
              <w:tc>
                <w:tcPr>
                  <w:tcW w:w="433" w:type="pct"/>
                  <w:vMerge w:val="continue"/>
                  <w:noWrap w:val="0"/>
                  <w:vAlign w:val="center"/>
                </w:tcPr>
                <w:p w14:paraId="7AC101DA">
                  <w:pPr>
                    <w:jc w:val="center"/>
                    <w:rPr>
                      <w:lang w:val="zh-CN" w:eastAsia="en-US"/>
                    </w:rPr>
                  </w:pPr>
                </w:p>
              </w:tc>
              <w:tc>
                <w:tcPr>
                  <w:tcW w:w="206" w:type="pct"/>
                  <w:noWrap w:val="0"/>
                  <w:vAlign w:val="center"/>
                </w:tcPr>
                <w:p w14:paraId="558086E2">
                  <w:pPr>
                    <w:jc w:val="center"/>
                    <w:rPr>
                      <w:color w:val="auto"/>
                      <w:lang w:val="zh-CN" w:eastAsia="en-US"/>
                    </w:rPr>
                  </w:pPr>
                  <w:r>
                    <w:rPr>
                      <w:color w:val="auto"/>
                      <w:lang w:val="zh-CN" w:eastAsia="en-US"/>
                    </w:rPr>
                    <w:t>X</w:t>
                  </w:r>
                </w:p>
              </w:tc>
              <w:tc>
                <w:tcPr>
                  <w:tcW w:w="206" w:type="pct"/>
                  <w:noWrap w:val="0"/>
                  <w:vAlign w:val="center"/>
                </w:tcPr>
                <w:p w14:paraId="5F739DA0">
                  <w:pPr>
                    <w:jc w:val="center"/>
                    <w:rPr>
                      <w:color w:val="auto"/>
                      <w:lang w:val="zh-CN" w:eastAsia="en-US"/>
                    </w:rPr>
                  </w:pPr>
                  <w:r>
                    <w:rPr>
                      <w:color w:val="auto"/>
                      <w:lang w:val="zh-CN" w:eastAsia="en-US"/>
                    </w:rPr>
                    <w:t>Y</w:t>
                  </w:r>
                </w:p>
              </w:tc>
              <w:tc>
                <w:tcPr>
                  <w:tcW w:w="206" w:type="pct"/>
                  <w:noWrap w:val="0"/>
                  <w:vAlign w:val="center"/>
                </w:tcPr>
                <w:p w14:paraId="788D82D0">
                  <w:pPr>
                    <w:jc w:val="center"/>
                    <w:rPr>
                      <w:color w:val="auto"/>
                      <w:lang w:val="zh-CN" w:eastAsia="en-US"/>
                    </w:rPr>
                  </w:pPr>
                  <w:r>
                    <w:rPr>
                      <w:color w:val="auto"/>
                      <w:lang w:val="zh-CN" w:eastAsia="en-US"/>
                    </w:rPr>
                    <w:t>Z</w:t>
                  </w:r>
                </w:p>
              </w:tc>
              <w:tc>
                <w:tcPr>
                  <w:tcW w:w="348" w:type="pct"/>
                  <w:vMerge w:val="continue"/>
                  <w:noWrap w:val="0"/>
                  <w:vAlign w:val="center"/>
                </w:tcPr>
                <w:p w14:paraId="02D943BB">
                  <w:pPr>
                    <w:jc w:val="center"/>
                    <w:rPr>
                      <w:color w:val="auto"/>
                      <w:lang w:val="zh-CN" w:eastAsia="en-US"/>
                    </w:rPr>
                  </w:pPr>
                </w:p>
              </w:tc>
              <w:tc>
                <w:tcPr>
                  <w:tcW w:w="393" w:type="pct"/>
                  <w:vMerge w:val="continue"/>
                  <w:noWrap w:val="0"/>
                  <w:vAlign w:val="center"/>
                </w:tcPr>
                <w:p w14:paraId="6759D9E6">
                  <w:pPr>
                    <w:jc w:val="center"/>
                    <w:rPr>
                      <w:color w:val="auto"/>
                      <w:lang w:val="zh-CN" w:eastAsia="en-US"/>
                    </w:rPr>
                  </w:pPr>
                </w:p>
              </w:tc>
              <w:tc>
                <w:tcPr>
                  <w:tcW w:w="591" w:type="pct"/>
                  <w:vMerge w:val="continue"/>
                  <w:noWrap w:val="0"/>
                  <w:vAlign w:val="center"/>
                </w:tcPr>
                <w:p w14:paraId="0C885762">
                  <w:pPr>
                    <w:jc w:val="center"/>
                    <w:rPr>
                      <w:lang w:val="zh-CN" w:eastAsia="en-US"/>
                    </w:rPr>
                  </w:pPr>
                </w:p>
              </w:tc>
              <w:tc>
                <w:tcPr>
                  <w:tcW w:w="433" w:type="pct"/>
                  <w:vMerge w:val="continue"/>
                  <w:noWrap w:val="0"/>
                  <w:vAlign w:val="center"/>
                </w:tcPr>
                <w:p w14:paraId="6BC16C03">
                  <w:pPr>
                    <w:jc w:val="center"/>
                    <w:rPr>
                      <w:lang w:val="zh-CN" w:eastAsia="en-US"/>
                    </w:rPr>
                  </w:pPr>
                </w:p>
              </w:tc>
              <w:tc>
                <w:tcPr>
                  <w:tcW w:w="313" w:type="pct"/>
                  <w:noWrap w:val="0"/>
                  <w:vAlign w:val="center"/>
                </w:tcPr>
                <w:p w14:paraId="2DB7390A">
                  <w:pPr>
                    <w:jc w:val="center"/>
                    <w:rPr>
                      <w:lang w:val="zh-CN" w:eastAsia="en-US"/>
                    </w:rPr>
                  </w:pPr>
                  <w:r>
                    <w:rPr>
                      <w:lang w:val="zh-CN" w:eastAsia="en-US"/>
                    </w:rPr>
                    <w:t>声压级</w:t>
                  </w:r>
                </w:p>
                <w:p w14:paraId="14379089">
                  <w:pPr>
                    <w:jc w:val="center"/>
                    <w:rPr>
                      <w:lang w:val="zh-CN" w:eastAsia="en-US"/>
                    </w:rPr>
                  </w:pPr>
                  <w:r>
                    <w:rPr>
                      <w:lang w:val="zh-CN" w:eastAsia="en-US"/>
                    </w:rPr>
                    <w:t>/dB(A)</w:t>
                  </w:r>
                </w:p>
              </w:tc>
              <w:tc>
                <w:tcPr>
                  <w:tcW w:w="322" w:type="pct"/>
                  <w:noWrap w:val="0"/>
                  <w:vAlign w:val="center"/>
                </w:tcPr>
                <w:p w14:paraId="19038363">
                  <w:pPr>
                    <w:jc w:val="center"/>
                    <w:rPr>
                      <w:lang w:val="zh-CN" w:eastAsia="en-US"/>
                    </w:rPr>
                  </w:pPr>
                  <w:r>
                    <w:rPr>
                      <w:lang w:val="zh-CN" w:eastAsia="en-US"/>
                    </w:rPr>
                    <w:t>建筑物外距离</w:t>
                  </w:r>
                </w:p>
              </w:tc>
            </w:tr>
            <w:tr w14:paraId="7BC1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252" w:type="pct"/>
                  <w:vMerge w:val="restart"/>
                  <w:noWrap w:val="0"/>
                  <w:vAlign w:val="center"/>
                </w:tcPr>
                <w:p w14:paraId="1EE6133E">
                  <w:pPr>
                    <w:autoSpaceDE w:val="0"/>
                    <w:autoSpaceDN w:val="0"/>
                    <w:jc w:val="center"/>
                    <w:rPr>
                      <w:szCs w:val="21"/>
                      <w:lang w:eastAsia="en-US" w:bidi="zh-CN"/>
                    </w:rPr>
                  </w:pPr>
                  <w:r>
                    <w:rPr>
                      <w:szCs w:val="21"/>
                      <w:lang w:eastAsia="en-US" w:bidi="zh-CN"/>
                    </w:rPr>
                    <w:t>1</w:t>
                  </w:r>
                </w:p>
              </w:tc>
              <w:tc>
                <w:tcPr>
                  <w:tcW w:w="298" w:type="pct"/>
                  <w:vMerge w:val="restart"/>
                  <w:noWrap w:val="0"/>
                  <w:vAlign w:val="center"/>
                </w:tcPr>
                <w:p w14:paraId="5BB4CEA1">
                  <w:pPr>
                    <w:autoSpaceDE w:val="0"/>
                    <w:autoSpaceDN w:val="0"/>
                    <w:jc w:val="center"/>
                    <w:rPr>
                      <w:szCs w:val="21"/>
                      <w:lang w:bidi="zh-CN"/>
                    </w:rPr>
                  </w:pPr>
                  <w:r>
                    <w:rPr>
                      <w:color w:val="auto"/>
                      <w:kern w:val="0"/>
                      <w:szCs w:val="21"/>
                    </w:rPr>
                    <w:t>厂房</w:t>
                  </w:r>
                </w:p>
              </w:tc>
              <w:tc>
                <w:tcPr>
                  <w:tcW w:w="507" w:type="pct"/>
                  <w:noWrap w:val="0"/>
                  <w:vAlign w:val="center"/>
                </w:tcPr>
                <w:p w14:paraId="6EDA406B">
                  <w:pPr>
                    <w:widowControl/>
                    <w:jc w:val="center"/>
                    <w:textAlignment w:val="center"/>
                    <w:rPr>
                      <w:szCs w:val="21"/>
                      <w:lang w:val="zh-TW" w:eastAsia="zh-TW"/>
                    </w:rPr>
                  </w:pPr>
                  <w:r>
                    <w:rPr>
                      <w:rFonts w:hint="eastAsia"/>
                      <w:kern w:val="0"/>
                      <w:szCs w:val="21"/>
                      <w:lang w:val="en-US" w:eastAsia="zh-CN" w:bidi="ar"/>
                    </w:rPr>
                    <w:t>挤出机</w:t>
                  </w:r>
                  <w:r>
                    <w:rPr>
                      <w:kern w:val="0"/>
                      <w:szCs w:val="21"/>
                      <w:lang w:bidi="ar"/>
                    </w:rPr>
                    <w:t>（</w:t>
                  </w:r>
                  <w:r>
                    <w:rPr>
                      <w:rFonts w:hint="eastAsia"/>
                      <w:kern w:val="0"/>
                      <w:szCs w:val="21"/>
                      <w:lang w:val="en-US" w:eastAsia="zh-CN" w:bidi="ar"/>
                    </w:rPr>
                    <w:t>1</w:t>
                  </w:r>
                  <w:r>
                    <w:rPr>
                      <w:rFonts w:hint="eastAsia"/>
                      <w:kern w:val="0"/>
                      <w:szCs w:val="21"/>
                      <w:lang w:bidi="ar"/>
                    </w:rPr>
                    <w:t>台</w:t>
                  </w:r>
                  <w:r>
                    <w:rPr>
                      <w:kern w:val="0"/>
                      <w:szCs w:val="21"/>
                      <w:lang w:bidi="ar"/>
                    </w:rPr>
                    <w:t>）</w:t>
                  </w:r>
                </w:p>
              </w:tc>
              <w:tc>
                <w:tcPr>
                  <w:tcW w:w="485" w:type="pct"/>
                  <w:noWrap w:val="0"/>
                  <w:vAlign w:val="center"/>
                </w:tcPr>
                <w:p w14:paraId="43A58544">
                  <w:pPr>
                    <w:widowControl/>
                    <w:jc w:val="center"/>
                    <w:textAlignment w:val="center"/>
                    <w:rPr>
                      <w:szCs w:val="21"/>
                    </w:rPr>
                  </w:pPr>
                  <w:r>
                    <w:rPr>
                      <w:rFonts w:hint="eastAsia"/>
                      <w:szCs w:val="21"/>
                    </w:rPr>
                    <w:t>7</w:t>
                  </w:r>
                  <w:r>
                    <w:rPr>
                      <w:rFonts w:hint="eastAsia"/>
                      <w:szCs w:val="21"/>
                      <w:lang w:val="en-US" w:eastAsia="zh-CN"/>
                    </w:rPr>
                    <w:t>0</w:t>
                  </w:r>
                  <w:r>
                    <w:rPr>
                      <w:szCs w:val="21"/>
                    </w:rPr>
                    <w:t>/1</w:t>
                  </w:r>
                </w:p>
              </w:tc>
              <w:tc>
                <w:tcPr>
                  <w:tcW w:w="433" w:type="pct"/>
                  <w:vMerge w:val="restart"/>
                  <w:noWrap w:val="0"/>
                  <w:vAlign w:val="center"/>
                </w:tcPr>
                <w:p w14:paraId="1FA6909A">
                  <w:pPr>
                    <w:adjustRightInd w:val="0"/>
                    <w:snapToGrid w:val="0"/>
                    <w:spacing w:line="0" w:lineRule="atLeast"/>
                    <w:jc w:val="right"/>
                    <w:rPr>
                      <w:rFonts w:hint="eastAsia" w:eastAsia="宋体"/>
                      <w:szCs w:val="21"/>
                      <w:lang w:eastAsia="zh-CN"/>
                    </w:rPr>
                  </w:pPr>
                  <w:r>
                    <w:rPr>
                      <w:color w:val="auto"/>
                      <w:szCs w:val="21"/>
                    </w:rPr>
                    <w:t>低噪设备，厂房隔声，基础减震</w:t>
                  </w:r>
                  <w:r>
                    <w:rPr>
                      <w:rFonts w:hint="eastAsia"/>
                      <w:color w:val="auto"/>
                      <w:szCs w:val="21"/>
                      <w:lang w:eastAsia="zh-CN"/>
                    </w:rPr>
                    <w:t>，</w:t>
                  </w:r>
                  <w:r>
                    <w:rPr>
                      <w:color w:val="auto"/>
                      <w:szCs w:val="21"/>
                    </w:rPr>
                    <w:t>加强绿化</w:t>
                  </w:r>
                  <w:r>
                    <w:rPr>
                      <w:rFonts w:hint="eastAsia"/>
                      <w:color w:val="auto"/>
                      <w:szCs w:val="21"/>
                      <w:lang w:eastAsia="zh-CN"/>
                    </w:rPr>
                    <w:t>。</w:t>
                  </w:r>
                </w:p>
              </w:tc>
              <w:tc>
                <w:tcPr>
                  <w:tcW w:w="206" w:type="pct"/>
                  <w:noWrap w:val="0"/>
                  <w:vAlign w:val="center"/>
                </w:tcPr>
                <w:p w14:paraId="1DE98A69">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80</w:t>
                  </w:r>
                </w:p>
              </w:tc>
              <w:tc>
                <w:tcPr>
                  <w:tcW w:w="206" w:type="pct"/>
                  <w:noWrap w:val="0"/>
                  <w:vAlign w:val="center"/>
                </w:tcPr>
                <w:p w14:paraId="72B45274">
                  <w:pPr>
                    <w:jc w:val="center"/>
                    <w:rPr>
                      <w:rFonts w:hint="default"/>
                      <w:color w:val="auto"/>
                      <w:lang w:val="en-US"/>
                    </w:rPr>
                  </w:pPr>
                  <w:r>
                    <w:rPr>
                      <w:rFonts w:hint="eastAsia"/>
                      <w:color w:val="auto"/>
                      <w:szCs w:val="21"/>
                      <w:lang w:val="en-US" w:bidi="zh-CN"/>
                    </w:rPr>
                    <w:t>10</w:t>
                  </w:r>
                </w:p>
              </w:tc>
              <w:tc>
                <w:tcPr>
                  <w:tcW w:w="206" w:type="pct"/>
                  <w:noWrap w:val="0"/>
                  <w:vAlign w:val="center"/>
                </w:tcPr>
                <w:p w14:paraId="5E9466B6">
                  <w:pPr>
                    <w:autoSpaceDE w:val="0"/>
                    <w:autoSpaceDN w:val="0"/>
                    <w:jc w:val="center"/>
                    <w:rPr>
                      <w:rFonts w:hint="default"/>
                      <w:color w:val="auto"/>
                      <w:szCs w:val="21"/>
                      <w:lang w:val="en-US" w:bidi="zh-CN"/>
                    </w:rPr>
                  </w:pPr>
                  <w:r>
                    <w:rPr>
                      <w:rFonts w:hint="eastAsia"/>
                      <w:color w:val="auto"/>
                      <w:szCs w:val="21"/>
                      <w:lang w:val="en-US" w:bidi="zh-CN"/>
                    </w:rPr>
                    <w:t>1.2</w:t>
                  </w:r>
                </w:p>
              </w:tc>
              <w:tc>
                <w:tcPr>
                  <w:tcW w:w="348" w:type="pct"/>
                  <w:noWrap w:val="0"/>
                  <w:vAlign w:val="center"/>
                </w:tcPr>
                <w:p w14:paraId="27B02B8D">
                  <w:pPr>
                    <w:widowControl/>
                    <w:jc w:val="center"/>
                    <w:textAlignment w:val="center"/>
                    <w:rPr>
                      <w:rFonts w:hint="default" w:eastAsia="宋体"/>
                      <w:color w:val="auto"/>
                      <w:szCs w:val="21"/>
                      <w:lang w:val="en-US" w:eastAsia="zh-CN"/>
                    </w:rPr>
                  </w:pPr>
                  <w:r>
                    <w:rPr>
                      <w:rFonts w:hint="eastAsia"/>
                      <w:color w:val="auto"/>
                      <w:szCs w:val="21"/>
                      <w:lang w:val="en-US" w:eastAsia="zh-CN"/>
                    </w:rPr>
                    <w:t>5</w:t>
                  </w:r>
                </w:p>
              </w:tc>
              <w:tc>
                <w:tcPr>
                  <w:tcW w:w="393" w:type="pct"/>
                  <w:noWrap w:val="0"/>
                  <w:vAlign w:val="center"/>
                </w:tcPr>
                <w:p w14:paraId="0E9C2941">
                  <w:pPr>
                    <w:autoSpaceDE w:val="0"/>
                    <w:autoSpaceDN w:val="0"/>
                    <w:jc w:val="center"/>
                    <w:rPr>
                      <w:rFonts w:hint="default"/>
                      <w:color w:val="auto"/>
                      <w:szCs w:val="21"/>
                      <w:lang w:val="en-US" w:bidi="zh-CN"/>
                    </w:rPr>
                  </w:pPr>
                  <w:r>
                    <w:rPr>
                      <w:rFonts w:hint="eastAsia"/>
                      <w:color w:val="auto"/>
                      <w:szCs w:val="21"/>
                      <w:lang w:val="en-US" w:bidi="zh-CN"/>
                    </w:rPr>
                    <w:t>59.2</w:t>
                  </w:r>
                </w:p>
              </w:tc>
              <w:tc>
                <w:tcPr>
                  <w:tcW w:w="591" w:type="pct"/>
                  <w:noWrap w:val="0"/>
                  <w:vAlign w:val="center"/>
                </w:tcPr>
                <w:p w14:paraId="5167A4F2">
                  <w:pPr>
                    <w:autoSpaceDE w:val="0"/>
                    <w:autoSpaceDN w:val="0"/>
                    <w:spacing w:line="320" w:lineRule="exact"/>
                    <w:jc w:val="center"/>
                    <w:rPr>
                      <w:kern w:val="2"/>
                      <w:sz w:val="21"/>
                      <w:szCs w:val="21"/>
                      <w:lang w:val="zh-CN" w:eastAsia="zh-CN" w:bidi="zh-CN"/>
                    </w:rPr>
                  </w:pPr>
                  <w:r>
                    <w:rPr>
                      <w:rFonts w:hint="eastAsia"/>
                      <w:lang w:val="en-US" w:eastAsia="zh-CN"/>
                    </w:rPr>
                    <w:t>9</w:t>
                  </w:r>
                  <w:r>
                    <w:rPr>
                      <w:rFonts w:hint="eastAsia"/>
                    </w:rPr>
                    <w:t>：00-</w:t>
                  </w:r>
                  <w:r>
                    <w:rPr>
                      <w:rFonts w:hint="eastAsia"/>
                      <w:lang w:val="en-US" w:eastAsia="zh-CN"/>
                    </w:rPr>
                    <w:t>18：</w:t>
                  </w:r>
                  <w:r>
                    <w:rPr>
                      <w:rFonts w:hint="eastAsia"/>
                    </w:rPr>
                    <w:t>00</w:t>
                  </w:r>
                </w:p>
              </w:tc>
              <w:tc>
                <w:tcPr>
                  <w:tcW w:w="433" w:type="pct"/>
                  <w:noWrap w:val="0"/>
                  <w:vAlign w:val="center"/>
                </w:tcPr>
                <w:p w14:paraId="2DAF959A">
                  <w:pPr>
                    <w:widowControl/>
                    <w:jc w:val="center"/>
                    <w:textAlignment w:val="center"/>
                    <w:rPr>
                      <w:szCs w:val="21"/>
                      <w:lang w:bidi="zh-CN"/>
                    </w:rPr>
                  </w:pPr>
                  <w:r>
                    <w:rPr>
                      <w:szCs w:val="21"/>
                      <w:lang w:bidi="zh-CN"/>
                    </w:rPr>
                    <w:t>20</w:t>
                  </w:r>
                </w:p>
              </w:tc>
              <w:tc>
                <w:tcPr>
                  <w:tcW w:w="313" w:type="pct"/>
                  <w:noWrap w:val="0"/>
                  <w:vAlign w:val="center"/>
                </w:tcPr>
                <w:p w14:paraId="728A72E6">
                  <w:pPr>
                    <w:widowControl/>
                    <w:jc w:val="center"/>
                    <w:textAlignment w:val="center"/>
                    <w:rPr>
                      <w:rFonts w:hint="default" w:eastAsia="宋体"/>
                      <w:szCs w:val="21"/>
                      <w:lang w:val="en-US" w:eastAsia="zh-CN" w:bidi="zh-CN"/>
                    </w:rPr>
                  </w:pPr>
                  <w:r>
                    <w:rPr>
                      <w:rFonts w:hint="eastAsia"/>
                      <w:kern w:val="0"/>
                      <w:szCs w:val="21"/>
                      <w:lang w:val="en-US" w:eastAsia="zh-CN" w:bidi="ar"/>
                    </w:rPr>
                    <w:t>39.2</w:t>
                  </w:r>
                </w:p>
              </w:tc>
              <w:tc>
                <w:tcPr>
                  <w:tcW w:w="322" w:type="pct"/>
                  <w:noWrap w:val="0"/>
                  <w:vAlign w:val="center"/>
                </w:tcPr>
                <w:p w14:paraId="5B8C73CB">
                  <w:pPr>
                    <w:autoSpaceDE w:val="0"/>
                    <w:autoSpaceDN w:val="0"/>
                    <w:jc w:val="center"/>
                    <w:rPr>
                      <w:rFonts w:hint="default"/>
                      <w:szCs w:val="21"/>
                      <w:lang w:val="en-US" w:bidi="zh-CN"/>
                    </w:rPr>
                  </w:pPr>
                  <w:r>
                    <w:rPr>
                      <w:rFonts w:hint="eastAsia"/>
                      <w:szCs w:val="21"/>
                      <w:lang w:val="en-US" w:bidi="zh-CN"/>
                    </w:rPr>
                    <w:t>10</w:t>
                  </w:r>
                </w:p>
              </w:tc>
            </w:tr>
            <w:tr w14:paraId="2E5B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252" w:type="pct"/>
                  <w:vMerge w:val="continue"/>
                  <w:noWrap w:val="0"/>
                  <w:vAlign w:val="center"/>
                </w:tcPr>
                <w:p w14:paraId="2EB0A99D">
                  <w:pPr>
                    <w:autoSpaceDE w:val="0"/>
                    <w:autoSpaceDN w:val="0"/>
                    <w:jc w:val="center"/>
                    <w:rPr>
                      <w:szCs w:val="21"/>
                      <w:lang w:eastAsia="en-US" w:bidi="zh-CN"/>
                    </w:rPr>
                  </w:pPr>
                </w:p>
              </w:tc>
              <w:tc>
                <w:tcPr>
                  <w:tcW w:w="298" w:type="pct"/>
                  <w:vMerge w:val="continue"/>
                  <w:noWrap w:val="0"/>
                  <w:vAlign w:val="center"/>
                </w:tcPr>
                <w:p w14:paraId="2C28E81B">
                  <w:pPr>
                    <w:autoSpaceDE w:val="0"/>
                    <w:autoSpaceDN w:val="0"/>
                    <w:jc w:val="center"/>
                    <w:rPr>
                      <w:color w:val="auto"/>
                      <w:kern w:val="0"/>
                      <w:szCs w:val="21"/>
                    </w:rPr>
                  </w:pPr>
                </w:p>
              </w:tc>
              <w:tc>
                <w:tcPr>
                  <w:tcW w:w="507" w:type="pct"/>
                  <w:noWrap w:val="0"/>
                  <w:vAlign w:val="center"/>
                </w:tcPr>
                <w:p w14:paraId="0A161527">
                  <w:pPr>
                    <w:widowControl/>
                    <w:jc w:val="center"/>
                    <w:textAlignment w:val="center"/>
                    <w:rPr>
                      <w:rFonts w:hint="default"/>
                      <w:kern w:val="0"/>
                      <w:szCs w:val="21"/>
                      <w:lang w:val="en-US" w:eastAsia="zh-CN" w:bidi="ar"/>
                    </w:rPr>
                  </w:pPr>
                  <w:r>
                    <w:rPr>
                      <w:rFonts w:hint="eastAsia"/>
                      <w:kern w:val="0"/>
                      <w:szCs w:val="21"/>
                      <w:lang w:val="en-US" w:eastAsia="zh-CN" w:bidi="ar"/>
                    </w:rPr>
                    <w:t>绕卷机（1台）</w:t>
                  </w:r>
                </w:p>
              </w:tc>
              <w:tc>
                <w:tcPr>
                  <w:tcW w:w="485" w:type="pct"/>
                  <w:noWrap w:val="0"/>
                  <w:vAlign w:val="center"/>
                </w:tcPr>
                <w:p w14:paraId="4EB216C4">
                  <w:pPr>
                    <w:widowControl/>
                    <w:jc w:val="center"/>
                    <w:textAlignment w:val="center"/>
                    <w:rPr>
                      <w:rFonts w:hint="default" w:eastAsia="宋体"/>
                      <w:szCs w:val="21"/>
                      <w:lang w:val="en-US" w:eastAsia="zh-CN"/>
                    </w:rPr>
                  </w:pPr>
                  <w:r>
                    <w:rPr>
                      <w:rFonts w:hint="eastAsia"/>
                      <w:szCs w:val="21"/>
                      <w:lang w:val="en-US" w:eastAsia="zh-CN"/>
                    </w:rPr>
                    <w:t>72/1</w:t>
                  </w:r>
                </w:p>
              </w:tc>
              <w:tc>
                <w:tcPr>
                  <w:tcW w:w="433" w:type="pct"/>
                  <w:vMerge w:val="continue"/>
                  <w:noWrap w:val="0"/>
                  <w:vAlign w:val="center"/>
                </w:tcPr>
                <w:p w14:paraId="219F9C2F">
                  <w:pPr>
                    <w:adjustRightInd w:val="0"/>
                    <w:snapToGrid w:val="0"/>
                    <w:spacing w:line="0" w:lineRule="atLeast"/>
                    <w:jc w:val="right"/>
                    <w:rPr>
                      <w:color w:val="auto"/>
                      <w:szCs w:val="21"/>
                    </w:rPr>
                  </w:pPr>
                </w:p>
              </w:tc>
              <w:tc>
                <w:tcPr>
                  <w:tcW w:w="206" w:type="pct"/>
                  <w:noWrap w:val="0"/>
                  <w:vAlign w:val="center"/>
                </w:tcPr>
                <w:p w14:paraId="568A4300">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80</w:t>
                  </w:r>
                </w:p>
              </w:tc>
              <w:tc>
                <w:tcPr>
                  <w:tcW w:w="206" w:type="pct"/>
                  <w:noWrap w:val="0"/>
                  <w:vAlign w:val="center"/>
                </w:tcPr>
                <w:p w14:paraId="74CE8B97">
                  <w:pPr>
                    <w:jc w:val="center"/>
                    <w:rPr>
                      <w:rFonts w:hint="default"/>
                      <w:color w:val="auto"/>
                      <w:szCs w:val="21"/>
                      <w:lang w:val="en-US" w:bidi="zh-CN"/>
                    </w:rPr>
                  </w:pPr>
                  <w:r>
                    <w:rPr>
                      <w:rFonts w:hint="eastAsia"/>
                      <w:color w:val="auto"/>
                      <w:szCs w:val="21"/>
                      <w:lang w:val="en-US" w:bidi="zh-CN"/>
                    </w:rPr>
                    <w:t>20</w:t>
                  </w:r>
                </w:p>
              </w:tc>
              <w:tc>
                <w:tcPr>
                  <w:tcW w:w="206" w:type="pct"/>
                  <w:noWrap w:val="0"/>
                  <w:vAlign w:val="center"/>
                </w:tcPr>
                <w:p w14:paraId="2617C1BC">
                  <w:pPr>
                    <w:autoSpaceDE w:val="0"/>
                    <w:autoSpaceDN w:val="0"/>
                    <w:jc w:val="center"/>
                    <w:rPr>
                      <w:rFonts w:hint="default"/>
                      <w:color w:val="auto"/>
                      <w:szCs w:val="21"/>
                      <w:lang w:val="en-US" w:bidi="zh-CN"/>
                    </w:rPr>
                  </w:pPr>
                  <w:r>
                    <w:rPr>
                      <w:rFonts w:hint="eastAsia"/>
                      <w:color w:val="auto"/>
                      <w:szCs w:val="21"/>
                      <w:lang w:val="en-US" w:bidi="zh-CN"/>
                    </w:rPr>
                    <w:t>1.5</w:t>
                  </w:r>
                </w:p>
              </w:tc>
              <w:tc>
                <w:tcPr>
                  <w:tcW w:w="348" w:type="pct"/>
                  <w:noWrap w:val="0"/>
                  <w:vAlign w:val="center"/>
                </w:tcPr>
                <w:p w14:paraId="2F5CDB88">
                  <w:pPr>
                    <w:widowControl/>
                    <w:jc w:val="center"/>
                    <w:textAlignment w:val="center"/>
                    <w:rPr>
                      <w:rFonts w:hint="default"/>
                      <w:color w:val="auto"/>
                      <w:kern w:val="0"/>
                      <w:szCs w:val="21"/>
                      <w:lang w:val="en-US" w:eastAsia="zh-CN" w:bidi="ar"/>
                    </w:rPr>
                  </w:pPr>
                  <w:r>
                    <w:rPr>
                      <w:rFonts w:hint="eastAsia"/>
                      <w:color w:val="auto"/>
                      <w:kern w:val="0"/>
                      <w:szCs w:val="21"/>
                      <w:lang w:val="en-US" w:eastAsia="zh-CN" w:bidi="ar"/>
                    </w:rPr>
                    <w:t>5</w:t>
                  </w:r>
                </w:p>
              </w:tc>
              <w:tc>
                <w:tcPr>
                  <w:tcW w:w="393" w:type="pct"/>
                  <w:noWrap w:val="0"/>
                  <w:vAlign w:val="center"/>
                </w:tcPr>
                <w:p w14:paraId="6D07E24B">
                  <w:pPr>
                    <w:autoSpaceDE w:val="0"/>
                    <w:autoSpaceDN w:val="0"/>
                    <w:jc w:val="center"/>
                    <w:rPr>
                      <w:rFonts w:hint="default"/>
                      <w:color w:val="auto"/>
                      <w:szCs w:val="21"/>
                      <w:lang w:val="en-US" w:bidi="zh-CN"/>
                    </w:rPr>
                  </w:pPr>
                  <w:r>
                    <w:rPr>
                      <w:rFonts w:hint="eastAsia"/>
                      <w:color w:val="auto"/>
                      <w:szCs w:val="21"/>
                      <w:lang w:val="en-US" w:bidi="zh-CN"/>
                    </w:rPr>
                    <w:t>61.1</w:t>
                  </w:r>
                </w:p>
              </w:tc>
              <w:tc>
                <w:tcPr>
                  <w:tcW w:w="591" w:type="pct"/>
                  <w:noWrap w:val="0"/>
                  <w:vAlign w:val="center"/>
                </w:tcPr>
                <w:p w14:paraId="53B07146">
                  <w:pPr>
                    <w:autoSpaceDE w:val="0"/>
                    <w:autoSpaceDN w:val="0"/>
                    <w:spacing w:line="320" w:lineRule="exact"/>
                    <w:jc w:val="center"/>
                    <w:rPr>
                      <w:rFonts w:hint="eastAsia"/>
                      <w:lang w:val="en-US" w:eastAsia="zh-CN"/>
                    </w:rPr>
                  </w:pPr>
                  <w:r>
                    <w:rPr>
                      <w:rFonts w:hint="eastAsia"/>
                      <w:lang w:val="en-US" w:eastAsia="zh-CN"/>
                    </w:rPr>
                    <w:t>9</w:t>
                  </w:r>
                  <w:r>
                    <w:rPr>
                      <w:rFonts w:hint="eastAsia"/>
                    </w:rPr>
                    <w:t>：00-</w:t>
                  </w:r>
                  <w:r>
                    <w:rPr>
                      <w:rFonts w:hint="eastAsia"/>
                      <w:lang w:val="en-US" w:eastAsia="zh-CN"/>
                    </w:rPr>
                    <w:t>18：</w:t>
                  </w:r>
                  <w:r>
                    <w:rPr>
                      <w:rFonts w:hint="eastAsia"/>
                    </w:rPr>
                    <w:t>00</w:t>
                  </w:r>
                </w:p>
              </w:tc>
              <w:tc>
                <w:tcPr>
                  <w:tcW w:w="433" w:type="pct"/>
                  <w:noWrap w:val="0"/>
                  <w:vAlign w:val="center"/>
                </w:tcPr>
                <w:p w14:paraId="194524C4">
                  <w:pPr>
                    <w:widowControl/>
                    <w:jc w:val="center"/>
                    <w:textAlignment w:val="center"/>
                    <w:rPr>
                      <w:rFonts w:hint="default"/>
                      <w:szCs w:val="21"/>
                      <w:lang w:val="en-US" w:bidi="zh-CN"/>
                    </w:rPr>
                  </w:pPr>
                  <w:r>
                    <w:rPr>
                      <w:rFonts w:hint="eastAsia"/>
                      <w:szCs w:val="21"/>
                      <w:lang w:val="en-US" w:bidi="zh-CN"/>
                    </w:rPr>
                    <w:t>20</w:t>
                  </w:r>
                </w:p>
              </w:tc>
              <w:tc>
                <w:tcPr>
                  <w:tcW w:w="313" w:type="pct"/>
                  <w:noWrap w:val="0"/>
                  <w:vAlign w:val="center"/>
                </w:tcPr>
                <w:p w14:paraId="5E59954B">
                  <w:pPr>
                    <w:widowControl/>
                    <w:jc w:val="center"/>
                    <w:textAlignment w:val="center"/>
                    <w:rPr>
                      <w:rFonts w:hint="default" w:eastAsia="宋体"/>
                      <w:kern w:val="0"/>
                      <w:szCs w:val="21"/>
                      <w:lang w:val="en-US" w:eastAsia="zh-CN" w:bidi="ar"/>
                    </w:rPr>
                  </w:pPr>
                  <w:r>
                    <w:rPr>
                      <w:rFonts w:hint="eastAsia"/>
                      <w:kern w:val="0"/>
                      <w:szCs w:val="21"/>
                      <w:lang w:val="en-US" w:eastAsia="zh-CN" w:bidi="ar"/>
                    </w:rPr>
                    <w:t>41.1</w:t>
                  </w:r>
                </w:p>
              </w:tc>
              <w:tc>
                <w:tcPr>
                  <w:tcW w:w="322" w:type="pct"/>
                  <w:noWrap w:val="0"/>
                  <w:vAlign w:val="center"/>
                </w:tcPr>
                <w:p w14:paraId="255BC3BB">
                  <w:pPr>
                    <w:autoSpaceDE w:val="0"/>
                    <w:autoSpaceDN w:val="0"/>
                    <w:jc w:val="center"/>
                    <w:rPr>
                      <w:rFonts w:hint="default"/>
                      <w:szCs w:val="21"/>
                      <w:lang w:val="en-US" w:bidi="zh-CN"/>
                    </w:rPr>
                  </w:pPr>
                  <w:r>
                    <w:rPr>
                      <w:rFonts w:hint="eastAsia"/>
                      <w:szCs w:val="21"/>
                      <w:lang w:val="en-US" w:bidi="zh-CN"/>
                    </w:rPr>
                    <w:t>10</w:t>
                  </w:r>
                </w:p>
              </w:tc>
            </w:tr>
            <w:tr w14:paraId="637C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52" w:type="pct"/>
                  <w:vMerge w:val="continue"/>
                  <w:noWrap w:val="0"/>
                  <w:vAlign w:val="center"/>
                </w:tcPr>
                <w:p w14:paraId="2470B7F6">
                  <w:pPr>
                    <w:autoSpaceDE w:val="0"/>
                    <w:autoSpaceDN w:val="0"/>
                    <w:jc w:val="center"/>
                    <w:rPr>
                      <w:szCs w:val="21"/>
                      <w:lang w:eastAsia="en-US" w:bidi="zh-CN"/>
                    </w:rPr>
                  </w:pPr>
                </w:p>
              </w:tc>
              <w:tc>
                <w:tcPr>
                  <w:tcW w:w="298" w:type="pct"/>
                  <w:vMerge w:val="continue"/>
                  <w:noWrap w:val="0"/>
                  <w:vAlign w:val="center"/>
                </w:tcPr>
                <w:p w14:paraId="4A77095A">
                  <w:pPr>
                    <w:autoSpaceDE w:val="0"/>
                    <w:autoSpaceDN w:val="0"/>
                    <w:jc w:val="center"/>
                    <w:rPr>
                      <w:kern w:val="0"/>
                      <w:szCs w:val="21"/>
                    </w:rPr>
                  </w:pPr>
                </w:p>
              </w:tc>
              <w:tc>
                <w:tcPr>
                  <w:tcW w:w="507" w:type="pct"/>
                  <w:noWrap w:val="0"/>
                  <w:vAlign w:val="center"/>
                </w:tcPr>
                <w:p w14:paraId="781CFD13">
                  <w:pPr>
                    <w:widowControl/>
                    <w:jc w:val="center"/>
                    <w:textAlignment w:val="center"/>
                    <w:rPr>
                      <w:szCs w:val="21"/>
                    </w:rPr>
                  </w:pPr>
                  <w:r>
                    <w:rPr>
                      <w:rFonts w:hint="eastAsia"/>
                      <w:kern w:val="0"/>
                      <w:szCs w:val="21"/>
                      <w:lang w:val="en-US" w:eastAsia="zh-CN" w:bidi="ar"/>
                    </w:rPr>
                    <w:t>织网机</w:t>
                  </w:r>
                  <w:r>
                    <w:rPr>
                      <w:kern w:val="0"/>
                      <w:szCs w:val="21"/>
                      <w:lang w:bidi="ar"/>
                    </w:rPr>
                    <w:t>（</w:t>
                  </w:r>
                  <w:r>
                    <w:rPr>
                      <w:rFonts w:hint="eastAsia"/>
                      <w:kern w:val="0"/>
                      <w:szCs w:val="21"/>
                      <w:lang w:val="en-US" w:eastAsia="zh-CN" w:bidi="ar"/>
                    </w:rPr>
                    <w:t>5</w:t>
                  </w:r>
                  <w:r>
                    <w:rPr>
                      <w:rFonts w:hint="eastAsia"/>
                      <w:kern w:val="0"/>
                      <w:szCs w:val="21"/>
                      <w:lang w:bidi="ar"/>
                    </w:rPr>
                    <w:t>台</w:t>
                  </w:r>
                  <w:r>
                    <w:rPr>
                      <w:kern w:val="0"/>
                      <w:szCs w:val="21"/>
                      <w:lang w:bidi="ar"/>
                    </w:rPr>
                    <w:t>）</w:t>
                  </w:r>
                </w:p>
              </w:tc>
              <w:tc>
                <w:tcPr>
                  <w:tcW w:w="485" w:type="pct"/>
                  <w:noWrap w:val="0"/>
                  <w:vAlign w:val="center"/>
                </w:tcPr>
                <w:p w14:paraId="479C3E10">
                  <w:pPr>
                    <w:widowControl/>
                    <w:jc w:val="center"/>
                    <w:textAlignment w:val="center"/>
                    <w:rPr>
                      <w:szCs w:val="21"/>
                    </w:rPr>
                  </w:pPr>
                  <w:r>
                    <w:rPr>
                      <w:rFonts w:hint="eastAsia"/>
                      <w:szCs w:val="21"/>
                      <w:lang w:val="en-US" w:eastAsia="zh-CN"/>
                    </w:rPr>
                    <w:t>78</w:t>
                  </w:r>
                  <w:r>
                    <w:rPr>
                      <w:szCs w:val="21"/>
                    </w:rPr>
                    <w:t>/1</w:t>
                  </w:r>
                </w:p>
              </w:tc>
              <w:tc>
                <w:tcPr>
                  <w:tcW w:w="433" w:type="pct"/>
                  <w:vMerge w:val="continue"/>
                  <w:noWrap w:val="0"/>
                  <w:vAlign w:val="center"/>
                </w:tcPr>
                <w:p w14:paraId="79FF8404">
                  <w:pPr>
                    <w:widowControl/>
                    <w:jc w:val="center"/>
                    <w:textAlignment w:val="center"/>
                    <w:rPr>
                      <w:szCs w:val="21"/>
                    </w:rPr>
                  </w:pPr>
                </w:p>
              </w:tc>
              <w:tc>
                <w:tcPr>
                  <w:tcW w:w="206" w:type="pct"/>
                  <w:noWrap w:val="0"/>
                  <w:vAlign w:val="center"/>
                </w:tcPr>
                <w:p w14:paraId="749E9ED7">
                  <w:pPr>
                    <w:jc w:val="center"/>
                    <w:rPr>
                      <w:rFonts w:hint="default" w:eastAsia="宋体"/>
                      <w:color w:val="auto"/>
                      <w:lang w:val="en-US" w:eastAsia="zh-CN"/>
                    </w:rPr>
                  </w:pPr>
                  <w:r>
                    <w:rPr>
                      <w:rFonts w:hint="eastAsia"/>
                      <w:color w:val="auto"/>
                      <w:kern w:val="0"/>
                      <w:szCs w:val="21"/>
                      <w:lang w:val="en-US" w:eastAsia="zh-CN" w:bidi="ar"/>
                    </w:rPr>
                    <w:t>26</w:t>
                  </w:r>
                </w:p>
              </w:tc>
              <w:tc>
                <w:tcPr>
                  <w:tcW w:w="206" w:type="pct"/>
                  <w:noWrap w:val="0"/>
                  <w:vAlign w:val="center"/>
                </w:tcPr>
                <w:p w14:paraId="470C0B8F">
                  <w:pPr>
                    <w:widowControl/>
                    <w:jc w:val="center"/>
                    <w:textAlignment w:val="center"/>
                    <w:rPr>
                      <w:rFonts w:hint="default" w:eastAsia="宋体"/>
                      <w:color w:val="auto"/>
                      <w:szCs w:val="21"/>
                      <w:lang w:val="en-US" w:eastAsia="zh-CN"/>
                    </w:rPr>
                  </w:pPr>
                  <w:r>
                    <w:rPr>
                      <w:rFonts w:hint="eastAsia"/>
                      <w:color w:val="auto"/>
                      <w:szCs w:val="21"/>
                      <w:lang w:val="en-US" w:eastAsia="zh-CN"/>
                    </w:rPr>
                    <w:t>75</w:t>
                  </w:r>
                </w:p>
              </w:tc>
              <w:tc>
                <w:tcPr>
                  <w:tcW w:w="206" w:type="pct"/>
                  <w:noWrap w:val="0"/>
                  <w:vAlign w:val="center"/>
                </w:tcPr>
                <w:p w14:paraId="50731B25">
                  <w:pPr>
                    <w:autoSpaceDE w:val="0"/>
                    <w:autoSpaceDN w:val="0"/>
                    <w:jc w:val="center"/>
                    <w:rPr>
                      <w:color w:val="auto"/>
                      <w:szCs w:val="21"/>
                      <w:lang w:bidi="zh-CN"/>
                    </w:rPr>
                  </w:pPr>
                  <w:r>
                    <w:rPr>
                      <w:color w:val="auto"/>
                      <w:szCs w:val="21"/>
                      <w:lang w:bidi="zh-CN"/>
                    </w:rPr>
                    <w:t>1.</w:t>
                  </w:r>
                  <w:r>
                    <w:rPr>
                      <w:rFonts w:hint="eastAsia"/>
                      <w:color w:val="auto"/>
                      <w:szCs w:val="21"/>
                      <w:lang w:val="en-US" w:bidi="zh-CN"/>
                    </w:rPr>
                    <w:t>5</w:t>
                  </w:r>
                </w:p>
              </w:tc>
              <w:tc>
                <w:tcPr>
                  <w:tcW w:w="348" w:type="pct"/>
                  <w:noWrap w:val="0"/>
                  <w:vAlign w:val="center"/>
                </w:tcPr>
                <w:p w14:paraId="21C796E5">
                  <w:pPr>
                    <w:widowControl/>
                    <w:jc w:val="center"/>
                    <w:textAlignment w:val="center"/>
                    <w:rPr>
                      <w:color w:val="auto"/>
                      <w:szCs w:val="21"/>
                    </w:rPr>
                  </w:pPr>
                  <w:r>
                    <w:rPr>
                      <w:rFonts w:hint="eastAsia"/>
                      <w:color w:val="auto"/>
                      <w:kern w:val="0"/>
                      <w:szCs w:val="21"/>
                      <w:lang w:val="en-US" w:eastAsia="zh-CN" w:bidi="ar"/>
                    </w:rPr>
                    <w:t>10</w:t>
                  </w:r>
                </w:p>
              </w:tc>
              <w:tc>
                <w:tcPr>
                  <w:tcW w:w="393" w:type="pct"/>
                  <w:noWrap w:val="0"/>
                  <w:vAlign w:val="center"/>
                </w:tcPr>
                <w:p w14:paraId="4226F99B">
                  <w:pPr>
                    <w:autoSpaceDE w:val="0"/>
                    <w:autoSpaceDN w:val="0"/>
                    <w:jc w:val="center"/>
                    <w:rPr>
                      <w:rFonts w:hint="default"/>
                      <w:color w:val="auto"/>
                      <w:szCs w:val="21"/>
                      <w:lang w:val="en-US" w:bidi="zh-CN"/>
                    </w:rPr>
                  </w:pPr>
                  <w:r>
                    <w:rPr>
                      <w:color w:val="auto"/>
                      <w:szCs w:val="21"/>
                      <w:lang w:bidi="zh-CN"/>
                    </w:rPr>
                    <w:t>6</w:t>
                  </w:r>
                  <w:r>
                    <w:rPr>
                      <w:rFonts w:hint="eastAsia"/>
                      <w:color w:val="auto"/>
                      <w:szCs w:val="21"/>
                      <w:lang w:val="en-US" w:bidi="zh-CN"/>
                    </w:rPr>
                    <w:t>7.0</w:t>
                  </w:r>
                </w:p>
              </w:tc>
              <w:tc>
                <w:tcPr>
                  <w:tcW w:w="591" w:type="pct"/>
                  <w:noWrap w:val="0"/>
                  <w:vAlign w:val="center"/>
                </w:tcPr>
                <w:p w14:paraId="4B3B74B0">
                  <w:pPr>
                    <w:autoSpaceDE w:val="0"/>
                    <w:autoSpaceDN w:val="0"/>
                    <w:spacing w:line="320" w:lineRule="exact"/>
                    <w:jc w:val="center"/>
                    <w:rPr>
                      <w:kern w:val="2"/>
                      <w:sz w:val="21"/>
                      <w:szCs w:val="21"/>
                      <w:lang w:val="zh-CN" w:eastAsia="zh-CN" w:bidi="zh-CN"/>
                    </w:rPr>
                  </w:pPr>
                  <w:r>
                    <w:rPr>
                      <w:rFonts w:hint="eastAsia"/>
                      <w:lang w:val="en-US" w:eastAsia="zh-CN"/>
                    </w:rPr>
                    <w:t>9</w:t>
                  </w:r>
                  <w:r>
                    <w:rPr>
                      <w:rFonts w:hint="eastAsia"/>
                    </w:rPr>
                    <w:t>：00-</w:t>
                  </w:r>
                  <w:r>
                    <w:rPr>
                      <w:rFonts w:hint="eastAsia"/>
                      <w:lang w:val="en-US" w:eastAsia="zh-CN"/>
                    </w:rPr>
                    <w:t>18：</w:t>
                  </w:r>
                  <w:r>
                    <w:rPr>
                      <w:rFonts w:hint="eastAsia"/>
                    </w:rPr>
                    <w:t>00</w:t>
                  </w:r>
                </w:p>
              </w:tc>
              <w:tc>
                <w:tcPr>
                  <w:tcW w:w="433" w:type="pct"/>
                  <w:noWrap w:val="0"/>
                  <w:vAlign w:val="center"/>
                </w:tcPr>
                <w:p w14:paraId="7B0B15DF">
                  <w:pPr>
                    <w:widowControl/>
                    <w:jc w:val="center"/>
                    <w:textAlignment w:val="center"/>
                    <w:rPr>
                      <w:szCs w:val="21"/>
                      <w:lang w:val="zh-CN" w:bidi="zh-CN"/>
                    </w:rPr>
                  </w:pPr>
                  <w:r>
                    <w:rPr>
                      <w:szCs w:val="21"/>
                      <w:lang w:bidi="zh-CN"/>
                    </w:rPr>
                    <w:t>20</w:t>
                  </w:r>
                </w:p>
              </w:tc>
              <w:tc>
                <w:tcPr>
                  <w:tcW w:w="313" w:type="pct"/>
                  <w:noWrap w:val="0"/>
                  <w:vAlign w:val="center"/>
                </w:tcPr>
                <w:p w14:paraId="5BBE0636">
                  <w:pPr>
                    <w:widowControl/>
                    <w:jc w:val="center"/>
                    <w:textAlignment w:val="center"/>
                    <w:rPr>
                      <w:rFonts w:hint="default" w:eastAsia="宋体"/>
                      <w:szCs w:val="21"/>
                      <w:lang w:val="en-US" w:eastAsia="zh-CN" w:bidi="zh-CN"/>
                    </w:rPr>
                  </w:pPr>
                  <w:r>
                    <w:rPr>
                      <w:rFonts w:hint="eastAsia"/>
                      <w:szCs w:val="21"/>
                      <w:lang w:val="en-US" w:eastAsia="zh-CN" w:bidi="zh-CN"/>
                    </w:rPr>
                    <w:t>47.0</w:t>
                  </w:r>
                </w:p>
              </w:tc>
              <w:tc>
                <w:tcPr>
                  <w:tcW w:w="322" w:type="pct"/>
                  <w:noWrap w:val="0"/>
                  <w:vAlign w:val="center"/>
                </w:tcPr>
                <w:p w14:paraId="173C5D12">
                  <w:pPr>
                    <w:autoSpaceDE w:val="0"/>
                    <w:autoSpaceDN w:val="0"/>
                    <w:jc w:val="center"/>
                    <w:rPr>
                      <w:szCs w:val="21"/>
                      <w:lang w:bidi="zh-CN"/>
                    </w:rPr>
                  </w:pPr>
                  <w:r>
                    <w:rPr>
                      <w:rFonts w:hint="eastAsia"/>
                      <w:szCs w:val="21"/>
                      <w:lang w:val="en-US" w:bidi="zh-CN"/>
                    </w:rPr>
                    <w:t>10</w:t>
                  </w:r>
                </w:p>
              </w:tc>
            </w:tr>
          </w:tbl>
          <w:p w14:paraId="7A25EAE8">
            <w:pPr>
              <w:pStyle w:val="13"/>
              <w:spacing w:before="0" w:after="0" w:line="360" w:lineRule="auto"/>
              <w:ind w:right="0" w:firstLine="420" w:firstLineChars="200"/>
            </w:pPr>
            <w:r>
              <w:rPr>
                <w:color w:val="auto"/>
                <w:sz w:val="21"/>
                <w:szCs w:val="21"/>
              </w:rPr>
              <w:t>注：</w:t>
            </w:r>
            <w:r>
              <w:rPr>
                <w:bCs/>
                <w:color w:val="auto"/>
                <w:sz w:val="21"/>
                <w:szCs w:val="21"/>
              </w:rPr>
              <w:t>本项目</w:t>
            </w:r>
            <w:r>
              <w:rPr>
                <w:rFonts w:hint="eastAsia"/>
                <w:bCs/>
                <w:color w:val="auto"/>
                <w:sz w:val="21"/>
                <w:szCs w:val="21"/>
              </w:rPr>
              <w:t>以</w:t>
            </w:r>
            <w:r>
              <w:rPr>
                <w:bCs/>
                <w:color w:val="auto"/>
                <w:sz w:val="21"/>
                <w:szCs w:val="21"/>
              </w:rPr>
              <w:t>厂房</w:t>
            </w:r>
            <w:r>
              <w:rPr>
                <w:rFonts w:hint="default" w:ascii="Times New Roman" w:hAnsi="Times New Roman" w:cs="Times New Roman"/>
                <w:bCs/>
                <w:color w:val="auto"/>
                <w:sz w:val="21"/>
                <w:szCs w:val="21"/>
                <w:lang w:val="en-US" w:eastAsia="zh-CN"/>
              </w:rPr>
              <w:t>西</w:t>
            </w:r>
            <w:r>
              <w:rPr>
                <w:rFonts w:hint="eastAsia" w:ascii="Times New Roman" w:hAnsi="Times New Roman" w:cs="Times New Roman"/>
                <w:bCs/>
                <w:color w:val="auto"/>
                <w:sz w:val="21"/>
                <w:szCs w:val="21"/>
                <w:lang w:val="en-US" w:eastAsia="zh-CN"/>
              </w:rPr>
              <w:t>南</w:t>
            </w:r>
            <w:r>
              <w:rPr>
                <w:rFonts w:hint="default" w:ascii="Times New Roman" w:hAnsi="Times New Roman" w:cs="Times New Roman"/>
                <w:bCs/>
                <w:color w:val="auto"/>
                <w:sz w:val="21"/>
                <w:szCs w:val="21"/>
              </w:rPr>
              <w:t>角（</w:t>
            </w:r>
            <w:r>
              <w:rPr>
                <w:rFonts w:hint="default" w:ascii="Times New Roman" w:hAnsi="Times New Roman" w:cs="Times New Roman"/>
                <w:color w:val="auto"/>
                <w:sz w:val="21"/>
                <w:szCs w:val="21"/>
              </w:rPr>
              <w:t>E</w:t>
            </w:r>
            <w:r>
              <w:rPr>
                <w:rFonts w:hint="default" w:ascii="Times New Roman" w:hAnsi="Times New Roman" w:cs="Times New Roman"/>
                <w:color w:val="auto"/>
                <w:sz w:val="21"/>
                <w:szCs w:val="21"/>
                <w:lang w:val="en-US" w:eastAsia="zh-CN"/>
              </w:rPr>
              <w:t>11</w:t>
            </w:r>
            <w:r>
              <w:rPr>
                <w:rFonts w:hint="eastAsia" w:ascii="Times New Roman" w:hAnsi="Times New Roman" w:cs="Times New Roman"/>
                <w:color w:val="auto"/>
                <w:sz w:val="21"/>
                <w:szCs w:val="21"/>
                <w:lang w:val="en-US" w:eastAsia="zh-CN"/>
              </w:rPr>
              <w:t>7.0</w:t>
            </w:r>
            <w:r>
              <w:rPr>
                <w:rFonts w:hint="eastAsia" w:cs="Times New Roman"/>
                <w:color w:val="auto"/>
                <w:sz w:val="21"/>
                <w:szCs w:val="21"/>
                <w:lang w:val="en-US" w:eastAsia="zh-CN"/>
              </w:rPr>
              <w:t>13077</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3.</w:t>
            </w:r>
            <w:r>
              <w:rPr>
                <w:rFonts w:hint="eastAsia" w:cs="Times New Roman"/>
                <w:color w:val="auto"/>
                <w:sz w:val="21"/>
                <w:szCs w:val="21"/>
                <w:lang w:val="en-US" w:eastAsia="zh-CN"/>
              </w:rPr>
              <w:t>532852</w:t>
            </w:r>
            <w:r>
              <w:rPr>
                <w:rFonts w:hint="default" w:ascii="Times New Roman" w:hAnsi="Times New Roman" w:cs="Times New Roman"/>
                <w:color w:val="auto"/>
                <w:sz w:val="21"/>
                <w:szCs w:val="21"/>
              </w:rPr>
              <w:t>°</w:t>
            </w:r>
            <w:r>
              <w:rPr>
                <w:rFonts w:hint="default" w:ascii="Times New Roman" w:hAnsi="Times New Roman" w:cs="Times New Roman"/>
                <w:bCs/>
                <w:color w:val="auto"/>
                <w:sz w:val="21"/>
                <w:szCs w:val="21"/>
              </w:rPr>
              <w:t>）为坐标原点</w:t>
            </w:r>
            <w:r>
              <w:rPr>
                <w:rFonts w:hint="default" w:ascii="Times New Roman" w:hAnsi="Times New Roman" w:cs="Times New Roman"/>
                <w:color w:val="auto"/>
                <w:sz w:val="21"/>
                <w:szCs w:val="21"/>
              </w:rPr>
              <w:t>；</w:t>
            </w:r>
            <w:r>
              <w:rPr>
                <w:rFonts w:hint="eastAsia"/>
                <w:color w:val="auto"/>
                <w:sz w:val="21"/>
                <w:szCs w:val="21"/>
              </w:rPr>
              <w:t>同类</w:t>
            </w:r>
            <w:r>
              <w:rPr>
                <w:rFonts w:hint="eastAsia"/>
                <w:sz w:val="21"/>
                <w:szCs w:val="21"/>
              </w:rPr>
              <w:t>设备集中区域，取中心点坐标。</w:t>
            </w:r>
          </w:p>
        </w:tc>
      </w:tr>
    </w:tbl>
    <w:p w14:paraId="45E77393">
      <w:pPr>
        <w:pStyle w:val="54"/>
        <w:rPr>
          <w:rFonts w:hint="eastAsia"/>
        </w:rPr>
      </w:pPr>
    </w:p>
    <w:p w14:paraId="4442B6E9">
      <w:pPr>
        <w:pStyle w:val="54"/>
        <w:rPr>
          <w:rFonts w:hint="eastAsia"/>
        </w:rPr>
        <w:sectPr>
          <w:pgSz w:w="16840" w:h="11907" w:orient="landscape"/>
          <w:pgMar w:top="1247" w:right="1418" w:bottom="1134" w:left="1418" w:header="851" w:footer="851" w:gutter="0"/>
          <w:cols w:space="720" w:num="1"/>
          <w:docGrid w:linePitch="312" w:charSpace="0"/>
        </w:sectPr>
      </w:pPr>
    </w:p>
    <w:tbl>
      <w:tblPr>
        <w:tblStyle w:val="34"/>
        <w:tblW w:w="96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9035"/>
      </w:tblGrid>
      <w:tr w14:paraId="715FF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62" w:hRule="atLeast"/>
          <w:jc w:val="center"/>
        </w:trPr>
        <w:tc>
          <w:tcPr>
            <w:tcW w:w="627" w:type="dxa"/>
            <w:noWrap w:val="0"/>
            <w:tcMar>
              <w:left w:w="28" w:type="dxa"/>
              <w:right w:w="28" w:type="dxa"/>
            </w:tcMar>
            <w:vAlign w:val="center"/>
          </w:tcPr>
          <w:p w14:paraId="38225425">
            <w:pPr>
              <w:adjustRightInd w:val="0"/>
              <w:snapToGrid w:val="0"/>
              <w:jc w:val="center"/>
              <w:rPr>
                <w:b/>
                <w:bCs/>
                <w:szCs w:val="21"/>
              </w:rPr>
            </w:pPr>
            <w:r>
              <w:rPr>
                <w:b/>
                <w:bCs/>
                <w:szCs w:val="21"/>
              </w:rPr>
              <w:t>运营</w:t>
            </w:r>
          </w:p>
          <w:p w14:paraId="470C836C">
            <w:pPr>
              <w:adjustRightInd w:val="0"/>
              <w:snapToGrid w:val="0"/>
              <w:jc w:val="center"/>
              <w:rPr>
                <w:b/>
                <w:bCs/>
                <w:szCs w:val="21"/>
              </w:rPr>
            </w:pPr>
            <w:r>
              <w:rPr>
                <w:b/>
                <w:bCs/>
                <w:szCs w:val="21"/>
              </w:rPr>
              <w:t>期环</w:t>
            </w:r>
          </w:p>
          <w:p w14:paraId="420926AE">
            <w:pPr>
              <w:adjustRightInd w:val="0"/>
              <w:snapToGrid w:val="0"/>
              <w:jc w:val="center"/>
              <w:rPr>
                <w:b/>
                <w:bCs/>
                <w:szCs w:val="21"/>
              </w:rPr>
            </w:pPr>
            <w:r>
              <w:rPr>
                <w:b/>
                <w:bCs/>
                <w:szCs w:val="21"/>
              </w:rPr>
              <w:t>境影</w:t>
            </w:r>
          </w:p>
          <w:p w14:paraId="139EABB1">
            <w:pPr>
              <w:adjustRightInd w:val="0"/>
              <w:snapToGrid w:val="0"/>
              <w:jc w:val="center"/>
              <w:rPr>
                <w:b/>
                <w:bCs/>
                <w:szCs w:val="21"/>
              </w:rPr>
            </w:pPr>
            <w:r>
              <w:rPr>
                <w:b/>
                <w:bCs/>
                <w:szCs w:val="21"/>
              </w:rPr>
              <w:t>响和</w:t>
            </w:r>
          </w:p>
          <w:p w14:paraId="5B9DC0D8">
            <w:pPr>
              <w:adjustRightInd w:val="0"/>
              <w:snapToGrid w:val="0"/>
              <w:jc w:val="center"/>
              <w:rPr>
                <w:b/>
                <w:bCs/>
                <w:szCs w:val="21"/>
              </w:rPr>
            </w:pPr>
            <w:r>
              <w:rPr>
                <w:b/>
                <w:bCs/>
                <w:szCs w:val="21"/>
              </w:rPr>
              <w:t>保护</w:t>
            </w:r>
          </w:p>
          <w:p w14:paraId="52066CF3">
            <w:pPr>
              <w:adjustRightInd w:val="0"/>
              <w:snapToGrid w:val="0"/>
              <w:jc w:val="center"/>
              <w:rPr>
                <w:b/>
                <w:bCs/>
                <w:szCs w:val="21"/>
              </w:rPr>
            </w:pPr>
            <w:r>
              <w:rPr>
                <w:b/>
                <w:bCs/>
                <w:szCs w:val="21"/>
              </w:rPr>
              <w:t>措施</w:t>
            </w:r>
          </w:p>
        </w:tc>
        <w:tc>
          <w:tcPr>
            <w:tcW w:w="9035" w:type="dxa"/>
            <w:noWrap w:val="0"/>
            <w:vAlign w:val="top"/>
          </w:tcPr>
          <w:p w14:paraId="61848C92">
            <w:pPr>
              <w:spacing w:line="360" w:lineRule="auto"/>
              <w:ind w:firstLine="480" w:firstLineChars="200"/>
              <w:rPr>
                <w:sz w:val="24"/>
              </w:rPr>
            </w:pPr>
            <w:r>
              <w:rPr>
                <w:sz w:val="24"/>
              </w:rPr>
              <w:t>为确保项目运营期，厂界噪声达标排放，建设单位采用以下措施：</w:t>
            </w:r>
          </w:p>
          <w:p w14:paraId="5DAB2D48">
            <w:pPr>
              <w:spacing w:line="360" w:lineRule="auto"/>
              <w:ind w:firstLine="480" w:firstLineChars="200"/>
              <w:rPr>
                <w:sz w:val="24"/>
              </w:rPr>
            </w:pPr>
            <w:r>
              <w:rPr>
                <w:sz w:val="24"/>
              </w:rPr>
              <w:t>①在购买设备时应当优先考虑选用环保低噪音、低震动型设备，从噪声源头上降低工业噪声污染。</w:t>
            </w:r>
          </w:p>
          <w:p w14:paraId="3B3C3E93">
            <w:pPr>
              <w:spacing w:line="360" w:lineRule="auto"/>
              <w:ind w:firstLine="480" w:firstLineChars="200"/>
              <w:rPr>
                <w:sz w:val="24"/>
              </w:rPr>
            </w:pPr>
            <w:r>
              <w:rPr>
                <w:sz w:val="24"/>
              </w:rPr>
              <w:t>②加强设备管理维修，杜绝因设备不正常运行而产生的高、低频噪声，必要时应更新设备。</w:t>
            </w:r>
          </w:p>
          <w:p w14:paraId="1087B6E4">
            <w:pPr>
              <w:spacing w:line="360" w:lineRule="auto"/>
              <w:ind w:firstLine="480" w:firstLineChars="200"/>
              <w:rPr>
                <w:sz w:val="24"/>
              </w:rPr>
            </w:pPr>
            <w:r>
              <w:rPr>
                <w:sz w:val="24"/>
              </w:rPr>
              <w:t>③合理设置车间内设备位置布局，生产时尽量减少门窗的开启频率，以降低噪声的传播和干扰。</w:t>
            </w:r>
          </w:p>
          <w:p w14:paraId="6FCE9BAF">
            <w:pPr>
              <w:spacing w:line="360" w:lineRule="auto"/>
              <w:ind w:firstLine="480" w:firstLineChars="200"/>
              <w:rPr>
                <w:sz w:val="24"/>
              </w:rPr>
            </w:pPr>
            <w:r>
              <w:rPr>
                <w:sz w:val="24"/>
              </w:rPr>
              <w:t>④对集气装置、排风管道等采取消声减震措施，如管道连接处采用软连接，管道与基础、墙体连接处加装减振垫，进出口处加装足够消声量的消音器，并在墙上进行加固，减少因风机噪声和管道振动引起的低频噪声对周围环境和自身的影响。</w:t>
            </w:r>
          </w:p>
          <w:p w14:paraId="5310FEB9">
            <w:pPr>
              <w:spacing w:line="360" w:lineRule="auto"/>
              <w:ind w:firstLine="480" w:firstLineChars="200"/>
              <w:rPr>
                <w:sz w:val="24"/>
              </w:rPr>
            </w:pPr>
            <w:r>
              <w:rPr>
                <w:sz w:val="24"/>
              </w:rPr>
              <w:t>⑤对于安装高噪声设备房间应做相应的消声、吸声等措施，并对房间内高噪声设备安装稳定高效的减振隔离装置。</w:t>
            </w:r>
          </w:p>
          <w:p w14:paraId="395E9AB6">
            <w:pPr>
              <w:pStyle w:val="103"/>
              <w:ind w:firstLine="480"/>
              <w:rPr>
                <w:color w:val="4F81BD"/>
                <w:sz w:val="24"/>
                <w:szCs w:val="24"/>
              </w:rPr>
            </w:pPr>
            <w:r>
              <w:rPr>
                <w:sz w:val="24"/>
                <w:szCs w:val="24"/>
              </w:rPr>
              <w:t>⑥</w:t>
            </w:r>
            <w:r>
              <w:rPr>
                <w:rFonts w:ascii="宋体" w:hAnsi="宋体" w:cs="Times New Roman"/>
                <w:color w:val="auto"/>
                <w:kern w:val="2"/>
                <w:sz w:val="24"/>
                <w:szCs w:val="24"/>
              </w:rPr>
              <w:t>定期对生产设备进行保养维修，保证生产设备维持的良好使用状态，并严格遵守生产设备的操作规范</w:t>
            </w:r>
            <w:r>
              <w:rPr>
                <w:sz w:val="24"/>
                <w:szCs w:val="24"/>
              </w:rPr>
              <w:t>。</w:t>
            </w:r>
          </w:p>
          <w:p w14:paraId="15A681CC">
            <w:pPr>
              <w:spacing w:line="360" w:lineRule="auto"/>
              <w:ind w:firstLine="482"/>
              <w:rPr>
                <w:b/>
                <w:bCs/>
                <w:sz w:val="24"/>
              </w:rPr>
            </w:pPr>
            <w:r>
              <w:rPr>
                <w:b/>
                <w:bCs/>
                <w:sz w:val="24"/>
              </w:rPr>
              <w:t>2、噪声影响及达标分析</w:t>
            </w:r>
          </w:p>
          <w:p w14:paraId="4DB0D10D">
            <w:pPr>
              <w:spacing w:line="360" w:lineRule="auto"/>
              <w:ind w:firstLine="482"/>
              <w:rPr>
                <w:sz w:val="24"/>
              </w:rPr>
            </w:pPr>
            <w:r>
              <w:rPr>
                <w:sz w:val="24"/>
              </w:rPr>
              <w:t>（1）噪声影响预测与评价</w:t>
            </w:r>
          </w:p>
          <w:p w14:paraId="389ED400">
            <w:pPr>
              <w:pStyle w:val="103"/>
              <w:ind w:firstLine="480"/>
              <w:rPr>
                <w:kern w:val="24"/>
                <w:sz w:val="24"/>
                <w:szCs w:val="24"/>
              </w:rPr>
            </w:pPr>
            <w:r>
              <w:rPr>
                <w:kern w:val="24"/>
                <w:sz w:val="24"/>
                <w:szCs w:val="24"/>
              </w:rPr>
              <w:t>工业噪声预测模式采用《环境影响评价技术导则</w:t>
            </w:r>
            <w:r>
              <w:rPr>
                <w:rFonts w:hint="eastAsia"/>
                <w:kern w:val="24"/>
                <w:sz w:val="24"/>
                <w:szCs w:val="24"/>
              </w:rPr>
              <w:t xml:space="preserve"> </w:t>
            </w:r>
            <w:r>
              <w:rPr>
                <w:kern w:val="24"/>
                <w:sz w:val="24"/>
                <w:szCs w:val="24"/>
              </w:rPr>
              <w:t>声环境》（HJ2.4—20</w:t>
            </w:r>
            <w:r>
              <w:rPr>
                <w:rFonts w:hint="eastAsia"/>
                <w:kern w:val="24"/>
                <w:sz w:val="24"/>
                <w:szCs w:val="24"/>
              </w:rPr>
              <w:t>21</w:t>
            </w:r>
            <w:r>
              <w:rPr>
                <w:kern w:val="24"/>
                <w:sz w:val="24"/>
                <w:szCs w:val="24"/>
              </w:rPr>
              <w:t>）中对工业企业噪声预测模式进行预测，考虑遮挡物、空气吸收衰减、地面附加衰减，对某些难以定量的参数，查相关资料进行估算。</w:t>
            </w:r>
          </w:p>
          <w:p w14:paraId="05B3EDFE">
            <w:pPr>
              <w:pStyle w:val="103"/>
              <w:ind w:firstLine="480"/>
              <w:rPr>
                <w:sz w:val="24"/>
                <w:szCs w:val="24"/>
              </w:rPr>
            </w:pPr>
            <w:r>
              <w:rPr>
                <w:sz w:val="24"/>
                <w:szCs w:val="24"/>
              </w:rPr>
              <w:t>根据按声能量在空气传播中衰减模式计算出某声源在环境中任意一点的声压级。由于本项目声源均设置于室内，预测步骤如下：</w:t>
            </w:r>
          </w:p>
          <w:p w14:paraId="13F4AD76">
            <w:pPr>
              <w:pStyle w:val="103"/>
              <w:ind w:firstLine="480"/>
              <w:rPr>
                <w:sz w:val="24"/>
                <w:szCs w:val="24"/>
              </w:rPr>
            </w:pPr>
            <w:r>
              <w:rPr>
                <w:sz w:val="24"/>
                <w:szCs w:val="24"/>
              </w:rPr>
              <w:t>①首先计算出某个室内靠近围护结构处的声压级：</w:t>
            </w:r>
          </w:p>
          <w:p w14:paraId="42587107">
            <w:pPr>
              <w:pStyle w:val="103"/>
            </w:pPr>
            <w:r>
              <w:drawing>
                <wp:inline distT="0" distB="0" distL="114300" distR="114300">
                  <wp:extent cx="1591310" cy="391795"/>
                  <wp:effectExtent l="0" t="0" r="8890" b="7620"/>
                  <wp:docPr id="6" name="图片 137" descr="../../柳州/DOCUME~1/ADMINI~1/LOCALS~1/Temp/ksohtml/wps_clip_image-2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7" descr="../../柳州/DOCUME~1/ADMINI~1/LOCALS~1/Temp/ksohtml/wps_clip_image-28401.png"/>
                          <pic:cNvPicPr>
                            <a:picLocks noChangeAspect="1"/>
                          </pic:cNvPicPr>
                        </pic:nvPicPr>
                        <pic:blipFill>
                          <a:blip r:embed="rId22"/>
                          <a:stretch>
                            <a:fillRect/>
                          </a:stretch>
                        </pic:blipFill>
                        <pic:spPr>
                          <a:xfrm>
                            <a:off x="0" y="0"/>
                            <a:ext cx="1591310" cy="391795"/>
                          </a:xfrm>
                          <a:prstGeom prst="rect">
                            <a:avLst/>
                          </a:prstGeom>
                          <a:noFill/>
                          <a:ln>
                            <a:noFill/>
                          </a:ln>
                        </pic:spPr>
                      </pic:pic>
                    </a:graphicData>
                  </a:graphic>
                </wp:inline>
              </w:drawing>
            </w:r>
          </w:p>
          <w:p w14:paraId="013BD682">
            <w:pPr>
              <w:pStyle w:val="103"/>
              <w:ind w:firstLine="480"/>
              <w:rPr>
                <w:sz w:val="24"/>
                <w:szCs w:val="24"/>
              </w:rPr>
            </w:pPr>
            <w:r>
              <w:rPr>
                <w:sz w:val="24"/>
                <w:szCs w:val="24"/>
              </w:rPr>
              <w:t>式中：L1</w:t>
            </w:r>
            <w:r>
              <w:rPr>
                <w:sz w:val="24"/>
                <w:szCs w:val="24"/>
              </w:rPr>
              <w:softHyphen/>
            </w:r>
            <w:r>
              <w:rPr>
                <w:sz w:val="24"/>
                <w:szCs w:val="24"/>
              </w:rPr>
              <w:t>——某个室内声源在靠近围护结构处产生的声压级；</w:t>
            </w:r>
          </w:p>
          <w:p w14:paraId="6A4212D4">
            <w:pPr>
              <w:pStyle w:val="103"/>
              <w:ind w:firstLine="480"/>
              <w:rPr>
                <w:sz w:val="24"/>
                <w:szCs w:val="24"/>
              </w:rPr>
            </w:pPr>
            <w:r>
              <w:rPr>
                <w:sz w:val="24"/>
                <w:szCs w:val="24"/>
              </w:rPr>
              <w:t>Lw</w:t>
            </w:r>
            <w:r>
              <w:rPr>
                <w:sz w:val="24"/>
                <w:szCs w:val="24"/>
              </w:rPr>
              <w:softHyphen/>
            </w:r>
            <w:r>
              <w:rPr>
                <w:sz w:val="24"/>
                <w:szCs w:val="24"/>
              </w:rPr>
              <w:t>——某个声源的声功率级；</w:t>
            </w:r>
          </w:p>
          <w:p w14:paraId="00457838">
            <w:pPr>
              <w:pStyle w:val="103"/>
              <w:ind w:firstLine="480"/>
              <w:rPr>
                <w:sz w:val="24"/>
                <w:szCs w:val="24"/>
              </w:rPr>
            </w:pPr>
            <w:r>
              <w:rPr>
                <w:sz w:val="24"/>
                <w:szCs w:val="24"/>
              </w:rPr>
              <w:t>r1——室内某个声源与靠近围护结构处的距离；</w:t>
            </w:r>
          </w:p>
          <w:p w14:paraId="22130A77">
            <w:pPr>
              <w:pStyle w:val="103"/>
              <w:ind w:firstLine="480"/>
              <w:rPr>
                <w:sz w:val="24"/>
                <w:szCs w:val="24"/>
              </w:rPr>
            </w:pPr>
            <w:r>
              <w:rPr>
                <w:sz w:val="24"/>
                <w:szCs w:val="24"/>
              </w:rPr>
              <w:t>R——房间常数，根据房间内壁的平均吸声系数与内壁总面积计算；</w:t>
            </w:r>
          </w:p>
          <w:p w14:paraId="00AE1012">
            <w:pPr>
              <w:pStyle w:val="103"/>
              <w:ind w:firstLine="480"/>
              <w:rPr>
                <w:sz w:val="24"/>
                <w:szCs w:val="24"/>
              </w:rPr>
            </w:pPr>
            <w:r>
              <w:rPr>
                <w:sz w:val="24"/>
                <w:szCs w:val="24"/>
              </w:rPr>
              <w:t>Q——方向因子，半自由状态点声源Q＝2；</w:t>
            </w:r>
          </w:p>
          <w:p w14:paraId="50CBBD8B">
            <w:pPr>
              <w:pStyle w:val="103"/>
              <w:ind w:firstLine="480"/>
              <w:rPr>
                <w:sz w:val="24"/>
                <w:szCs w:val="24"/>
              </w:rPr>
            </w:pPr>
            <w:r>
              <w:rPr>
                <w:sz w:val="24"/>
                <w:szCs w:val="24"/>
              </w:rPr>
              <w:t>②计算出所有室内声源在靠近围护结构处产生的声压级：</w:t>
            </w:r>
          </w:p>
          <w:p w14:paraId="6AF77FD4">
            <w:pPr>
              <w:pStyle w:val="103"/>
              <w:jc w:val="center"/>
            </w:pPr>
            <w:r>
              <w:drawing>
                <wp:inline distT="0" distB="0" distL="114300" distR="114300">
                  <wp:extent cx="2704465" cy="1558925"/>
                  <wp:effectExtent l="0" t="0" r="635" b="3175"/>
                  <wp:docPr id="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8"/>
                          <pic:cNvPicPr>
                            <a:picLocks noChangeAspect="1"/>
                          </pic:cNvPicPr>
                        </pic:nvPicPr>
                        <pic:blipFill>
                          <a:blip r:embed="rId23"/>
                          <a:stretch>
                            <a:fillRect/>
                          </a:stretch>
                        </pic:blipFill>
                        <pic:spPr>
                          <a:xfrm>
                            <a:off x="0" y="0"/>
                            <a:ext cx="2704465" cy="1558925"/>
                          </a:xfrm>
                          <a:prstGeom prst="rect">
                            <a:avLst/>
                          </a:prstGeom>
                          <a:noFill/>
                          <a:ln>
                            <a:noFill/>
                          </a:ln>
                        </pic:spPr>
                      </pic:pic>
                    </a:graphicData>
                  </a:graphic>
                </wp:inline>
              </w:drawing>
            </w:r>
          </w:p>
          <w:p w14:paraId="549E24F6">
            <w:pPr>
              <w:pStyle w:val="103"/>
              <w:ind w:firstLine="480"/>
              <w:rPr>
                <w:sz w:val="24"/>
                <w:szCs w:val="24"/>
              </w:rPr>
            </w:pPr>
            <w:r>
              <w:rPr>
                <w:sz w:val="24"/>
                <w:szCs w:val="24"/>
              </w:rPr>
              <w:t>③计算出室外靠近围护结构处的声压级：</w:t>
            </w:r>
          </w:p>
          <w:p w14:paraId="38E4BF7F">
            <w:pPr>
              <w:pStyle w:val="103"/>
              <w:ind w:firstLine="480"/>
              <w:rPr>
                <w:sz w:val="24"/>
                <w:szCs w:val="24"/>
              </w:rPr>
            </w:pPr>
            <w:r>
              <w:rPr>
                <w:sz w:val="24"/>
                <w:szCs w:val="24"/>
              </w:rPr>
              <w:drawing>
                <wp:inline distT="0" distB="0" distL="114300" distR="114300">
                  <wp:extent cx="1543685" cy="213995"/>
                  <wp:effectExtent l="0" t="0" r="18415" b="15240"/>
                  <wp:docPr id="8" name="图片 139" descr="../../柳州/DOCUME~1/ADMINI~1/LOCALS~1/Temp/ksohtml/wps_clip_image-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9" descr="../../柳州/DOCUME~1/ADMINI~1/LOCALS~1/Temp/ksohtml/wps_clip_image-4341.png"/>
                          <pic:cNvPicPr>
                            <a:picLocks noChangeAspect="1"/>
                          </pic:cNvPicPr>
                        </pic:nvPicPr>
                        <pic:blipFill>
                          <a:blip r:embed="rId24"/>
                          <a:stretch>
                            <a:fillRect/>
                          </a:stretch>
                        </pic:blipFill>
                        <pic:spPr>
                          <a:xfrm>
                            <a:off x="0" y="0"/>
                            <a:ext cx="1543685" cy="213995"/>
                          </a:xfrm>
                          <a:prstGeom prst="rect">
                            <a:avLst/>
                          </a:prstGeom>
                          <a:noFill/>
                          <a:ln>
                            <a:noFill/>
                          </a:ln>
                        </pic:spPr>
                      </pic:pic>
                    </a:graphicData>
                  </a:graphic>
                </wp:inline>
              </w:drawing>
            </w:r>
          </w:p>
          <w:p w14:paraId="396C92B8">
            <w:pPr>
              <w:pStyle w:val="103"/>
              <w:ind w:firstLine="480"/>
              <w:rPr>
                <w:sz w:val="24"/>
                <w:szCs w:val="24"/>
              </w:rPr>
            </w:pPr>
            <w:r>
              <w:rPr>
                <w:sz w:val="24"/>
                <w:szCs w:val="24"/>
              </w:rPr>
              <w:t>式中：TL——构件隔声损失，双面粉刷砖墙。</w:t>
            </w:r>
          </w:p>
          <w:p w14:paraId="4937086D">
            <w:pPr>
              <w:pStyle w:val="103"/>
              <w:ind w:firstLine="480"/>
              <w:rPr>
                <w:sz w:val="24"/>
                <w:szCs w:val="24"/>
              </w:rPr>
            </w:pPr>
            <w:r>
              <w:rPr>
                <w:sz w:val="24"/>
                <w:szCs w:val="24"/>
              </w:rPr>
              <w:t>④将室外声级L2(T)和透声面积换算成等效的室外声源，计算出等效声源的声功率级Lw：</w:t>
            </w:r>
          </w:p>
          <w:p w14:paraId="4850081B">
            <w:pPr>
              <w:pStyle w:val="103"/>
              <w:ind w:firstLine="480"/>
              <w:rPr>
                <w:sz w:val="24"/>
                <w:szCs w:val="24"/>
              </w:rPr>
            </w:pPr>
            <w:r>
              <w:rPr>
                <w:sz w:val="24"/>
                <w:szCs w:val="24"/>
              </w:rPr>
              <w:drawing>
                <wp:inline distT="0" distB="0" distL="114300" distR="114300">
                  <wp:extent cx="1401445" cy="249555"/>
                  <wp:effectExtent l="0" t="0" r="8255" b="17145"/>
                  <wp:docPr id="9" name="图片 140" descr="../../柳州/DOCUME~1/ADMINI~1/LOCALS~1/Temp/ksohtml/wps_clip_image-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0" descr="../../柳州/DOCUME~1/ADMINI~1/LOCALS~1/Temp/ksohtml/wps_clip_image-11919.png"/>
                          <pic:cNvPicPr>
                            <a:picLocks noChangeAspect="1"/>
                          </pic:cNvPicPr>
                        </pic:nvPicPr>
                        <pic:blipFill>
                          <a:blip r:embed="rId25"/>
                          <a:stretch>
                            <a:fillRect/>
                          </a:stretch>
                        </pic:blipFill>
                        <pic:spPr>
                          <a:xfrm>
                            <a:off x="0" y="0"/>
                            <a:ext cx="1401445" cy="249555"/>
                          </a:xfrm>
                          <a:prstGeom prst="rect">
                            <a:avLst/>
                          </a:prstGeom>
                          <a:noFill/>
                          <a:ln>
                            <a:noFill/>
                          </a:ln>
                        </pic:spPr>
                      </pic:pic>
                    </a:graphicData>
                  </a:graphic>
                </wp:inline>
              </w:drawing>
            </w:r>
          </w:p>
          <w:p w14:paraId="1B001D90">
            <w:pPr>
              <w:pStyle w:val="103"/>
              <w:ind w:firstLine="480"/>
              <w:rPr>
                <w:sz w:val="24"/>
                <w:szCs w:val="24"/>
              </w:rPr>
            </w:pPr>
            <w:r>
              <w:rPr>
                <w:sz w:val="24"/>
                <w:szCs w:val="24"/>
              </w:rPr>
              <w:t>式中：S为透声面积，m</w:t>
            </w:r>
            <w:r>
              <w:rPr>
                <w:sz w:val="24"/>
                <w:szCs w:val="24"/>
                <w:vertAlign w:val="superscript"/>
              </w:rPr>
              <w:t>2</w:t>
            </w:r>
            <w:r>
              <w:rPr>
                <w:sz w:val="24"/>
                <w:szCs w:val="24"/>
              </w:rPr>
              <w:t>。</w:t>
            </w:r>
          </w:p>
          <w:p w14:paraId="4CB3519C">
            <w:pPr>
              <w:pStyle w:val="103"/>
              <w:ind w:firstLine="480"/>
              <w:rPr>
                <w:sz w:val="24"/>
                <w:szCs w:val="24"/>
              </w:rPr>
            </w:pPr>
            <w:r>
              <w:rPr>
                <w:sz w:val="24"/>
                <w:szCs w:val="24"/>
              </w:rPr>
              <w:t>⑤采用户外声传播衰减公式预测各主要施工机械噪声对环境的影响。</w:t>
            </w:r>
          </w:p>
          <w:p w14:paraId="196FC11F">
            <w:pPr>
              <w:pStyle w:val="103"/>
              <w:ind w:firstLine="0" w:firstLineChars="0"/>
              <w:jc w:val="center"/>
              <w:rPr>
                <w:sz w:val="24"/>
                <w:szCs w:val="24"/>
              </w:rPr>
            </w:pPr>
            <w:r>
              <w:rPr>
                <w:position w:val="-14"/>
                <w:sz w:val="24"/>
                <w:szCs w:val="24"/>
              </w:rPr>
              <w:object>
                <v:shape id="_x0000_i1030" o:spt="75" type="#_x0000_t75" style="height:23.15pt;width:270.85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14:paraId="311C0634">
            <w:pPr>
              <w:pStyle w:val="103"/>
              <w:ind w:firstLine="480"/>
              <w:rPr>
                <w:sz w:val="24"/>
                <w:szCs w:val="24"/>
              </w:rPr>
            </w:pPr>
            <w:r>
              <w:rPr>
                <w:sz w:val="24"/>
                <w:szCs w:val="24"/>
              </w:rPr>
              <w:t>式中：Lp(r)——距声源r处预测点噪声值，dB(A)；</w:t>
            </w:r>
          </w:p>
          <w:p w14:paraId="34A1F307">
            <w:pPr>
              <w:pStyle w:val="103"/>
              <w:ind w:firstLine="480"/>
              <w:rPr>
                <w:sz w:val="24"/>
                <w:szCs w:val="24"/>
              </w:rPr>
            </w:pPr>
            <w:r>
              <w:rPr>
                <w:sz w:val="24"/>
                <w:szCs w:val="24"/>
              </w:rPr>
              <w:t>Lp(r0)——参考点r0处噪声值，dB(A)；</w:t>
            </w:r>
          </w:p>
          <w:p w14:paraId="73B797B9">
            <w:pPr>
              <w:pStyle w:val="103"/>
              <w:ind w:firstLine="480"/>
              <w:rPr>
                <w:sz w:val="24"/>
                <w:szCs w:val="24"/>
              </w:rPr>
            </w:pPr>
            <w:r>
              <w:rPr>
                <w:sz w:val="24"/>
                <w:szCs w:val="24"/>
              </w:rPr>
              <w:t>Adiv——几何发散衰减，dB(A)；</w:t>
            </w:r>
          </w:p>
          <w:p w14:paraId="17424197">
            <w:pPr>
              <w:pStyle w:val="103"/>
              <w:ind w:firstLine="480"/>
              <w:rPr>
                <w:sz w:val="24"/>
                <w:szCs w:val="24"/>
              </w:rPr>
            </w:pPr>
            <w:r>
              <w:rPr>
                <w:sz w:val="24"/>
                <w:szCs w:val="24"/>
              </w:rPr>
              <w:t>Aatm——大气吸收衰减，dB(A)；</w:t>
            </w:r>
          </w:p>
          <w:p w14:paraId="32A20E87">
            <w:pPr>
              <w:pStyle w:val="103"/>
              <w:ind w:firstLine="480"/>
              <w:rPr>
                <w:sz w:val="24"/>
                <w:szCs w:val="24"/>
              </w:rPr>
            </w:pPr>
            <w:r>
              <w:rPr>
                <w:sz w:val="24"/>
                <w:szCs w:val="24"/>
              </w:rPr>
              <w:t>Abar——屏障衰减，dB(A)；</w:t>
            </w:r>
          </w:p>
          <w:p w14:paraId="2A6319BC">
            <w:pPr>
              <w:pStyle w:val="103"/>
              <w:ind w:firstLine="480"/>
              <w:rPr>
                <w:sz w:val="24"/>
                <w:szCs w:val="24"/>
              </w:rPr>
            </w:pPr>
            <w:r>
              <w:rPr>
                <w:sz w:val="24"/>
                <w:szCs w:val="24"/>
              </w:rPr>
              <w:t>Agr——地面效应，dB(A)；</w:t>
            </w:r>
          </w:p>
          <w:p w14:paraId="676F0697">
            <w:pPr>
              <w:pStyle w:val="103"/>
              <w:ind w:firstLine="480"/>
              <w:rPr>
                <w:sz w:val="24"/>
                <w:szCs w:val="24"/>
              </w:rPr>
            </w:pPr>
            <w:r>
              <w:rPr>
                <w:sz w:val="24"/>
                <w:szCs w:val="24"/>
              </w:rPr>
              <w:t>Amisc——其他多方面效应衰减，dB(A)；</w:t>
            </w:r>
          </w:p>
          <w:p w14:paraId="5B81A9F7">
            <w:pPr>
              <w:pStyle w:val="103"/>
              <w:ind w:firstLine="480"/>
              <w:rPr>
                <w:sz w:val="24"/>
                <w:szCs w:val="24"/>
              </w:rPr>
            </w:pPr>
            <w:r>
              <w:rPr>
                <w:sz w:val="24"/>
                <w:szCs w:val="24"/>
              </w:rPr>
              <w:t>r——预测点距噪声源距离，m；</w:t>
            </w:r>
          </w:p>
          <w:p w14:paraId="0A319B25">
            <w:pPr>
              <w:pStyle w:val="103"/>
              <w:ind w:firstLine="480"/>
              <w:rPr>
                <w:sz w:val="24"/>
                <w:szCs w:val="24"/>
              </w:rPr>
            </w:pPr>
            <w:r>
              <w:rPr>
                <w:sz w:val="24"/>
                <w:szCs w:val="24"/>
              </w:rPr>
              <w:t>r0——参考位置距噪声源距离，m。</w:t>
            </w:r>
          </w:p>
          <w:p w14:paraId="73A95DE9">
            <w:pPr>
              <w:pStyle w:val="103"/>
              <w:ind w:firstLine="480"/>
              <w:rPr>
                <w:sz w:val="24"/>
                <w:szCs w:val="24"/>
              </w:rPr>
            </w:pPr>
            <w:r>
              <w:rPr>
                <w:sz w:val="24"/>
                <w:szCs w:val="24"/>
              </w:rPr>
              <w:t>⑥噪声贡献值计算：</w:t>
            </w:r>
          </w:p>
          <w:p w14:paraId="55187639">
            <w:pPr>
              <w:pStyle w:val="103"/>
              <w:ind w:firstLine="480"/>
              <w:rPr>
                <w:sz w:val="24"/>
                <w:szCs w:val="24"/>
              </w:rPr>
            </w:pPr>
            <w:r>
              <w:rPr>
                <w:sz w:val="24"/>
                <w:szCs w:val="24"/>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0699ED7F">
            <w:pPr>
              <w:pStyle w:val="103"/>
              <w:ind w:firstLine="0" w:firstLineChars="0"/>
              <w:jc w:val="center"/>
            </w:pPr>
            <w:r>
              <w:rPr>
                <w:position w:val="-34"/>
              </w:rPr>
              <w:object>
                <v:shape id="_x0000_i1031" o:spt="75" type="#_x0000_t75" style="height:40pt;width:204.95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p>
          <w:p w14:paraId="3A91C73D">
            <w:pPr>
              <w:pStyle w:val="103"/>
              <w:ind w:firstLine="480"/>
              <w:rPr>
                <w:sz w:val="24"/>
                <w:szCs w:val="24"/>
              </w:rPr>
            </w:pPr>
            <w:r>
              <w:rPr>
                <w:sz w:val="24"/>
                <w:szCs w:val="24"/>
              </w:rPr>
              <w:t>tj——在T时间内j声源工作时间，s；</w:t>
            </w:r>
          </w:p>
          <w:p w14:paraId="211013C5">
            <w:pPr>
              <w:pStyle w:val="103"/>
              <w:ind w:firstLine="480"/>
              <w:rPr>
                <w:sz w:val="24"/>
                <w:szCs w:val="24"/>
              </w:rPr>
            </w:pPr>
            <w:r>
              <w:rPr>
                <w:sz w:val="24"/>
                <w:szCs w:val="24"/>
              </w:rPr>
              <w:t>ti——在T时间内i声源工作时间，s；</w:t>
            </w:r>
          </w:p>
          <w:p w14:paraId="74BD5590">
            <w:pPr>
              <w:pStyle w:val="103"/>
              <w:ind w:firstLine="480"/>
              <w:rPr>
                <w:sz w:val="24"/>
                <w:szCs w:val="24"/>
              </w:rPr>
            </w:pPr>
            <w:r>
              <w:rPr>
                <w:sz w:val="24"/>
                <w:szCs w:val="24"/>
              </w:rPr>
              <w:t>T——用于计算等效声级的时间，s；</w:t>
            </w:r>
          </w:p>
          <w:p w14:paraId="38555354">
            <w:pPr>
              <w:pStyle w:val="103"/>
              <w:ind w:firstLine="480"/>
              <w:rPr>
                <w:sz w:val="24"/>
                <w:szCs w:val="24"/>
              </w:rPr>
            </w:pPr>
            <w:r>
              <w:rPr>
                <w:sz w:val="24"/>
                <w:szCs w:val="24"/>
              </w:rPr>
              <w:t>N——室外声源个数；</w:t>
            </w:r>
          </w:p>
          <w:p w14:paraId="0E784C70">
            <w:pPr>
              <w:pStyle w:val="103"/>
              <w:ind w:firstLine="480"/>
              <w:rPr>
                <w:sz w:val="24"/>
                <w:szCs w:val="24"/>
              </w:rPr>
            </w:pPr>
            <w:r>
              <w:rPr>
                <w:sz w:val="24"/>
                <w:szCs w:val="24"/>
              </w:rPr>
              <w:t>M——等效室内外声源个数。</w:t>
            </w:r>
          </w:p>
          <w:p w14:paraId="2AADEA77">
            <w:pPr>
              <w:pStyle w:val="103"/>
              <w:ind w:firstLine="480"/>
              <w:rPr>
                <w:rFonts w:hint="eastAsia"/>
                <w:sz w:val="24"/>
                <w:szCs w:val="24"/>
              </w:rPr>
            </w:pPr>
            <w:r>
              <w:rPr>
                <w:rFonts w:hint="eastAsia"/>
                <w:sz w:val="24"/>
                <w:szCs w:val="24"/>
              </w:rPr>
              <w:t>⑦噪声预测值计算：</w:t>
            </w:r>
          </w:p>
          <w:p w14:paraId="6AA44E1A">
            <w:pPr>
              <w:pStyle w:val="103"/>
              <w:ind w:firstLine="480"/>
              <w:rPr>
                <w:rFonts w:hint="eastAsia"/>
                <w:sz w:val="24"/>
                <w:szCs w:val="24"/>
              </w:rPr>
            </w:pPr>
            <w:r>
              <w:rPr>
                <w:rFonts w:hint="eastAsia"/>
                <w:sz w:val="24"/>
                <w:szCs w:val="24"/>
              </w:rPr>
              <w:t>噪声预测值（Leq）计算公式为：</w:t>
            </w:r>
          </w:p>
          <w:p w14:paraId="74C0810A">
            <w:pPr>
              <w:pStyle w:val="103"/>
              <w:rPr>
                <w:sz w:val="24"/>
                <w:szCs w:val="24"/>
              </w:rPr>
            </w:pPr>
            <w:r>
              <w:rPr>
                <w:position w:val="-14"/>
              </w:rPr>
              <w:object>
                <v:shape id="_x0000_i1032" o:spt="75" type="#_x0000_t75" style="height:21pt;width:135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p>
          <w:p w14:paraId="67EDC577">
            <w:pPr>
              <w:pStyle w:val="103"/>
              <w:ind w:firstLine="480"/>
              <w:rPr>
                <w:sz w:val="24"/>
                <w:szCs w:val="24"/>
              </w:rPr>
            </w:pPr>
            <w:r>
              <w:rPr>
                <w:sz w:val="24"/>
                <w:szCs w:val="24"/>
              </w:rPr>
              <w:t>式中：</w:t>
            </w:r>
            <w:r>
              <w:rPr>
                <w:rFonts w:hint="eastAsia"/>
                <w:sz w:val="24"/>
                <w:szCs w:val="24"/>
              </w:rPr>
              <w:t>Leq</w:t>
            </w:r>
            <w:r>
              <w:rPr>
                <w:sz w:val="24"/>
                <w:szCs w:val="24"/>
              </w:rPr>
              <w:t>——</w:t>
            </w:r>
            <w:r>
              <w:rPr>
                <w:rFonts w:hint="eastAsia"/>
                <w:sz w:val="24"/>
                <w:szCs w:val="24"/>
              </w:rPr>
              <w:t>预测点的噪声预测值</w:t>
            </w:r>
            <w:r>
              <w:rPr>
                <w:sz w:val="24"/>
                <w:szCs w:val="24"/>
              </w:rPr>
              <w:t>，dB</w:t>
            </w:r>
            <w:r>
              <w:rPr>
                <w:rFonts w:hint="eastAsia"/>
                <w:sz w:val="24"/>
                <w:szCs w:val="24"/>
              </w:rPr>
              <w:t>（A）</w:t>
            </w:r>
            <w:r>
              <w:rPr>
                <w:sz w:val="24"/>
                <w:szCs w:val="24"/>
              </w:rPr>
              <w:t>；</w:t>
            </w:r>
          </w:p>
          <w:p w14:paraId="6AF4AD6E">
            <w:pPr>
              <w:pStyle w:val="103"/>
              <w:ind w:firstLine="480"/>
              <w:rPr>
                <w:sz w:val="24"/>
                <w:szCs w:val="24"/>
              </w:rPr>
            </w:pPr>
            <w:r>
              <w:rPr>
                <w:sz w:val="24"/>
                <w:szCs w:val="24"/>
              </w:rPr>
              <w:t>L</w:t>
            </w:r>
            <w:r>
              <w:rPr>
                <w:rFonts w:hint="eastAsia"/>
                <w:sz w:val="24"/>
                <w:szCs w:val="24"/>
              </w:rPr>
              <w:t>eqg</w:t>
            </w:r>
            <w:r>
              <w:rPr>
                <w:sz w:val="24"/>
                <w:szCs w:val="24"/>
              </w:rPr>
              <w:t>——</w:t>
            </w:r>
            <w:r>
              <w:rPr>
                <w:rFonts w:hint="eastAsia"/>
                <w:sz w:val="24"/>
                <w:szCs w:val="24"/>
              </w:rPr>
              <w:t>建设项目声源在预测点产生的噪声贡献值</w:t>
            </w:r>
            <w:r>
              <w:rPr>
                <w:sz w:val="24"/>
                <w:szCs w:val="24"/>
              </w:rPr>
              <w:t>，dB</w:t>
            </w:r>
            <w:r>
              <w:rPr>
                <w:rFonts w:hint="eastAsia"/>
                <w:sz w:val="24"/>
                <w:szCs w:val="24"/>
              </w:rPr>
              <w:t>（A）</w:t>
            </w:r>
            <w:r>
              <w:rPr>
                <w:sz w:val="24"/>
                <w:szCs w:val="24"/>
              </w:rPr>
              <w:t>；</w:t>
            </w:r>
          </w:p>
          <w:p w14:paraId="234E3055">
            <w:pPr>
              <w:pStyle w:val="103"/>
              <w:ind w:firstLine="480"/>
              <w:rPr>
                <w:sz w:val="24"/>
                <w:szCs w:val="24"/>
              </w:rPr>
            </w:pPr>
            <w:r>
              <w:rPr>
                <w:sz w:val="24"/>
                <w:szCs w:val="24"/>
              </w:rPr>
              <w:t>L</w:t>
            </w:r>
            <w:r>
              <w:rPr>
                <w:rFonts w:hint="eastAsia"/>
                <w:sz w:val="24"/>
                <w:szCs w:val="24"/>
              </w:rPr>
              <w:t>eqb</w:t>
            </w:r>
            <w:r>
              <w:rPr>
                <w:sz w:val="24"/>
                <w:szCs w:val="24"/>
              </w:rPr>
              <w:t>——</w:t>
            </w:r>
            <w:r>
              <w:rPr>
                <w:rFonts w:hint="eastAsia"/>
                <w:sz w:val="24"/>
                <w:szCs w:val="24"/>
              </w:rPr>
              <w:t>预测点的背景噪声值</w:t>
            </w:r>
            <w:r>
              <w:rPr>
                <w:sz w:val="24"/>
                <w:szCs w:val="24"/>
              </w:rPr>
              <w:t>，dB</w:t>
            </w:r>
            <w:r>
              <w:rPr>
                <w:rFonts w:hint="eastAsia"/>
                <w:sz w:val="24"/>
                <w:szCs w:val="24"/>
              </w:rPr>
              <w:t>（A）</w:t>
            </w:r>
            <w:r>
              <w:rPr>
                <w:sz w:val="24"/>
                <w:szCs w:val="24"/>
              </w:rPr>
              <w:t>；</w:t>
            </w:r>
          </w:p>
          <w:p w14:paraId="4C72BA16">
            <w:pPr>
              <w:pStyle w:val="103"/>
              <w:ind w:firstLine="480"/>
              <w:rPr>
                <w:sz w:val="24"/>
                <w:szCs w:val="24"/>
              </w:rPr>
            </w:pPr>
            <w:r>
              <w:rPr>
                <w:rFonts w:hint="eastAsia"/>
                <w:sz w:val="24"/>
                <w:szCs w:val="24"/>
              </w:rPr>
              <w:t>本次预测分析是厂区内所有设备的叠加预测，预测结果如下表所示：</w:t>
            </w:r>
          </w:p>
          <w:p w14:paraId="089ED398">
            <w:pPr>
              <w:widowControl/>
              <w:numPr>
                <w:ilvl w:val="0"/>
                <w:numId w:val="13"/>
              </w:numPr>
              <w:tabs>
                <w:tab w:val="left" w:pos="420"/>
                <w:tab w:val="clear" w:pos="0"/>
              </w:tabs>
              <w:spacing w:line="360" w:lineRule="auto"/>
              <w:ind w:left="0" w:leftChars="0" w:firstLine="0" w:firstLineChars="0"/>
              <w:jc w:val="center"/>
              <w:rPr>
                <w:rStyle w:val="73"/>
                <w:bCs/>
                <w:color w:val="auto"/>
                <w:sz w:val="24"/>
                <w:szCs w:val="24"/>
              </w:rPr>
            </w:pPr>
            <w:r>
              <w:rPr>
                <w:rStyle w:val="73"/>
                <w:bCs/>
                <w:color w:val="auto"/>
                <w:sz w:val="24"/>
                <w:szCs w:val="24"/>
              </w:rPr>
              <w:t>项目厂界噪声预测结果一览表（单位：dB</w:t>
            </w:r>
            <w:r>
              <w:rPr>
                <w:rStyle w:val="73"/>
                <w:rFonts w:hint="eastAsia" w:ascii="宋体" w:hAnsi="宋体" w:cs="宋体"/>
                <w:bCs/>
                <w:color w:val="auto"/>
                <w:sz w:val="24"/>
                <w:szCs w:val="24"/>
              </w:rPr>
              <w:t>(</w:t>
            </w:r>
            <w:r>
              <w:rPr>
                <w:rStyle w:val="73"/>
                <w:bCs/>
                <w:color w:val="auto"/>
                <w:sz w:val="24"/>
                <w:szCs w:val="24"/>
              </w:rPr>
              <w:t>A</w:t>
            </w:r>
            <w:r>
              <w:rPr>
                <w:rStyle w:val="73"/>
                <w:rFonts w:hint="eastAsia" w:ascii="宋体" w:hAnsi="宋体" w:cs="宋体"/>
                <w:bCs/>
                <w:color w:val="auto"/>
                <w:sz w:val="24"/>
                <w:szCs w:val="24"/>
              </w:rPr>
              <w:t>)</w:t>
            </w:r>
            <w:r>
              <w:rPr>
                <w:rStyle w:val="73"/>
                <w:bCs/>
                <w:color w:val="auto"/>
                <w:sz w:val="24"/>
                <w:szCs w:val="24"/>
              </w:rPr>
              <w:t>）</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2191"/>
              <w:gridCol w:w="2100"/>
              <w:gridCol w:w="2579"/>
            </w:tblGrid>
            <w:tr w14:paraId="5B09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vMerge w:val="restart"/>
                  <w:noWrap w:val="0"/>
                  <w:vAlign w:val="center"/>
                </w:tcPr>
                <w:p w14:paraId="6DEA343A">
                  <w:pPr>
                    <w:jc w:val="center"/>
                    <w:rPr>
                      <w:szCs w:val="21"/>
                    </w:rPr>
                  </w:pPr>
                  <w:r>
                    <w:rPr>
                      <w:szCs w:val="21"/>
                    </w:rPr>
                    <w:t>监测点位</w:t>
                  </w:r>
                </w:p>
              </w:tc>
              <w:tc>
                <w:tcPr>
                  <w:tcW w:w="2436" w:type="pct"/>
                  <w:gridSpan w:val="2"/>
                  <w:noWrap w:val="0"/>
                  <w:vAlign w:val="center"/>
                </w:tcPr>
                <w:p w14:paraId="74E8C3C7">
                  <w:pPr>
                    <w:jc w:val="center"/>
                    <w:rPr>
                      <w:szCs w:val="21"/>
                    </w:rPr>
                  </w:pPr>
                  <w:r>
                    <w:rPr>
                      <w:szCs w:val="21"/>
                    </w:rPr>
                    <w:t>昼间</w:t>
                  </w:r>
                </w:p>
              </w:tc>
              <w:tc>
                <w:tcPr>
                  <w:tcW w:w="1464" w:type="pct"/>
                  <w:vMerge w:val="restart"/>
                  <w:noWrap w:val="0"/>
                  <w:vAlign w:val="center"/>
                </w:tcPr>
                <w:p w14:paraId="2421CEBE">
                  <w:pPr>
                    <w:jc w:val="center"/>
                    <w:rPr>
                      <w:szCs w:val="21"/>
                    </w:rPr>
                  </w:pPr>
                  <w:r>
                    <w:rPr>
                      <w:szCs w:val="21"/>
                    </w:rPr>
                    <w:t>达标情况</w:t>
                  </w:r>
                </w:p>
              </w:tc>
            </w:tr>
            <w:tr w14:paraId="5FCC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vMerge w:val="continue"/>
                  <w:noWrap w:val="0"/>
                  <w:vAlign w:val="center"/>
                </w:tcPr>
                <w:p w14:paraId="12D0AE22">
                  <w:pPr>
                    <w:jc w:val="center"/>
                  </w:pPr>
                </w:p>
              </w:tc>
              <w:tc>
                <w:tcPr>
                  <w:tcW w:w="1244" w:type="pct"/>
                  <w:noWrap w:val="0"/>
                  <w:vAlign w:val="center"/>
                </w:tcPr>
                <w:p w14:paraId="4FDF3A55">
                  <w:pPr>
                    <w:jc w:val="center"/>
                    <w:rPr>
                      <w:rFonts w:hint="eastAsia"/>
                      <w:szCs w:val="21"/>
                    </w:rPr>
                  </w:pPr>
                  <w:r>
                    <w:rPr>
                      <w:rFonts w:hint="eastAsia"/>
                      <w:szCs w:val="21"/>
                    </w:rPr>
                    <w:t>贡献值</w:t>
                  </w:r>
                </w:p>
              </w:tc>
              <w:tc>
                <w:tcPr>
                  <w:tcW w:w="1192" w:type="pct"/>
                  <w:noWrap w:val="0"/>
                  <w:vAlign w:val="center"/>
                </w:tcPr>
                <w:p w14:paraId="46CD0E32">
                  <w:pPr>
                    <w:jc w:val="center"/>
                    <w:rPr>
                      <w:rFonts w:hint="eastAsia"/>
                      <w:szCs w:val="21"/>
                    </w:rPr>
                  </w:pPr>
                  <w:r>
                    <w:rPr>
                      <w:rFonts w:hint="eastAsia"/>
                      <w:szCs w:val="21"/>
                    </w:rPr>
                    <w:t>标准值</w:t>
                  </w:r>
                </w:p>
              </w:tc>
              <w:tc>
                <w:tcPr>
                  <w:tcW w:w="1464" w:type="pct"/>
                  <w:vMerge w:val="continue"/>
                  <w:noWrap w:val="0"/>
                  <w:vAlign w:val="center"/>
                </w:tcPr>
                <w:p w14:paraId="107BB17A">
                  <w:pPr>
                    <w:jc w:val="center"/>
                    <w:rPr>
                      <w:szCs w:val="21"/>
                    </w:rPr>
                  </w:pPr>
                </w:p>
              </w:tc>
            </w:tr>
            <w:tr w14:paraId="16E6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noWrap w:val="0"/>
                  <w:vAlign w:val="center"/>
                </w:tcPr>
                <w:p w14:paraId="4A4EBB2D">
                  <w:pPr>
                    <w:jc w:val="center"/>
                    <w:rPr>
                      <w:szCs w:val="21"/>
                    </w:rPr>
                  </w:pPr>
                  <w:r>
                    <w:rPr>
                      <w:szCs w:val="21"/>
                    </w:rPr>
                    <w:t>东厂界</w:t>
                  </w:r>
                </w:p>
              </w:tc>
              <w:tc>
                <w:tcPr>
                  <w:tcW w:w="1244" w:type="pct"/>
                  <w:noWrap w:val="0"/>
                  <w:vAlign w:val="center"/>
                </w:tcPr>
                <w:p w14:paraId="355E8F01">
                  <w:pPr>
                    <w:jc w:val="center"/>
                    <w:rPr>
                      <w:rFonts w:hint="default" w:eastAsia="宋体"/>
                      <w:color w:val="auto"/>
                      <w:szCs w:val="21"/>
                      <w:lang w:val="en-US" w:eastAsia="zh-CN"/>
                    </w:rPr>
                  </w:pPr>
                  <w:r>
                    <w:rPr>
                      <w:rFonts w:hint="eastAsia"/>
                      <w:color w:val="auto"/>
                      <w:szCs w:val="21"/>
                      <w:lang w:val="en-US" w:eastAsia="zh-CN"/>
                    </w:rPr>
                    <w:t>55.4</w:t>
                  </w:r>
                </w:p>
              </w:tc>
              <w:tc>
                <w:tcPr>
                  <w:tcW w:w="1192" w:type="pct"/>
                  <w:noWrap w:val="0"/>
                  <w:vAlign w:val="center"/>
                </w:tcPr>
                <w:p w14:paraId="6BB800A0">
                  <w:pPr>
                    <w:jc w:val="center"/>
                    <w:rPr>
                      <w:rFonts w:hint="eastAsia" w:eastAsia="宋体"/>
                      <w:color w:val="auto"/>
                      <w:szCs w:val="21"/>
                      <w:lang w:val="en-US" w:eastAsia="zh-CN"/>
                    </w:rPr>
                  </w:pPr>
                  <w:r>
                    <w:rPr>
                      <w:rFonts w:hint="eastAsia"/>
                      <w:color w:val="auto"/>
                      <w:szCs w:val="21"/>
                    </w:rPr>
                    <w:t>6</w:t>
                  </w:r>
                  <w:r>
                    <w:rPr>
                      <w:rFonts w:hint="eastAsia"/>
                      <w:color w:val="auto"/>
                      <w:szCs w:val="21"/>
                      <w:lang w:val="en-US" w:eastAsia="zh-CN"/>
                    </w:rPr>
                    <w:t>0</w:t>
                  </w:r>
                </w:p>
              </w:tc>
              <w:tc>
                <w:tcPr>
                  <w:tcW w:w="1464" w:type="pct"/>
                  <w:noWrap w:val="0"/>
                  <w:vAlign w:val="center"/>
                </w:tcPr>
                <w:p w14:paraId="465EFA80">
                  <w:pPr>
                    <w:jc w:val="center"/>
                    <w:rPr>
                      <w:szCs w:val="21"/>
                    </w:rPr>
                  </w:pPr>
                  <w:r>
                    <w:rPr>
                      <w:szCs w:val="21"/>
                    </w:rPr>
                    <w:t>达标</w:t>
                  </w:r>
                </w:p>
              </w:tc>
            </w:tr>
            <w:tr w14:paraId="2CF7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98" w:type="pct"/>
                  <w:noWrap w:val="0"/>
                  <w:vAlign w:val="center"/>
                </w:tcPr>
                <w:p w14:paraId="1A54E3E4">
                  <w:pPr>
                    <w:jc w:val="center"/>
                    <w:rPr>
                      <w:rFonts w:hint="eastAsia"/>
                      <w:szCs w:val="21"/>
                    </w:rPr>
                  </w:pPr>
                  <w:r>
                    <w:rPr>
                      <w:rFonts w:hint="eastAsia"/>
                      <w:szCs w:val="21"/>
                    </w:rPr>
                    <w:t>南</w:t>
                  </w:r>
                  <w:r>
                    <w:rPr>
                      <w:szCs w:val="21"/>
                    </w:rPr>
                    <w:t>厂界</w:t>
                  </w:r>
                </w:p>
              </w:tc>
              <w:tc>
                <w:tcPr>
                  <w:tcW w:w="1244" w:type="pct"/>
                  <w:noWrap w:val="0"/>
                  <w:vAlign w:val="center"/>
                </w:tcPr>
                <w:p w14:paraId="32A4B9B9">
                  <w:pPr>
                    <w:jc w:val="center"/>
                    <w:rPr>
                      <w:rFonts w:hint="default" w:eastAsia="宋体"/>
                      <w:color w:val="auto"/>
                      <w:szCs w:val="21"/>
                      <w:lang w:val="en-US" w:eastAsia="zh-CN"/>
                    </w:rPr>
                  </w:pPr>
                  <w:r>
                    <w:rPr>
                      <w:rFonts w:hint="eastAsia"/>
                      <w:color w:val="auto"/>
                      <w:szCs w:val="21"/>
                      <w:lang w:val="en-US" w:eastAsia="zh-CN"/>
                    </w:rPr>
                    <w:t>52.0</w:t>
                  </w:r>
                </w:p>
              </w:tc>
              <w:tc>
                <w:tcPr>
                  <w:tcW w:w="1192" w:type="pct"/>
                  <w:noWrap w:val="0"/>
                  <w:vAlign w:val="center"/>
                </w:tcPr>
                <w:p w14:paraId="74B080A1">
                  <w:pPr>
                    <w:jc w:val="center"/>
                    <w:rPr>
                      <w:color w:val="auto"/>
                      <w:szCs w:val="21"/>
                    </w:rPr>
                  </w:pPr>
                  <w:r>
                    <w:rPr>
                      <w:rFonts w:hint="eastAsia"/>
                      <w:color w:val="auto"/>
                      <w:szCs w:val="21"/>
                    </w:rPr>
                    <w:t>6</w:t>
                  </w:r>
                  <w:r>
                    <w:rPr>
                      <w:rFonts w:hint="eastAsia"/>
                      <w:color w:val="auto"/>
                      <w:szCs w:val="21"/>
                      <w:lang w:val="en-US" w:eastAsia="zh-CN"/>
                    </w:rPr>
                    <w:t>0</w:t>
                  </w:r>
                </w:p>
              </w:tc>
              <w:tc>
                <w:tcPr>
                  <w:tcW w:w="1464" w:type="pct"/>
                  <w:noWrap w:val="0"/>
                  <w:vAlign w:val="center"/>
                </w:tcPr>
                <w:p w14:paraId="13C0988A">
                  <w:pPr>
                    <w:jc w:val="center"/>
                    <w:rPr>
                      <w:rFonts w:hint="eastAsia"/>
                      <w:szCs w:val="21"/>
                    </w:rPr>
                  </w:pPr>
                  <w:r>
                    <w:rPr>
                      <w:rFonts w:hint="eastAsia"/>
                      <w:szCs w:val="21"/>
                    </w:rPr>
                    <w:t>达标</w:t>
                  </w:r>
                </w:p>
              </w:tc>
            </w:tr>
            <w:tr w14:paraId="76A0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98" w:type="pct"/>
                  <w:noWrap w:val="0"/>
                  <w:vAlign w:val="center"/>
                </w:tcPr>
                <w:p w14:paraId="0088B886">
                  <w:pPr>
                    <w:jc w:val="center"/>
                    <w:rPr>
                      <w:szCs w:val="21"/>
                    </w:rPr>
                  </w:pPr>
                  <w:r>
                    <w:rPr>
                      <w:rFonts w:hint="eastAsia"/>
                      <w:szCs w:val="21"/>
                    </w:rPr>
                    <w:t>西厂界</w:t>
                  </w:r>
                </w:p>
              </w:tc>
              <w:tc>
                <w:tcPr>
                  <w:tcW w:w="1244" w:type="pct"/>
                  <w:noWrap w:val="0"/>
                  <w:vAlign w:val="center"/>
                </w:tcPr>
                <w:p w14:paraId="7EE23116">
                  <w:pPr>
                    <w:jc w:val="center"/>
                    <w:rPr>
                      <w:rFonts w:hint="default" w:eastAsia="宋体"/>
                      <w:color w:val="auto"/>
                      <w:szCs w:val="21"/>
                      <w:lang w:val="en-US" w:eastAsia="zh-CN"/>
                    </w:rPr>
                  </w:pPr>
                  <w:r>
                    <w:rPr>
                      <w:rFonts w:hint="eastAsia"/>
                      <w:color w:val="auto"/>
                      <w:szCs w:val="21"/>
                      <w:lang w:val="en-US" w:eastAsia="zh-CN"/>
                    </w:rPr>
                    <w:t>43.1</w:t>
                  </w:r>
                </w:p>
              </w:tc>
              <w:tc>
                <w:tcPr>
                  <w:tcW w:w="1192" w:type="pct"/>
                  <w:noWrap w:val="0"/>
                  <w:vAlign w:val="center"/>
                </w:tcPr>
                <w:p w14:paraId="4A09DBDA">
                  <w:pPr>
                    <w:jc w:val="center"/>
                    <w:rPr>
                      <w:color w:val="auto"/>
                      <w:szCs w:val="21"/>
                    </w:rPr>
                  </w:pPr>
                  <w:r>
                    <w:rPr>
                      <w:rFonts w:hint="eastAsia"/>
                      <w:color w:val="auto"/>
                      <w:szCs w:val="21"/>
                    </w:rPr>
                    <w:t>6</w:t>
                  </w:r>
                  <w:r>
                    <w:rPr>
                      <w:rFonts w:hint="eastAsia"/>
                      <w:color w:val="auto"/>
                      <w:szCs w:val="21"/>
                      <w:lang w:val="en-US" w:eastAsia="zh-CN"/>
                    </w:rPr>
                    <w:t>0</w:t>
                  </w:r>
                </w:p>
              </w:tc>
              <w:tc>
                <w:tcPr>
                  <w:tcW w:w="1464" w:type="pct"/>
                  <w:noWrap w:val="0"/>
                  <w:vAlign w:val="center"/>
                </w:tcPr>
                <w:p w14:paraId="6B4A5E42">
                  <w:pPr>
                    <w:jc w:val="center"/>
                    <w:rPr>
                      <w:szCs w:val="21"/>
                    </w:rPr>
                  </w:pPr>
                  <w:r>
                    <w:rPr>
                      <w:szCs w:val="21"/>
                    </w:rPr>
                    <w:t>达标</w:t>
                  </w:r>
                </w:p>
              </w:tc>
            </w:tr>
            <w:tr w14:paraId="09E0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098" w:type="pct"/>
                  <w:noWrap w:val="0"/>
                  <w:vAlign w:val="center"/>
                </w:tcPr>
                <w:p w14:paraId="22937294">
                  <w:pPr>
                    <w:jc w:val="center"/>
                    <w:rPr>
                      <w:szCs w:val="21"/>
                    </w:rPr>
                  </w:pPr>
                  <w:r>
                    <w:rPr>
                      <w:szCs w:val="21"/>
                    </w:rPr>
                    <w:t>北厂界</w:t>
                  </w:r>
                </w:p>
              </w:tc>
              <w:tc>
                <w:tcPr>
                  <w:tcW w:w="1244" w:type="pct"/>
                  <w:noWrap w:val="0"/>
                  <w:vAlign w:val="center"/>
                </w:tcPr>
                <w:p w14:paraId="71125693">
                  <w:pPr>
                    <w:jc w:val="center"/>
                    <w:rPr>
                      <w:rFonts w:hint="default" w:eastAsia="宋体"/>
                      <w:color w:val="auto"/>
                      <w:szCs w:val="21"/>
                      <w:lang w:val="en-US" w:eastAsia="zh-CN"/>
                    </w:rPr>
                  </w:pPr>
                  <w:r>
                    <w:rPr>
                      <w:rFonts w:hint="eastAsia"/>
                      <w:color w:val="auto"/>
                      <w:szCs w:val="21"/>
                      <w:lang w:val="en-US" w:eastAsia="zh-CN"/>
                    </w:rPr>
                    <w:t>32.9</w:t>
                  </w:r>
                </w:p>
              </w:tc>
              <w:tc>
                <w:tcPr>
                  <w:tcW w:w="1192" w:type="pct"/>
                  <w:noWrap w:val="0"/>
                  <w:vAlign w:val="center"/>
                </w:tcPr>
                <w:p w14:paraId="3820B1D3">
                  <w:pPr>
                    <w:jc w:val="center"/>
                    <w:rPr>
                      <w:color w:val="auto"/>
                      <w:szCs w:val="21"/>
                    </w:rPr>
                  </w:pPr>
                  <w:r>
                    <w:rPr>
                      <w:rFonts w:hint="eastAsia"/>
                      <w:color w:val="auto"/>
                      <w:szCs w:val="21"/>
                    </w:rPr>
                    <w:t>6</w:t>
                  </w:r>
                  <w:r>
                    <w:rPr>
                      <w:rFonts w:hint="eastAsia"/>
                      <w:color w:val="auto"/>
                      <w:szCs w:val="21"/>
                      <w:lang w:val="en-US" w:eastAsia="zh-CN"/>
                    </w:rPr>
                    <w:t>0</w:t>
                  </w:r>
                </w:p>
              </w:tc>
              <w:tc>
                <w:tcPr>
                  <w:tcW w:w="1464" w:type="pct"/>
                  <w:noWrap w:val="0"/>
                  <w:vAlign w:val="center"/>
                </w:tcPr>
                <w:p w14:paraId="3E511989">
                  <w:pPr>
                    <w:jc w:val="center"/>
                    <w:rPr>
                      <w:szCs w:val="21"/>
                    </w:rPr>
                  </w:pPr>
                  <w:r>
                    <w:rPr>
                      <w:szCs w:val="21"/>
                    </w:rPr>
                    <w:t>达标</w:t>
                  </w:r>
                </w:p>
              </w:tc>
            </w:tr>
          </w:tbl>
          <w:p w14:paraId="17CF8C99">
            <w:pPr>
              <w:widowControl/>
              <w:numPr>
                <w:ilvl w:val="0"/>
                <w:numId w:val="13"/>
              </w:numPr>
              <w:tabs>
                <w:tab w:val="left" w:pos="420"/>
                <w:tab w:val="clear" w:pos="0"/>
              </w:tabs>
              <w:spacing w:line="360" w:lineRule="auto"/>
              <w:ind w:left="0" w:leftChars="0" w:firstLine="0" w:firstLineChars="0"/>
              <w:jc w:val="center"/>
              <w:rPr>
                <w:rStyle w:val="73"/>
                <w:bCs/>
                <w:color w:val="auto"/>
                <w:sz w:val="24"/>
                <w:szCs w:val="24"/>
              </w:rPr>
            </w:pPr>
            <w:r>
              <w:rPr>
                <w:rStyle w:val="73"/>
                <w:bCs/>
                <w:color w:val="auto"/>
                <w:sz w:val="24"/>
                <w:szCs w:val="24"/>
              </w:rPr>
              <w:t>项目</w:t>
            </w:r>
            <w:r>
              <w:rPr>
                <w:rStyle w:val="73"/>
                <w:rFonts w:hint="eastAsia"/>
                <w:bCs/>
                <w:color w:val="auto"/>
                <w:sz w:val="24"/>
                <w:szCs w:val="24"/>
                <w:lang w:val="en-US" w:eastAsia="zh-CN"/>
              </w:rPr>
              <w:t>敏感点</w:t>
            </w:r>
            <w:r>
              <w:rPr>
                <w:rStyle w:val="73"/>
                <w:bCs/>
                <w:color w:val="auto"/>
                <w:sz w:val="24"/>
                <w:szCs w:val="24"/>
              </w:rPr>
              <w:t>噪声预测结果一览表（单位：dB</w:t>
            </w:r>
            <w:r>
              <w:rPr>
                <w:rStyle w:val="73"/>
                <w:rFonts w:hint="eastAsia" w:ascii="宋体" w:hAnsi="宋体" w:cs="宋体"/>
                <w:bCs/>
                <w:color w:val="auto"/>
                <w:sz w:val="24"/>
                <w:szCs w:val="24"/>
              </w:rPr>
              <w:t>(</w:t>
            </w:r>
            <w:r>
              <w:rPr>
                <w:rStyle w:val="73"/>
                <w:bCs/>
                <w:color w:val="auto"/>
                <w:sz w:val="24"/>
                <w:szCs w:val="24"/>
              </w:rPr>
              <w:t>A</w:t>
            </w:r>
            <w:r>
              <w:rPr>
                <w:rStyle w:val="73"/>
                <w:rFonts w:hint="eastAsia" w:ascii="宋体" w:hAnsi="宋体" w:cs="宋体"/>
                <w:bCs/>
                <w:color w:val="auto"/>
                <w:sz w:val="24"/>
                <w:szCs w:val="24"/>
              </w:rPr>
              <w:t>)</w:t>
            </w:r>
            <w:r>
              <w:rPr>
                <w:rStyle w:val="73"/>
                <w:bCs/>
                <w:color w:val="auto"/>
                <w:sz w:val="24"/>
                <w:szCs w:val="24"/>
              </w:rPr>
              <w:t>）</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1094"/>
              <w:gridCol w:w="1097"/>
              <w:gridCol w:w="1050"/>
              <w:gridCol w:w="1050"/>
              <w:gridCol w:w="2579"/>
            </w:tblGrid>
            <w:tr w14:paraId="770C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vMerge w:val="restart"/>
                  <w:noWrap w:val="0"/>
                  <w:vAlign w:val="center"/>
                </w:tcPr>
                <w:p w14:paraId="1552D555">
                  <w:pPr>
                    <w:jc w:val="center"/>
                    <w:rPr>
                      <w:szCs w:val="21"/>
                    </w:rPr>
                  </w:pPr>
                  <w:r>
                    <w:rPr>
                      <w:szCs w:val="21"/>
                    </w:rPr>
                    <w:t>监测点位</w:t>
                  </w:r>
                </w:p>
              </w:tc>
              <w:tc>
                <w:tcPr>
                  <w:tcW w:w="2436" w:type="pct"/>
                  <w:gridSpan w:val="4"/>
                  <w:noWrap w:val="0"/>
                  <w:vAlign w:val="center"/>
                </w:tcPr>
                <w:p w14:paraId="369537C9">
                  <w:pPr>
                    <w:jc w:val="center"/>
                    <w:rPr>
                      <w:szCs w:val="21"/>
                    </w:rPr>
                  </w:pPr>
                  <w:r>
                    <w:rPr>
                      <w:szCs w:val="21"/>
                    </w:rPr>
                    <w:t>昼间</w:t>
                  </w:r>
                </w:p>
              </w:tc>
              <w:tc>
                <w:tcPr>
                  <w:tcW w:w="1464" w:type="pct"/>
                  <w:vMerge w:val="restart"/>
                  <w:noWrap w:val="0"/>
                  <w:vAlign w:val="center"/>
                </w:tcPr>
                <w:p w14:paraId="494D83E2">
                  <w:pPr>
                    <w:jc w:val="center"/>
                    <w:rPr>
                      <w:szCs w:val="21"/>
                    </w:rPr>
                  </w:pPr>
                  <w:r>
                    <w:rPr>
                      <w:szCs w:val="21"/>
                    </w:rPr>
                    <w:t>达标情况</w:t>
                  </w:r>
                </w:p>
              </w:tc>
            </w:tr>
            <w:tr w14:paraId="1A7C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vMerge w:val="continue"/>
                  <w:noWrap w:val="0"/>
                  <w:vAlign w:val="center"/>
                </w:tcPr>
                <w:p w14:paraId="33EB0937">
                  <w:pPr>
                    <w:jc w:val="center"/>
                  </w:pPr>
                </w:p>
              </w:tc>
              <w:tc>
                <w:tcPr>
                  <w:tcW w:w="621" w:type="pct"/>
                  <w:noWrap w:val="0"/>
                  <w:vAlign w:val="center"/>
                </w:tcPr>
                <w:p w14:paraId="090B3FBC">
                  <w:pPr>
                    <w:jc w:val="center"/>
                    <w:rPr>
                      <w:rFonts w:hint="eastAsia"/>
                      <w:szCs w:val="21"/>
                    </w:rPr>
                  </w:pPr>
                  <w:r>
                    <w:rPr>
                      <w:rFonts w:hint="eastAsia"/>
                      <w:szCs w:val="21"/>
                      <w:lang w:val="en-US" w:eastAsia="zh-CN"/>
                    </w:rPr>
                    <w:t>背景</w:t>
                  </w:r>
                  <w:r>
                    <w:rPr>
                      <w:rFonts w:hint="eastAsia"/>
                      <w:szCs w:val="21"/>
                    </w:rPr>
                    <w:t>值</w:t>
                  </w:r>
                </w:p>
              </w:tc>
              <w:tc>
                <w:tcPr>
                  <w:tcW w:w="623" w:type="pct"/>
                  <w:shd w:val="clear" w:color="auto" w:fill="auto"/>
                  <w:noWrap w:val="0"/>
                  <w:vAlign w:val="center"/>
                </w:tcPr>
                <w:p w14:paraId="144126BB">
                  <w:pPr>
                    <w:jc w:val="center"/>
                    <w:rPr>
                      <w:rFonts w:hint="eastAsia" w:ascii="Times New Roman" w:hAnsi="Times New Roman" w:eastAsia="宋体" w:cs="Times New Roman"/>
                      <w:kern w:val="2"/>
                      <w:sz w:val="21"/>
                      <w:szCs w:val="21"/>
                      <w:lang w:val="en-US" w:eastAsia="zh-CN" w:bidi="ar-SA"/>
                    </w:rPr>
                  </w:pPr>
                  <w:r>
                    <w:rPr>
                      <w:rFonts w:hint="eastAsia"/>
                      <w:szCs w:val="21"/>
                    </w:rPr>
                    <w:t>贡献值</w:t>
                  </w:r>
                </w:p>
              </w:tc>
              <w:tc>
                <w:tcPr>
                  <w:tcW w:w="596" w:type="pct"/>
                  <w:noWrap w:val="0"/>
                  <w:vAlign w:val="center"/>
                </w:tcPr>
                <w:p w14:paraId="48B648DE">
                  <w:pPr>
                    <w:jc w:val="center"/>
                    <w:rPr>
                      <w:rFonts w:hint="eastAsia"/>
                      <w:szCs w:val="21"/>
                    </w:rPr>
                  </w:pPr>
                  <w:r>
                    <w:rPr>
                      <w:rFonts w:hint="eastAsia"/>
                      <w:szCs w:val="21"/>
                      <w:lang w:val="en-US" w:eastAsia="zh-CN"/>
                    </w:rPr>
                    <w:t>预测</w:t>
                  </w:r>
                  <w:r>
                    <w:rPr>
                      <w:rFonts w:hint="eastAsia"/>
                      <w:szCs w:val="21"/>
                    </w:rPr>
                    <w:t>值</w:t>
                  </w:r>
                </w:p>
              </w:tc>
              <w:tc>
                <w:tcPr>
                  <w:tcW w:w="596" w:type="pct"/>
                  <w:shd w:val="clear" w:color="auto" w:fill="auto"/>
                  <w:noWrap w:val="0"/>
                  <w:vAlign w:val="center"/>
                </w:tcPr>
                <w:p w14:paraId="6BD872FA">
                  <w:pPr>
                    <w:jc w:val="center"/>
                    <w:rPr>
                      <w:rFonts w:hint="eastAsia" w:ascii="Times New Roman" w:hAnsi="Times New Roman" w:eastAsia="宋体" w:cs="Times New Roman"/>
                      <w:kern w:val="2"/>
                      <w:sz w:val="21"/>
                      <w:szCs w:val="21"/>
                      <w:lang w:val="en-US" w:eastAsia="zh-CN" w:bidi="ar-SA"/>
                    </w:rPr>
                  </w:pPr>
                  <w:r>
                    <w:rPr>
                      <w:rFonts w:hint="eastAsia"/>
                      <w:szCs w:val="21"/>
                    </w:rPr>
                    <w:t>标准值</w:t>
                  </w:r>
                </w:p>
              </w:tc>
              <w:tc>
                <w:tcPr>
                  <w:tcW w:w="1464" w:type="pct"/>
                  <w:vMerge w:val="continue"/>
                  <w:noWrap w:val="0"/>
                  <w:vAlign w:val="center"/>
                </w:tcPr>
                <w:p w14:paraId="0B47CFB8">
                  <w:pPr>
                    <w:jc w:val="center"/>
                    <w:rPr>
                      <w:szCs w:val="21"/>
                    </w:rPr>
                  </w:pPr>
                </w:p>
              </w:tc>
            </w:tr>
            <w:tr w14:paraId="4193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pct"/>
                  <w:noWrap w:val="0"/>
                  <w:vAlign w:val="center"/>
                </w:tcPr>
                <w:p w14:paraId="40D7FD1B">
                  <w:pPr>
                    <w:jc w:val="center"/>
                    <w:rPr>
                      <w:rFonts w:hint="default" w:eastAsia="宋体"/>
                      <w:szCs w:val="21"/>
                      <w:lang w:val="en-US" w:eastAsia="zh-CN"/>
                    </w:rPr>
                  </w:pPr>
                  <w:r>
                    <w:rPr>
                      <w:rFonts w:hint="eastAsia"/>
                      <w:szCs w:val="21"/>
                      <w:lang w:val="en-US" w:eastAsia="zh-CN"/>
                    </w:rPr>
                    <w:t>汪家寨N1</w:t>
                  </w:r>
                </w:p>
              </w:tc>
              <w:tc>
                <w:tcPr>
                  <w:tcW w:w="621" w:type="pct"/>
                  <w:noWrap w:val="0"/>
                  <w:vAlign w:val="center"/>
                </w:tcPr>
                <w:p w14:paraId="266F33D7">
                  <w:pPr>
                    <w:jc w:val="center"/>
                    <w:rPr>
                      <w:rFonts w:hint="default"/>
                      <w:color w:val="auto"/>
                      <w:szCs w:val="21"/>
                      <w:lang w:val="en-US" w:eastAsia="zh-CN"/>
                    </w:rPr>
                  </w:pPr>
                  <w:r>
                    <w:rPr>
                      <w:rFonts w:hint="eastAsia"/>
                      <w:color w:val="auto"/>
                      <w:szCs w:val="21"/>
                      <w:lang w:val="en-US" w:eastAsia="zh-CN"/>
                    </w:rPr>
                    <w:t>40.2</w:t>
                  </w:r>
                </w:p>
              </w:tc>
              <w:tc>
                <w:tcPr>
                  <w:tcW w:w="623" w:type="pct"/>
                  <w:shd w:val="clear" w:color="auto" w:fill="auto"/>
                  <w:noWrap w:val="0"/>
                  <w:vAlign w:val="center"/>
                </w:tcPr>
                <w:p w14:paraId="7E5FE67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42.8</w:t>
                  </w:r>
                </w:p>
              </w:tc>
              <w:tc>
                <w:tcPr>
                  <w:tcW w:w="596" w:type="pct"/>
                  <w:noWrap w:val="0"/>
                  <w:vAlign w:val="center"/>
                </w:tcPr>
                <w:p w14:paraId="4EECD1A8">
                  <w:pPr>
                    <w:jc w:val="center"/>
                    <w:rPr>
                      <w:rFonts w:hint="default" w:eastAsia="宋体"/>
                      <w:color w:val="auto"/>
                      <w:szCs w:val="21"/>
                      <w:lang w:val="en-US" w:eastAsia="zh-CN"/>
                    </w:rPr>
                  </w:pPr>
                  <w:r>
                    <w:rPr>
                      <w:rFonts w:hint="eastAsia"/>
                      <w:color w:val="auto"/>
                      <w:szCs w:val="21"/>
                      <w:lang w:val="en-US" w:eastAsia="zh-CN"/>
                    </w:rPr>
                    <w:t>44.7</w:t>
                  </w:r>
                </w:p>
              </w:tc>
              <w:tc>
                <w:tcPr>
                  <w:tcW w:w="596" w:type="pct"/>
                  <w:vMerge w:val="restart"/>
                  <w:shd w:val="clear" w:color="auto" w:fill="auto"/>
                  <w:noWrap w:val="0"/>
                  <w:vAlign w:val="center"/>
                </w:tcPr>
                <w:p w14:paraId="3F69167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60</w:t>
                  </w:r>
                </w:p>
              </w:tc>
              <w:tc>
                <w:tcPr>
                  <w:tcW w:w="1464" w:type="pct"/>
                  <w:shd w:val="clear" w:color="auto" w:fill="auto"/>
                  <w:noWrap w:val="0"/>
                  <w:vAlign w:val="center"/>
                </w:tcPr>
                <w:p w14:paraId="3CBBEA6A">
                  <w:pPr>
                    <w:jc w:val="center"/>
                    <w:rPr>
                      <w:rFonts w:ascii="Times New Roman" w:hAnsi="Times New Roman" w:eastAsia="宋体" w:cs="Times New Roman"/>
                      <w:kern w:val="2"/>
                      <w:sz w:val="21"/>
                      <w:szCs w:val="21"/>
                      <w:lang w:val="en-US" w:eastAsia="zh-CN" w:bidi="ar-SA"/>
                    </w:rPr>
                  </w:pPr>
                  <w:r>
                    <w:rPr>
                      <w:szCs w:val="21"/>
                    </w:rPr>
                    <w:t>达标</w:t>
                  </w:r>
                </w:p>
              </w:tc>
            </w:tr>
            <w:tr w14:paraId="7DD8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098" w:type="pct"/>
                  <w:noWrap w:val="0"/>
                  <w:vAlign w:val="center"/>
                </w:tcPr>
                <w:p w14:paraId="77444AEC">
                  <w:pPr>
                    <w:jc w:val="center"/>
                    <w:rPr>
                      <w:rFonts w:hint="default" w:eastAsia="宋体"/>
                      <w:szCs w:val="21"/>
                      <w:lang w:val="en-US" w:eastAsia="zh-CN"/>
                    </w:rPr>
                  </w:pPr>
                  <w:r>
                    <w:rPr>
                      <w:rFonts w:hint="eastAsia"/>
                      <w:szCs w:val="21"/>
                      <w:lang w:val="en-US" w:eastAsia="zh-CN"/>
                    </w:rPr>
                    <w:t>桃园矿工人村N2</w:t>
                  </w:r>
                </w:p>
              </w:tc>
              <w:tc>
                <w:tcPr>
                  <w:tcW w:w="621" w:type="pct"/>
                  <w:noWrap w:val="0"/>
                  <w:vAlign w:val="center"/>
                </w:tcPr>
                <w:p w14:paraId="0C7A9E27">
                  <w:pPr>
                    <w:jc w:val="center"/>
                    <w:rPr>
                      <w:rFonts w:hint="default"/>
                      <w:color w:val="auto"/>
                      <w:szCs w:val="21"/>
                      <w:lang w:val="en-US" w:eastAsia="zh-CN"/>
                    </w:rPr>
                  </w:pPr>
                  <w:r>
                    <w:rPr>
                      <w:rFonts w:hint="eastAsia"/>
                      <w:color w:val="auto"/>
                      <w:szCs w:val="21"/>
                      <w:lang w:val="en-US" w:eastAsia="zh-CN"/>
                    </w:rPr>
                    <w:t>42</w:t>
                  </w:r>
                </w:p>
              </w:tc>
              <w:tc>
                <w:tcPr>
                  <w:tcW w:w="623" w:type="pct"/>
                  <w:shd w:val="clear" w:color="auto" w:fill="auto"/>
                  <w:noWrap w:val="0"/>
                  <w:vAlign w:val="center"/>
                </w:tcPr>
                <w:p w14:paraId="54A844F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41.6</w:t>
                  </w:r>
                </w:p>
              </w:tc>
              <w:tc>
                <w:tcPr>
                  <w:tcW w:w="596" w:type="pct"/>
                  <w:noWrap w:val="0"/>
                  <w:vAlign w:val="center"/>
                </w:tcPr>
                <w:p w14:paraId="1DA21749">
                  <w:pPr>
                    <w:jc w:val="center"/>
                    <w:rPr>
                      <w:rFonts w:hint="default" w:eastAsia="宋体"/>
                      <w:color w:val="auto"/>
                      <w:szCs w:val="21"/>
                      <w:lang w:val="en-US" w:eastAsia="zh-CN"/>
                    </w:rPr>
                  </w:pPr>
                  <w:r>
                    <w:rPr>
                      <w:rFonts w:hint="eastAsia"/>
                      <w:color w:val="auto"/>
                      <w:szCs w:val="21"/>
                      <w:lang w:val="en-US" w:eastAsia="zh-CN"/>
                    </w:rPr>
                    <w:t>44.8</w:t>
                  </w:r>
                </w:p>
              </w:tc>
              <w:tc>
                <w:tcPr>
                  <w:tcW w:w="596" w:type="pct"/>
                  <w:vMerge w:val="continue"/>
                  <w:shd w:val="clear" w:color="auto" w:fill="auto"/>
                  <w:noWrap w:val="0"/>
                  <w:vAlign w:val="center"/>
                </w:tcPr>
                <w:p w14:paraId="48ED5BF5">
                  <w:pPr>
                    <w:jc w:val="center"/>
                    <w:rPr>
                      <w:rFonts w:hint="eastAsia" w:ascii="Times New Roman" w:hAnsi="Times New Roman" w:eastAsia="宋体" w:cs="Times New Roman"/>
                      <w:color w:val="auto"/>
                      <w:kern w:val="2"/>
                      <w:sz w:val="21"/>
                      <w:szCs w:val="21"/>
                      <w:lang w:val="en-US" w:eastAsia="zh-CN" w:bidi="ar-SA"/>
                    </w:rPr>
                  </w:pPr>
                </w:p>
              </w:tc>
              <w:tc>
                <w:tcPr>
                  <w:tcW w:w="1464" w:type="pct"/>
                  <w:shd w:val="clear" w:color="auto" w:fill="auto"/>
                  <w:noWrap w:val="0"/>
                  <w:vAlign w:val="center"/>
                </w:tcPr>
                <w:p w14:paraId="539538F9">
                  <w:pPr>
                    <w:jc w:val="center"/>
                    <w:rPr>
                      <w:rFonts w:ascii="Times New Roman" w:hAnsi="Times New Roman" w:eastAsia="宋体" w:cs="Times New Roman"/>
                      <w:kern w:val="2"/>
                      <w:sz w:val="21"/>
                      <w:szCs w:val="21"/>
                      <w:lang w:val="en-US" w:eastAsia="zh-CN" w:bidi="ar-SA"/>
                    </w:rPr>
                  </w:pPr>
                  <w:r>
                    <w:rPr>
                      <w:szCs w:val="21"/>
                    </w:rPr>
                    <w:t>达标</w:t>
                  </w:r>
                </w:p>
              </w:tc>
            </w:tr>
          </w:tbl>
          <w:p w14:paraId="0A59BB47">
            <w:pPr>
              <w:adjustRightInd w:val="0"/>
              <w:snapToGrid w:val="0"/>
              <w:spacing w:line="360" w:lineRule="auto"/>
              <w:ind w:firstLine="480" w:firstLineChars="200"/>
              <w:rPr>
                <w:sz w:val="24"/>
              </w:rPr>
            </w:pPr>
            <w:r>
              <w:rPr>
                <w:sz w:val="24"/>
              </w:rPr>
              <w:t>（2）噪声达标性分析</w:t>
            </w:r>
          </w:p>
          <w:p w14:paraId="100C1EFF">
            <w:pPr>
              <w:adjustRightInd w:val="0"/>
              <w:snapToGrid w:val="0"/>
              <w:spacing w:line="360" w:lineRule="auto"/>
              <w:ind w:firstLine="480" w:firstLineChars="200"/>
              <w:rPr>
                <w:iCs/>
                <w:sz w:val="24"/>
              </w:rPr>
            </w:pPr>
            <w:r>
              <w:rPr>
                <w:sz w:val="24"/>
              </w:rPr>
              <w:t>根据噪声预测分析，本项目</w:t>
            </w:r>
            <w:r>
              <w:rPr>
                <w:rFonts w:hint="eastAsia"/>
                <w:sz w:val="24"/>
              </w:rPr>
              <w:t>全厂</w:t>
            </w:r>
            <w:r>
              <w:rPr>
                <w:sz w:val="24"/>
              </w:rPr>
              <w:t>各噪声源在加强采取相应的噪声污染治理措施后，厂界</w:t>
            </w:r>
            <w:r>
              <w:rPr>
                <w:rFonts w:hint="eastAsia"/>
                <w:sz w:val="24"/>
                <w:lang w:eastAsia="zh-CN"/>
              </w:rPr>
              <w:t>昼</w:t>
            </w:r>
            <w:r>
              <w:rPr>
                <w:rFonts w:hint="eastAsia"/>
                <w:sz w:val="24"/>
                <w:lang w:val="en-US" w:eastAsia="zh-CN"/>
              </w:rPr>
              <w:t>间</w:t>
            </w:r>
            <w:r>
              <w:rPr>
                <w:sz w:val="24"/>
              </w:rPr>
              <w:t>噪声贡献值</w:t>
            </w:r>
            <w:r>
              <w:rPr>
                <w:iCs/>
                <w:sz w:val="24"/>
              </w:rPr>
              <w:t>能</w:t>
            </w:r>
            <w:r>
              <w:rPr>
                <w:sz w:val="24"/>
              </w:rPr>
              <w:t>达到《工业企业厂界环境噪声排放标准》（GB</w:t>
            </w:r>
            <w:r>
              <w:rPr>
                <w:rFonts w:hint="eastAsia"/>
                <w:sz w:val="24"/>
                <w:lang w:val="en-US" w:eastAsia="zh-CN"/>
              </w:rPr>
              <w:t>12348</w:t>
            </w:r>
            <w:r>
              <w:rPr>
                <w:sz w:val="24"/>
              </w:rPr>
              <w:t>-2008）</w:t>
            </w:r>
            <w:r>
              <w:rPr>
                <w:rFonts w:hint="eastAsia"/>
                <w:sz w:val="24"/>
              </w:rPr>
              <w:t>2</w:t>
            </w:r>
            <w:r>
              <w:rPr>
                <w:sz w:val="24"/>
              </w:rPr>
              <w:t>类</w:t>
            </w:r>
            <w:r>
              <w:rPr>
                <w:rFonts w:hint="eastAsia"/>
                <w:sz w:val="24"/>
                <w:lang w:val="en-US" w:eastAsia="zh-CN"/>
              </w:rPr>
              <w:t>标准，两处敏感点噪声贡献值能达到</w:t>
            </w:r>
            <w:r>
              <w:rPr>
                <w:sz w:val="24"/>
              </w:rPr>
              <w:t>《声环境质量标准》（GB</w:t>
            </w:r>
            <w:r>
              <w:rPr>
                <w:rFonts w:hint="eastAsia"/>
                <w:sz w:val="24"/>
              </w:rPr>
              <w:t>3096</w:t>
            </w:r>
            <w:r>
              <w:rPr>
                <w:sz w:val="24"/>
              </w:rPr>
              <w:t>-2008）</w:t>
            </w:r>
            <w:r>
              <w:rPr>
                <w:rFonts w:hint="eastAsia"/>
                <w:sz w:val="24"/>
              </w:rPr>
              <w:t>2</w:t>
            </w:r>
            <w:r>
              <w:rPr>
                <w:sz w:val="24"/>
              </w:rPr>
              <w:t>类</w:t>
            </w:r>
            <w:r>
              <w:rPr>
                <w:rFonts w:hint="eastAsia"/>
                <w:sz w:val="24"/>
              </w:rPr>
              <w:t>标准</w:t>
            </w:r>
            <w:r>
              <w:rPr>
                <w:iCs/>
                <w:sz w:val="24"/>
              </w:rPr>
              <w:t>，对周围声环境影响较小。</w:t>
            </w:r>
          </w:p>
          <w:p w14:paraId="3CC9EFA0">
            <w:pPr>
              <w:pStyle w:val="103"/>
              <w:ind w:firstLine="482"/>
              <w:rPr>
                <w:b/>
                <w:bCs w:val="0"/>
                <w:sz w:val="24"/>
                <w:szCs w:val="24"/>
              </w:rPr>
            </w:pPr>
            <w:r>
              <w:rPr>
                <w:b/>
                <w:bCs w:val="0"/>
                <w:sz w:val="24"/>
                <w:szCs w:val="24"/>
              </w:rPr>
              <w:t>3、</w:t>
            </w:r>
            <w:r>
              <w:rPr>
                <w:rFonts w:hint="eastAsia"/>
                <w:b/>
                <w:bCs w:val="0"/>
                <w:sz w:val="24"/>
                <w:szCs w:val="24"/>
              </w:rPr>
              <w:t>环境噪声</w:t>
            </w:r>
            <w:r>
              <w:rPr>
                <w:b/>
                <w:bCs w:val="0"/>
                <w:sz w:val="24"/>
                <w:szCs w:val="24"/>
              </w:rPr>
              <w:t>监测计划</w:t>
            </w:r>
          </w:p>
          <w:p w14:paraId="0A2AFD80">
            <w:pPr>
              <w:pStyle w:val="103"/>
              <w:ind w:firstLine="480"/>
              <w:rPr>
                <w:rStyle w:val="73"/>
                <w:rFonts w:hint="eastAsia"/>
                <w:bCs/>
                <w:color w:val="auto"/>
                <w:sz w:val="24"/>
                <w:szCs w:val="24"/>
              </w:rPr>
            </w:pPr>
            <w:r>
              <w:rPr>
                <w:sz w:val="24"/>
                <w:szCs w:val="24"/>
              </w:rPr>
              <w:t>项目营运期的噪声环境监测按《环境监测技术规范》和《污染源监测管理办法》，同时参考《排污许可证申请与核发技术规范 总则》、《排污单位自行监测技术指南 总则》（HJ 819-2017）等文件，</w:t>
            </w:r>
            <w:r>
              <w:rPr>
                <w:color w:val="000000" w:themeColor="text1"/>
                <w:sz w:val="24"/>
                <w:szCs w:val="24"/>
                <w14:textFill>
                  <w14:solidFill>
                    <w14:schemeClr w14:val="tx1"/>
                  </w14:solidFill>
                </w14:textFill>
              </w:rPr>
              <w:t>具体监测工作可委托有资质单位进行，执行本项目环境影响评价中的标准，营运期噪声环境监测计划如下：</w:t>
            </w:r>
          </w:p>
          <w:p w14:paraId="6092F2E9">
            <w:pPr>
              <w:widowControl/>
              <w:numPr>
                <w:ilvl w:val="0"/>
                <w:numId w:val="13"/>
              </w:numPr>
              <w:tabs>
                <w:tab w:val="left" w:pos="420"/>
                <w:tab w:val="clear" w:pos="0"/>
              </w:tabs>
              <w:spacing w:line="360" w:lineRule="auto"/>
              <w:ind w:left="0" w:leftChars="0" w:firstLine="0" w:firstLineChars="0"/>
              <w:jc w:val="center"/>
              <w:rPr>
                <w:rStyle w:val="73"/>
                <w:bCs/>
                <w:color w:val="auto"/>
                <w:sz w:val="24"/>
                <w:szCs w:val="24"/>
              </w:rPr>
            </w:pPr>
            <w:r>
              <w:rPr>
                <w:rStyle w:val="73"/>
                <w:rFonts w:hint="eastAsia"/>
                <w:bCs/>
                <w:color w:val="auto"/>
                <w:sz w:val="24"/>
                <w:szCs w:val="24"/>
              </w:rPr>
              <w:t>噪声排放</w:t>
            </w:r>
            <w:r>
              <w:rPr>
                <w:rStyle w:val="73"/>
                <w:bCs/>
                <w:color w:val="auto"/>
                <w:sz w:val="24"/>
                <w:szCs w:val="24"/>
              </w:rPr>
              <w:t>监测计划一览表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719"/>
              <w:gridCol w:w="1271"/>
              <w:gridCol w:w="976"/>
              <w:gridCol w:w="1081"/>
              <w:gridCol w:w="2951"/>
            </w:tblGrid>
            <w:tr w14:paraId="2D73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58" w:type="pct"/>
                  <w:noWrap w:val="0"/>
                  <w:vAlign w:val="center"/>
                </w:tcPr>
                <w:p w14:paraId="53D1C6D1">
                  <w:pPr>
                    <w:pStyle w:val="68"/>
                    <w:spacing w:before="24" w:after="24"/>
                    <w:rPr>
                      <w:rFonts w:ascii="Times New Roman"/>
                    </w:rPr>
                  </w:pPr>
                  <w:r>
                    <w:rPr>
                      <w:rFonts w:ascii="Times New Roman"/>
                    </w:rPr>
                    <w:t>序号</w:t>
                  </w:r>
                </w:p>
              </w:tc>
              <w:tc>
                <w:tcPr>
                  <w:tcW w:w="976" w:type="pct"/>
                  <w:noWrap w:val="0"/>
                  <w:vAlign w:val="center"/>
                </w:tcPr>
                <w:p w14:paraId="04036FFB">
                  <w:pPr>
                    <w:pStyle w:val="68"/>
                    <w:spacing w:before="24" w:after="24"/>
                    <w:rPr>
                      <w:rFonts w:ascii="Times New Roman"/>
                    </w:rPr>
                  </w:pPr>
                  <w:r>
                    <w:rPr>
                      <w:rFonts w:ascii="Times New Roman"/>
                    </w:rPr>
                    <w:t>监测点位</w:t>
                  </w:r>
                </w:p>
              </w:tc>
              <w:tc>
                <w:tcPr>
                  <w:tcW w:w="722" w:type="pct"/>
                  <w:noWrap w:val="0"/>
                  <w:vAlign w:val="center"/>
                </w:tcPr>
                <w:p w14:paraId="29E70AD2">
                  <w:pPr>
                    <w:pStyle w:val="68"/>
                    <w:spacing w:before="24" w:after="24"/>
                    <w:rPr>
                      <w:rFonts w:ascii="Times New Roman"/>
                    </w:rPr>
                  </w:pPr>
                  <w:r>
                    <w:rPr>
                      <w:rFonts w:ascii="Times New Roman"/>
                    </w:rPr>
                    <w:t>监测项目</w:t>
                  </w:r>
                </w:p>
              </w:tc>
              <w:tc>
                <w:tcPr>
                  <w:tcW w:w="554" w:type="pct"/>
                  <w:noWrap w:val="0"/>
                  <w:vAlign w:val="center"/>
                </w:tcPr>
                <w:p w14:paraId="61EF9C20">
                  <w:pPr>
                    <w:pStyle w:val="68"/>
                    <w:spacing w:before="24" w:after="24"/>
                    <w:rPr>
                      <w:rFonts w:ascii="Times New Roman"/>
                    </w:rPr>
                  </w:pPr>
                  <w:r>
                    <w:rPr>
                      <w:rFonts w:ascii="Times New Roman"/>
                    </w:rPr>
                    <w:t>频率</w:t>
                  </w:r>
                </w:p>
              </w:tc>
              <w:tc>
                <w:tcPr>
                  <w:tcW w:w="614" w:type="pct"/>
                  <w:noWrap w:val="0"/>
                  <w:vAlign w:val="center"/>
                </w:tcPr>
                <w:p w14:paraId="440BA000">
                  <w:pPr>
                    <w:pStyle w:val="68"/>
                    <w:spacing w:before="24" w:after="24"/>
                    <w:rPr>
                      <w:rFonts w:ascii="Times New Roman"/>
                    </w:rPr>
                  </w:pPr>
                  <w:r>
                    <w:rPr>
                      <w:rFonts w:ascii="Times New Roman"/>
                    </w:rPr>
                    <w:t>实施单位</w:t>
                  </w:r>
                </w:p>
              </w:tc>
              <w:tc>
                <w:tcPr>
                  <w:tcW w:w="1676" w:type="pct"/>
                  <w:noWrap w:val="0"/>
                  <w:vAlign w:val="center"/>
                </w:tcPr>
                <w:p w14:paraId="59B3916B">
                  <w:pPr>
                    <w:pStyle w:val="68"/>
                    <w:spacing w:before="24" w:after="24"/>
                    <w:rPr>
                      <w:rFonts w:ascii="Times New Roman"/>
                    </w:rPr>
                  </w:pPr>
                  <w:r>
                    <w:rPr>
                      <w:rFonts w:ascii="Times New Roman"/>
                    </w:rPr>
                    <w:t>执行标准</w:t>
                  </w:r>
                </w:p>
              </w:tc>
            </w:tr>
            <w:tr w14:paraId="325F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58" w:type="pct"/>
                  <w:noWrap w:val="0"/>
                  <w:vAlign w:val="center"/>
                </w:tcPr>
                <w:p w14:paraId="4AC22CAF">
                  <w:pPr>
                    <w:pStyle w:val="68"/>
                    <w:spacing w:before="24" w:after="24"/>
                    <w:rPr>
                      <w:rFonts w:ascii="Times New Roman"/>
                      <w:bCs/>
                    </w:rPr>
                  </w:pPr>
                  <w:r>
                    <w:rPr>
                      <w:rFonts w:ascii="Times New Roman"/>
                      <w:bCs/>
                    </w:rPr>
                    <w:t>1</w:t>
                  </w:r>
                </w:p>
              </w:tc>
              <w:tc>
                <w:tcPr>
                  <w:tcW w:w="976" w:type="pct"/>
                  <w:noWrap w:val="0"/>
                  <w:vAlign w:val="center"/>
                </w:tcPr>
                <w:p w14:paraId="1287BA1C">
                  <w:pPr>
                    <w:pStyle w:val="68"/>
                    <w:spacing w:before="24" w:after="24"/>
                    <w:rPr>
                      <w:rStyle w:val="40"/>
                      <w:rFonts w:ascii="Times New Roman"/>
                    </w:rPr>
                  </w:pPr>
                  <w:r>
                    <w:rPr>
                      <w:rStyle w:val="40"/>
                      <w:rFonts w:ascii="Times New Roman"/>
                    </w:rPr>
                    <w:t>东</w:t>
                  </w:r>
                  <w:r>
                    <w:rPr>
                      <w:rStyle w:val="40"/>
                      <w:rFonts w:hint="eastAsia" w:ascii="Times New Roman"/>
                    </w:rPr>
                    <w:t>南</w:t>
                  </w:r>
                  <w:r>
                    <w:rPr>
                      <w:rStyle w:val="40"/>
                      <w:rFonts w:ascii="Times New Roman"/>
                    </w:rPr>
                    <w:t>西北厂界各一个监测点</w:t>
                  </w:r>
                </w:p>
              </w:tc>
              <w:tc>
                <w:tcPr>
                  <w:tcW w:w="722" w:type="pct"/>
                  <w:noWrap w:val="0"/>
                  <w:vAlign w:val="center"/>
                </w:tcPr>
                <w:p w14:paraId="30740E6D">
                  <w:pPr>
                    <w:pStyle w:val="68"/>
                    <w:spacing w:before="24" w:after="24"/>
                    <w:rPr>
                      <w:rFonts w:ascii="Times New Roman"/>
                      <w:bCs/>
                    </w:rPr>
                  </w:pPr>
                  <w:r>
                    <w:rPr>
                      <w:rFonts w:ascii="Times New Roman"/>
                      <w:bCs/>
                    </w:rPr>
                    <w:t>昼间厂界噪声</w:t>
                  </w:r>
                </w:p>
              </w:tc>
              <w:tc>
                <w:tcPr>
                  <w:tcW w:w="554" w:type="pct"/>
                  <w:noWrap w:val="0"/>
                  <w:vAlign w:val="center"/>
                </w:tcPr>
                <w:p w14:paraId="57C51F06">
                  <w:pPr>
                    <w:pStyle w:val="68"/>
                    <w:spacing w:before="24" w:after="24"/>
                    <w:rPr>
                      <w:rFonts w:hint="eastAsia" w:ascii="Times New Roman" w:eastAsia="宋体"/>
                      <w:bCs/>
                      <w:lang w:val="en-US" w:eastAsia="zh-CN"/>
                    </w:rPr>
                  </w:pPr>
                  <w:r>
                    <w:rPr>
                      <w:rFonts w:ascii="Times New Roman"/>
                      <w:bCs/>
                    </w:rPr>
                    <w:t>1次/</w:t>
                  </w:r>
                  <w:r>
                    <w:rPr>
                      <w:rFonts w:hint="eastAsia" w:ascii="Times New Roman"/>
                      <w:bCs/>
                      <w:lang w:val="en-US" w:eastAsia="zh-CN"/>
                    </w:rPr>
                    <w:t>季度</w:t>
                  </w:r>
                </w:p>
              </w:tc>
              <w:tc>
                <w:tcPr>
                  <w:tcW w:w="614" w:type="pct"/>
                  <w:noWrap w:val="0"/>
                  <w:vAlign w:val="center"/>
                </w:tcPr>
                <w:p w14:paraId="1000255A">
                  <w:pPr>
                    <w:pStyle w:val="68"/>
                    <w:spacing w:before="24" w:after="24"/>
                    <w:rPr>
                      <w:rFonts w:ascii="Times New Roman"/>
                      <w:bCs/>
                    </w:rPr>
                  </w:pPr>
                  <w:r>
                    <w:rPr>
                      <w:rFonts w:ascii="Times New Roman"/>
                      <w:bCs/>
                    </w:rPr>
                    <w:t>有资质的监测单位</w:t>
                  </w:r>
                </w:p>
              </w:tc>
              <w:tc>
                <w:tcPr>
                  <w:tcW w:w="1676" w:type="pct"/>
                  <w:noWrap w:val="0"/>
                  <w:vAlign w:val="center"/>
                </w:tcPr>
                <w:p w14:paraId="1B2CF489">
                  <w:pPr>
                    <w:pStyle w:val="68"/>
                    <w:spacing w:before="24" w:after="24"/>
                    <w:rPr>
                      <w:rFonts w:hint="eastAsia" w:ascii="Times New Roman" w:eastAsia="宋体"/>
                      <w:bCs/>
                      <w:lang w:val="en-US" w:eastAsia="zh-CN"/>
                    </w:rPr>
                  </w:pPr>
                  <w:r>
                    <w:rPr>
                      <w:rFonts w:ascii="Times New Roman"/>
                    </w:rPr>
                    <w:t>《工业企业厂界环境噪声排放标准》（GB</w:t>
                  </w:r>
                  <w:r>
                    <w:rPr>
                      <w:rFonts w:hint="eastAsia" w:ascii="Times New Roman"/>
                      <w:lang w:val="en-US" w:eastAsia="zh-CN"/>
                    </w:rPr>
                    <w:t>12348</w:t>
                  </w:r>
                  <w:r>
                    <w:rPr>
                      <w:rFonts w:ascii="Times New Roman"/>
                    </w:rPr>
                    <w:t>-2008）</w:t>
                  </w:r>
                  <w:r>
                    <w:rPr>
                      <w:rFonts w:hint="eastAsia" w:ascii="Times New Roman"/>
                    </w:rPr>
                    <w:t>2</w:t>
                  </w:r>
                  <w:r>
                    <w:rPr>
                      <w:rFonts w:ascii="Times New Roman"/>
                    </w:rPr>
                    <w:t>类</w:t>
                  </w:r>
                  <w:r>
                    <w:rPr>
                      <w:rFonts w:hint="eastAsia" w:ascii="Times New Roman"/>
                      <w:lang w:val="en-US" w:eastAsia="zh-CN"/>
                    </w:rPr>
                    <w:t>标准</w:t>
                  </w:r>
                </w:p>
              </w:tc>
            </w:tr>
          </w:tbl>
          <w:p w14:paraId="004DE298">
            <w:pPr>
              <w:adjustRightInd w:val="0"/>
              <w:snapToGrid w:val="0"/>
              <w:spacing w:line="360" w:lineRule="auto"/>
              <w:rPr>
                <w:b/>
                <w:sz w:val="24"/>
              </w:rPr>
            </w:pPr>
            <w:r>
              <w:rPr>
                <w:b/>
                <w:sz w:val="24"/>
              </w:rPr>
              <w:t>4.4运营期固体废物影响分析</w:t>
            </w:r>
          </w:p>
          <w:p w14:paraId="4D38ED4B">
            <w:pPr>
              <w:spacing w:line="360" w:lineRule="auto"/>
              <w:ind w:firstLine="482" w:firstLineChars="200"/>
              <w:rPr>
                <w:b/>
                <w:bCs/>
                <w:sz w:val="24"/>
              </w:rPr>
            </w:pPr>
            <w:r>
              <w:rPr>
                <w:rFonts w:hint="eastAsia"/>
                <w:b/>
                <w:bCs/>
                <w:sz w:val="24"/>
              </w:rPr>
              <w:t>1、固体废物产排污情况</w:t>
            </w:r>
          </w:p>
          <w:p w14:paraId="53FD1247">
            <w:pPr>
              <w:spacing w:line="360" w:lineRule="auto"/>
              <w:ind w:firstLine="480" w:firstLineChars="200"/>
              <w:rPr>
                <w:color w:val="000000"/>
                <w:sz w:val="24"/>
              </w:rPr>
            </w:pPr>
            <w:r>
              <w:rPr>
                <w:rFonts w:hint="eastAsia"/>
                <w:color w:val="000000"/>
                <w:sz w:val="24"/>
              </w:rPr>
              <w:t>（1）生活垃圾</w:t>
            </w:r>
          </w:p>
          <w:p w14:paraId="08E91D18">
            <w:pPr>
              <w:spacing w:line="360" w:lineRule="auto"/>
              <w:ind w:firstLine="480" w:firstLineChars="200"/>
              <w:rPr>
                <w:color w:val="000000"/>
                <w:szCs w:val="21"/>
              </w:rPr>
            </w:pPr>
            <w:r>
              <w:rPr>
                <w:color w:val="000000"/>
                <w:sz w:val="24"/>
                <w:szCs w:val="20"/>
              </w:rPr>
              <w:t>本项目</w:t>
            </w:r>
            <w:r>
              <w:rPr>
                <w:rFonts w:hint="eastAsia"/>
                <w:color w:val="000000"/>
                <w:sz w:val="24"/>
                <w:szCs w:val="20"/>
              </w:rPr>
              <w:t>员工人数</w:t>
            </w:r>
            <w:r>
              <w:rPr>
                <w:color w:val="000000"/>
                <w:sz w:val="24"/>
                <w:szCs w:val="20"/>
              </w:rPr>
              <w:t>为</w:t>
            </w:r>
            <w:r>
              <w:rPr>
                <w:rFonts w:hint="eastAsia"/>
                <w:color w:val="000000"/>
                <w:sz w:val="24"/>
                <w:szCs w:val="20"/>
                <w:lang w:val="en-US" w:eastAsia="zh-CN"/>
              </w:rPr>
              <w:t>9</w:t>
            </w:r>
            <w:r>
              <w:rPr>
                <w:color w:val="000000"/>
                <w:sz w:val="24"/>
                <w:szCs w:val="20"/>
              </w:rPr>
              <w:t>人，员工生活垃圾按0.5kg/（人·d）计，工作日按</w:t>
            </w:r>
            <w:r>
              <w:rPr>
                <w:rFonts w:hint="eastAsia"/>
                <w:color w:val="000000"/>
                <w:sz w:val="24"/>
                <w:szCs w:val="20"/>
                <w:lang w:val="en-US" w:eastAsia="zh-CN"/>
              </w:rPr>
              <w:t>300</w:t>
            </w:r>
            <w:r>
              <w:rPr>
                <w:color w:val="000000"/>
                <w:sz w:val="24"/>
                <w:szCs w:val="20"/>
              </w:rPr>
              <w:t>天计，则生活垃圾产生量约为</w:t>
            </w:r>
            <w:r>
              <w:rPr>
                <w:rFonts w:hint="eastAsia"/>
                <w:color w:val="000000"/>
                <w:sz w:val="24"/>
                <w:szCs w:val="20"/>
                <w:lang w:val="en-US" w:eastAsia="zh-CN"/>
              </w:rPr>
              <w:t>1.35</w:t>
            </w:r>
            <w:r>
              <w:rPr>
                <w:color w:val="000000"/>
                <w:sz w:val="24"/>
                <w:szCs w:val="20"/>
              </w:rPr>
              <w:t>t/a，</w:t>
            </w:r>
            <w:r>
              <w:rPr>
                <w:rFonts w:hint="eastAsia"/>
                <w:color w:val="000000"/>
                <w:sz w:val="24"/>
              </w:rPr>
              <w:t>产生的生活垃圾在厂区内通过垃圾桶等收集，最后</w:t>
            </w:r>
            <w:r>
              <w:rPr>
                <w:color w:val="000000"/>
                <w:sz w:val="24"/>
              </w:rPr>
              <w:t>全部</w:t>
            </w:r>
            <w:r>
              <w:rPr>
                <w:rFonts w:hint="eastAsia"/>
                <w:color w:val="000000"/>
                <w:sz w:val="24"/>
              </w:rPr>
              <w:t>委托</w:t>
            </w:r>
            <w:r>
              <w:rPr>
                <w:color w:val="000000"/>
                <w:sz w:val="24"/>
              </w:rPr>
              <w:t>环卫部门处理。</w:t>
            </w:r>
          </w:p>
          <w:p w14:paraId="7B758459">
            <w:pPr>
              <w:spacing w:line="360" w:lineRule="auto"/>
              <w:ind w:firstLine="480" w:firstLineChars="200"/>
              <w:rPr>
                <w:color w:val="000000"/>
                <w:sz w:val="24"/>
              </w:rPr>
            </w:pPr>
            <w:r>
              <w:rPr>
                <w:color w:val="000000"/>
                <w:sz w:val="24"/>
              </w:rPr>
              <w:t>（2）一般工业固体废弃物</w:t>
            </w:r>
          </w:p>
          <w:p w14:paraId="24CC4C71">
            <w:pPr>
              <w:spacing w:line="360" w:lineRule="auto"/>
              <w:ind w:firstLine="480" w:firstLineChars="200"/>
              <w:rPr>
                <w:color w:val="000000"/>
                <w:sz w:val="24"/>
              </w:rPr>
            </w:pPr>
            <w:r>
              <w:rPr>
                <w:color w:val="000000"/>
                <w:sz w:val="24"/>
              </w:rPr>
              <w:t>本项目固体废物主要有</w:t>
            </w:r>
            <w:r>
              <w:rPr>
                <w:rFonts w:hint="eastAsia"/>
                <w:color w:val="000000"/>
                <w:sz w:val="24"/>
              </w:rPr>
              <w:t>废包装材料、</w:t>
            </w:r>
            <w:r>
              <w:rPr>
                <w:rFonts w:hint="eastAsia"/>
                <w:color w:val="000000"/>
                <w:sz w:val="24"/>
                <w:lang w:val="en-US" w:eastAsia="zh-CN"/>
              </w:rPr>
              <w:t>熔融残渣</w:t>
            </w:r>
            <w:r>
              <w:rPr>
                <w:rFonts w:hint="eastAsia"/>
                <w:color w:val="000000"/>
                <w:sz w:val="24"/>
              </w:rPr>
              <w:t>、</w:t>
            </w:r>
            <w:r>
              <w:rPr>
                <w:rFonts w:hint="eastAsia"/>
                <w:color w:val="000000"/>
                <w:sz w:val="24"/>
                <w:lang w:val="en-US" w:eastAsia="zh-CN"/>
              </w:rPr>
              <w:t>边角料、</w:t>
            </w:r>
            <w:r>
              <w:rPr>
                <w:rFonts w:hint="eastAsia" w:eastAsia="宋体"/>
                <w:color w:val="000000"/>
                <w:sz w:val="24"/>
                <w:lang w:val="en-US" w:eastAsia="zh-CN"/>
              </w:rPr>
              <w:t>不合格品。</w:t>
            </w:r>
          </w:p>
          <w:p w14:paraId="7A57D20A">
            <w:pPr>
              <w:spacing w:line="360" w:lineRule="auto"/>
              <w:ind w:firstLine="480" w:firstLineChars="200"/>
              <w:rPr>
                <w:color w:val="000000"/>
                <w:sz w:val="24"/>
              </w:rPr>
            </w:pPr>
            <w:r>
              <w:rPr>
                <w:rFonts w:hint="eastAsia" w:ascii="宋体" w:hAnsi="宋体" w:eastAsia="宋体" w:cs="宋体"/>
                <w:color w:val="000000"/>
                <w:sz w:val="24"/>
              </w:rPr>
              <w:t>①</w:t>
            </w:r>
            <w:r>
              <w:rPr>
                <w:rFonts w:hint="eastAsia" w:ascii="Calibri" w:hAnsi="Calibri" w:cs="Calibri"/>
                <w:color w:val="000000"/>
                <w:sz w:val="24"/>
              </w:rPr>
              <w:t>废包装材料</w:t>
            </w:r>
          </w:p>
          <w:p w14:paraId="5310C5C2">
            <w:pPr>
              <w:spacing w:line="360" w:lineRule="auto"/>
              <w:ind w:firstLine="480" w:firstLineChars="200"/>
              <w:rPr>
                <w:color w:val="000000"/>
                <w:sz w:val="24"/>
              </w:rPr>
            </w:pPr>
            <w:r>
              <w:rPr>
                <w:rFonts w:hint="eastAsia"/>
                <w:color w:val="000000"/>
                <w:sz w:val="24"/>
              </w:rPr>
              <w:t>项目</w:t>
            </w:r>
            <w:r>
              <w:rPr>
                <w:rFonts w:hint="eastAsia"/>
                <w:color w:val="000000"/>
                <w:sz w:val="24"/>
                <w:lang w:val="en-US" w:eastAsia="zh-CN"/>
              </w:rPr>
              <w:t>原材料包装和</w:t>
            </w:r>
            <w:r>
              <w:rPr>
                <w:rFonts w:hint="eastAsia"/>
                <w:color w:val="000000"/>
                <w:sz w:val="24"/>
              </w:rPr>
              <w:t>成品进行包装时会产生废的包装材料，其主要为废纸箱、废包装袋等，根据业主提供的资料，项目年产生废包装材料约</w:t>
            </w:r>
            <w:r>
              <w:rPr>
                <w:rFonts w:hint="eastAsia"/>
                <w:color w:val="000000"/>
                <w:sz w:val="24"/>
                <w:lang w:val="en-US" w:eastAsia="zh-CN"/>
              </w:rPr>
              <w:t>6.5</w:t>
            </w:r>
            <w:r>
              <w:rPr>
                <w:rFonts w:hint="eastAsia"/>
                <w:color w:val="000000"/>
                <w:sz w:val="24"/>
                <w:highlight w:val="none"/>
              </w:rPr>
              <w:t>t/a</w:t>
            </w:r>
            <w:r>
              <w:rPr>
                <w:rFonts w:hint="eastAsia"/>
                <w:color w:val="000000"/>
                <w:sz w:val="24"/>
              </w:rPr>
              <w:t>，废包装材料经集中收集后外售给物资回收公司</w:t>
            </w:r>
            <w:r>
              <w:rPr>
                <w:color w:val="000000"/>
                <w:sz w:val="24"/>
              </w:rPr>
              <w:t>。</w:t>
            </w:r>
          </w:p>
          <w:p w14:paraId="3E8146BA">
            <w:pPr>
              <w:spacing w:line="360" w:lineRule="auto"/>
              <w:ind w:left="420"/>
              <w:rPr>
                <w:rFonts w:ascii="Calibri" w:hAnsi="Calibri" w:cs="Calibri"/>
                <w:color w:val="000000"/>
                <w:sz w:val="24"/>
              </w:rPr>
            </w:pPr>
            <w:r>
              <w:rPr>
                <w:rFonts w:hint="eastAsia" w:ascii="宋体" w:hAnsi="宋体" w:eastAsia="宋体" w:cs="宋体"/>
                <w:color w:val="000000"/>
                <w:sz w:val="24"/>
                <w:lang w:val="en-US" w:eastAsia="zh-CN"/>
              </w:rPr>
              <w:t>②</w:t>
            </w:r>
            <w:r>
              <w:rPr>
                <w:rFonts w:hint="eastAsia"/>
                <w:color w:val="000000"/>
                <w:sz w:val="24"/>
                <w:lang w:val="en-US" w:eastAsia="zh-CN"/>
              </w:rPr>
              <w:t>熔融残渣</w:t>
            </w:r>
          </w:p>
          <w:p w14:paraId="49F55C78">
            <w:pPr>
              <w:spacing w:line="360" w:lineRule="auto"/>
              <w:ind w:firstLine="480" w:firstLineChars="200"/>
              <w:rPr>
                <w:color w:val="000000"/>
                <w:sz w:val="24"/>
              </w:rPr>
            </w:pPr>
            <w:r>
              <w:rPr>
                <w:rFonts w:hint="eastAsia"/>
                <w:color w:val="000000"/>
                <w:sz w:val="24"/>
              </w:rPr>
              <w:t>项目</w:t>
            </w:r>
            <w:r>
              <w:rPr>
                <w:rFonts w:hint="eastAsia"/>
                <w:color w:val="000000"/>
                <w:sz w:val="24"/>
                <w:lang w:val="en-US" w:eastAsia="zh-CN"/>
              </w:rPr>
              <w:t>熔融挤出过程会产生熔融残渣</w:t>
            </w:r>
            <w:r>
              <w:rPr>
                <w:rFonts w:hint="eastAsia"/>
                <w:color w:val="000000"/>
                <w:sz w:val="24"/>
              </w:rPr>
              <w:t>，项目产生</w:t>
            </w:r>
            <w:r>
              <w:rPr>
                <w:rFonts w:hint="eastAsia"/>
                <w:color w:val="000000"/>
                <w:sz w:val="24"/>
                <w:lang w:val="en-US" w:eastAsia="zh-CN"/>
              </w:rPr>
              <w:t>的熔融残渣</w:t>
            </w:r>
            <w:r>
              <w:rPr>
                <w:rFonts w:hint="eastAsia"/>
                <w:color w:val="000000"/>
                <w:sz w:val="24"/>
              </w:rPr>
              <w:t>按原料量的0.</w:t>
            </w:r>
            <w:r>
              <w:rPr>
                <w:rFonts w:hint="eastAsia"/>
                <w:color w:val="000000"/>
                <w:sz w:val="24"/>
                <w:lang w:val="en-US" w:eastAsia="zh-CN"/>
              </w:rPr>
              <w:t>01</w:t>
            </w:r>
            <w:r>
              <w:rPr>
                <w:rFonts w:hint="eastAsia"/>
                <w:color w:val="000000"/>
                <w:sz w:val="24"/>
              </w:rPr>
              <w:t>%计，项目年使用</w:t>
            </w:r>
            <w:r>
              <w:rPr>
                <w:rFonts w:hint="eastAsia"/>
                <w:color w:val="000000"/>
                <w:sz w:val="24"/>
                <w:lang w:val="en-US" w:eastAsia="zh-CN"/>
              </w:rPr>
              <w:t>聚乙烯颗粒约1000</w:t>
            </w:r>
            <w:r>
              <w:rPr>
                <w:rFonts w:hint="eastAsia"/>
                <w:color w:val="000000"/>
                <w:sz w:val="24"/>
              </w:rPr>
              <w:t>t/a，则产生</w:t>
            </w:r>
            <w:r>
              <w:rPr>
                <w:rFonts w:hint="eastAsia"/>
                <w:color w:val="000000"/>
                <w:sz w:val="24"/>
                <w:lang w:val="en-US" w:eastAsia="zh-CN"/>
              </w:rPr>
              <w:t>的熔融残渣</w:t>
            </w:r>
            <w:r>
              <w:rPr>
                <w:rFonts w:hint="eastAsia"/>
                <w:color w:val="000000"/>
                <w:sz w:val="24"/>
              </w:rPr>
              <w:t>量为</w:t>
            </w:r>
            <w:r>
              <w:rPr>
                <w:rFonts w:hint="eastAsia"/>
                <w:color w:val="000000"/>
                <w:sz w:val="24"/>
                <w:lang w:val="en-US" w:eastAsia="zh-CN"/>
              </w:rPr>
              <w:t>0.1</w:t>
            </w:r>
            <w:r>
              <w:rPr>
                <w:rFonts w:hint="eastAsia"/>
                <w:color w:val="000000"/>
                <w:sz w:val="24"/>
              </w:rPr>
              <w:t>t/a，项目产生</w:t>
            </w:r>
            <w:r>
              <w:rPr>
                <w:rFonts w:hint="eastAsia"/>
                <w:color w:val="000000"/>
                <w:sz w:val="24"/>
                <w:lang w:val="en-US" w:eastAsia="zh-CN"/>
              </w:rPr>
              <w:t>的熔融残渣</w:t>
            </w:r>
            <w:r>
              <w:rPr>
                <w:rFonts w:hint="eastAsia"/>
                <w:color w:val="000000"/>
                <w:sz w:val="24"/>
              </w:rPr>
              <w:t>经收集后外售给物资回收公司。</w:t>
            </w:r>
          </w:p>
          <w:p w14:paraId="3E6DB2DE">
            <w:pPr>
              <w:spacing w:line="360" w:lineRule="auto"/>
              <w:ind w:left="420"/>
              <w:rPr>
                <w:rFonts w:hint="eastAsia" w:eastAsia="宋体"/>
                <w:color w:val="000000"/>
                <w:sz w:val="24"/>
                <w:lang w:val="en-US" w:eastAsia="zh-CN"/>
              </w:rPr>
            </w:pPr>
            <w:r>
              <w:rPr>
                <w:rFonts w:hint="eastAsia" w:ascii="宋体" w:hAnsi="宋体" w:eastAsia="宋体" w:cs="宋体"/>
                <w:color w:val="000000"/>
                <w:sz w:val="24"/>
              </w:rPr>
              <w:t>③</w:t>
            </w:r>
            <w:r>
              <w:rPr>
                <w:rFonts w:hint="eastAsia" w:eastAsia="宋体"/>
                <w:color w:val="000000"/>
                <w:sz w:val="24"/>
                <w:lang w:val="en-US" w:eastAsia="zh-CN"/>
              </w:rPr>
              <w:t>边角料</w:t>
            </w:r>
          </w:p>
          <w:p w14:paraId="00303FAE">
            <w:pPr>
              <w:spacing w:line="360" w:lineRule="auto"/>
              <w:ind w:firstLine="480" w:firstLineChars="200"/>
              <w:rPr>
                <w:color w:val="000000"/>
                <w:sz w:val="24"/>
              </w:rPr>
            </w:pPr>
            <w:r>
              <w:rPr>
                <w:rFonts w:hint="eastAsia"/>
                <w:color w:val="000000"/>
                <w:sz w:val="24"/>
              </w:rPr>
              <w:t>项目</w:t>
            </w:r>
            <w:r>
              <w:rPr>
                <w:rFonts w:hint="eastAsia"/>
                <w:color w:val="000000"/>
                <w:sz w:val="24"/>
                <w:lang w:val="en-US" w:eastAsia="zh-CN"/>
              </w:rPr>
              <w:t>拉丝过程会产生少量边角料</w:t>
            </w:r>
            <w:r>
              <w:rPr>
                <w:rFonts w:hint="eastAsia"/>
                <w:color w:val="000000"/>
                <w:sz w:val="24"/>
              </w:rPr>
              <w:t>，</w:t>
            </w:r>
            <w:r>
              <w:rPr>
                <w:rFonts w:hint="eastAsia"/>
                <w:color w:val="000000"/>
                <w:sz w:val="24"/>
                <w:lang w:val="en-US" w:eastAsia="zh-CN"/>
              </w:rPr>
              <w:t>根据提供的信息</w:t>
            </w:r>
            <w:r>
              <w:rPr>
                <w:rFonts w:hint="eastAsia"/>
                <w:color w:val="000000"/>
                <w:sz w:val="24"/>
              </w:rPr>
              <w:t>，项目</w:t>
            </w:r>
            <w:r>
              <w:rPr>
                <w:rFonts w:hint="eastAsia"/>
                <w:color w:val="000000"/>
                <w:sz w:val="24"/>
                <w:lang w:val="en-US" w:eastAsia="zh-CN"/>
              </w:rPr>
              <w:t>边角料</w:t>
            </w:r>
            <w:r>
              <w:rPr>
                <w:rFonts w:hint="eastAsia"/>
                <w:color w:val="000000"/>
                <w:sz w:val="24"/>
              </w:rPr>
              <w:t>的产生量</w:t>
            </w:r>
            <w:r>
              <w:rPr>
                <w:rFonts w:hint="eastAsia"/>
                <w:color w:val="000000"/>
                <w:sz w:val="24"/>
                <w:lang w:val="en-US" w:eastAsia="zh-CN"/>
              </w:rPr>
              <w:t>约</w:t>
            </w:r>
            <w:r>
              <w:rPr>
                <w:rFonts w:hint="eastAsia"/>
                <w:color w:val="000000"/>
                <w:sz w:val="24"/>
              </w:rPr>
              <w:t>为</w:t>
            </w:r>
            <w:r>
              <w:rPr>
                <w:rFonts w:hint="eastAsia"/>
                <w:color w:val="000000"/>
                <w:sz w:val="24"/>
                <w:highlight w:val="none"/>
                <w:shd w:val="clear"/>
                <w:lang w:val="en-US" w:eastAsia="zh-CN"/>
              </w:rPr>
              <w:t>5</w:t>
            </w:r>
            <w:r>
              <w:rPr>
                <w:rFonts w:hint="eastAsia"/>
                <w:color w:val="000000"/>
                <w:sz w:val="24"/>
                <w:highlight w:val="none"/>
                <w:shd w:val="clear"/>
              </w:rPr>
              <w:t>t/a</w:t>
            </w:r>
            <w:r>
              <w:rPr>
                <w:rFonts w:hint="eastAsia"/>
                <w:color w:val="000000"/>
                <w:sz w:val="24"/>
              </w:rPr>
              <w:t>，项目产生</w:t>
            </w:r>
            <w:r>
              <w:rPr>
                <w:rFonts w:hint="eastAsia"/>
                <w:color w:val="000000"/>
                <w:sz w:val="24"/>
                <w:lang w:val="en-US" w:eastAsia="zh-CN"/>
              </w:rPr>
              <w:t>的边角料</w:t>
            </w:r>
            <w:r>
              <w:rPr>
                <w:rFonts w:hint="eastAsia"/>
                <w:color w:val="000000"/>
                <w:sz w:val="24"/>
              </w:rPr>
              <w:t>经收集后外售给物资回收公司。</w:t>
            </w:r>
          </w:p>
          <w:p w14:paraId="3B5A7791">
            <w:pPr>
              <w:spacing w:line="360" w:lineRule="auto"/>
              <w:ind w:left="420"/>
              <w:rPr>
                <w:rFonts w:hint="eastAsia" w:eastAsia="宋体"/>
                <w:color w:val="000000"/>
                <w:sz w:val="24"/>
                <w:lang w:val="en-US" w:eastAsia="zh-CN"/>
              </w:rPr>
            </w:pPr>
            <w:r>
              <w:rPr>
                <w:rFonts w:hint="eastAsia" w:ascii="宋体" w:hAnsi="宋体" w:eastAsia="宋体" w:cs="宋体"/>
                <w:color w:val="000000"/>
                <w:sz w:val="24"/>
              </w:rPr>
              <w:t>④</w:t>
            </w:r>
            <w:r>
              <w:rPr>
                <w:rFonts w:hint="eastAsia" w:eastAsia="宋体"/>
                <w:color w:val="000000"/>
                <w:sz w:val="24"/>
                <w:lang w:val="en-US" w:eastAsia="zh-CN"/>
              </w:rPr>
              <w:t>不合格品</w:t>
            </w:r>
          </w:p>
          <w:p w14:paraId="58B436F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eastAsia="宋体"/>
                <w:color w:val="000000"/>
                <w:sz w:val="24"/>
                <w:lang w:val="en-US" w:eastAsia="zh-CN"/>
              </w:rPr>
            </w:pPr>
            <w:r>
              <w:rPr>
                <w:rFonts w:hint="eastAsia"/>
                <w:color w:val="000000"/>
                <w:sz w:val="24"/>
                <w:lang w:val="en-US" w:eastAsia="zh-CN"/>
              </w:rPr>
              <w:t>项目拉丝、裁剪和包装过程会产生少量不合格品，根据提供的信息</w:t>
            </w:r>
            <w:r>
              <w:rPr>
                <w:rFonts w:hint="eastAsia"/>
                <w:color w:val="000000"/>
                <w:sz w:val="24"/>
              </w:rPr>
              <w:t>，项目</w:t>
            </w:r>
            <w:r>
              <w:rPr>
                <w:rFonts w:hint="eastAsia"/>
                <w:color w:val="000000"/>
                <w:sz w:val="24"/>
                <w:lang w:val="en-US" w:eastAsia="zh-CN"/>
              </w:rPr>
              <w:t>不合格品</w:t>
            </w:r>
            <w:r>
              <w:rPr>
                <w:rFonts w:hint="eastAsia"/>
                <w:color w:val="000000"/>
                <w:sz w:val="24"/>
              </w:rPr>
              <w:t>的产生量</w:t>
            </w:r>
            <w:r>
              <w:rPr>
                <w:rFonts w:hint="eastAsia"/>
                <w:color w:val="000000"/>
                <w:sz w:val="24"/>
                <w:lang w:val="en-US" w:eastAsia="zh-CN"/>
              </w:rPr>
              <w:t>约</w:t>
            </w:r>
            <w:r>
              <w:rPr>
                <w:rFonts w:hint="eastAsia"/>
                <w:color w:val="000000"/>
                <w:sz w:val="24"/>
              </w:rPr>
              <w:t>为</w:t>
            </w:r>
            <w:r>
              <w:rPr>
                <w:rFonts w:hint="eastAsia"/>
                <w:color w:val="000000"/>
                <w:sz w:val="24"/>
                <w:highlight w:val="none"/>
                <w:lang w:val="en-US" w:eastAsia="zh-CN"/>
              </w:rPr>
              <w:t>40</w:t>
            </w:r>
            <w:r>
              <w:rPr>
                <w:rFonts w:hint="eastAsia"/>
                <w:color w:val="000000"/>
                <w:sz w:val="24"/>
                <w:highlight w:val="none"/>
              </w:rPr>
              <w:t>t/a，</w:t>
            </w:r>
            <w:r>
              <w:rPr>
                <w:rFonts w:hint="eastAsia"/>
                <w:color w:val="000000"/>
                <w:sz w:val="24"/>
              </w:rPr>
              <w:t>项目产生</w:t>
            </w:r>
            <w:r>
              <w:rPr>
                <w:rFonts w:hint="eastAsia"/>
                <w:color w:val="000000"/>
                <w:sz w:val="24"/>
                <w:lang w:val="en-US" w:eastAsia="zh-CN"/>
              </w:rPr>
              <w:t>的不合格品</w:t>
            </w:r>
            <w:r>
              <w:rPr>
                <w:rFonts w:hint="eastAsia"/>
                <w:color w:val="000000"/>
                <w:sz w:val="24"/>
              </w:rPr>
              <w:t>经收集后外售给物资回收公司</w:t>
            </w:r>
            <w:r>
              <w:rPr>
                <w:rFonts w:hint="eastAsia"/>
                <w:color w:val="000000"/>
                <w:sz w:val="24"/>
                <w:lang w:eastAsia="zh-CN"/>
              </w:rPr>
              <w:t>。</w:t>
            </w:r>
          </w:p>
          <w:p w14:paraId="7FC8755F">
            <w:pPr>
              <w:spacing w:line="360" w:lineRule="auto"/>
              <w:ind w:left="420"/>
              <w:rPr>
                <w:color w:val="000000"/>
                <w:sz w:val="24"/>
              </w:rPr>
            </w:pPr>
            <w:r>
              <w:rPr>
                <w:color w:val="000000"/>
                <w:sz w:val="24"/>
              </w:rPr>
              <w:t>（</w:t>
            </w:r>
            <w:r>
              <w:rPr>
                <w:rFonts w:hint="eastAsia"/>
                <w:color w:val="000000"/>
                <w:sz w:val="24"/>
              </w:rPr>
              <w:t>3</w:t>
            </w:r>
            <w:r>
              <w:rPr>
                <w:color w:val="000000"/>
                <w:sz w:val="24"/>
              </w:rPr>
              <w:t>）</w:t>
            </w:r>
            <w:r>
              <w:rPr>
                <w:rFonts w:hint="eastAsia"/>
                <w:color w:val="000000"/>
                <w:sz w:val="24"/>
              </w:rPr>
              <w:t>危险废物</w:t>
            </w:r>
          </w:p>
          <w:p w14:paraId="7835CC50">
            <w:pPr>
              <w:spacing w:line="360" w:lineRule="auto"/>
              <w:ind w:firstLine="480" w:firstLineChars="200"/>
              <w:jc w:val="left"/>
              <w:rPr>
                <w:rFonts w:hint="eastAsia" w:eastAsia="宋体"/>
                <w:color w:val="000000"/>
                <w:sz w:val="24"/>
                <w:lang w:val="en-US" w:eastAsia="zh-CN"/>
              </w:rPr>
            </w:pPr>
            <w:r>
              <w:rPr>
                <w:rFonts w:hint="eastAsia" w:ascii="宋体" w:hAnsi="宋体" w:eastAsia="宋体" w:cs="宋体"/>
                <w:color w:val="000000"/>
                <w:sz w:val="24"/>
              </w:rPr>
              <w:t>①</w:t>
            </w:r>
            <w:r>
              <w:rPr>
                <w:rFonts w:hint="eastAsia"/>
                <w:color w:val="000000"/>
                <w:sz w:val="24"/>
              </w:rPr>
              <w:t>废</w:t>
            </w:r>
            <w:r>
              <w:rPr>
                <w:rFonts w:hint="eastAsia"/>
                <w:color w:val="000000"/>
                <w:sz w:val="24"/>
                <w:lang w:val="en-US" w:eastAsia="zh-CN"/>
              </w:rPr>
              <w:t>活性炭</w:t>
            </w:r>
          </w:p>
          <w:p w14:paraId="0E61E45F">
            <w:pPr>
              <w:spacing w:line="360" w:lineRule="auto"/>
              <w:ind w:firstLine="480" w:firstLineChars="200"/>
              <w:rPr>
                <w:color w:val="000000"/>
                <w:sz w:val="24"/>
              </w:rPr>
            </w:pPr>
            <w:r>
              <w:rPr>
                <w:color w:val="000000"/>
                <w:sz w:val="24"/>
                <w:szCs w:val="24"/>
              </w:rPr>
              <w:t>本项目有机废气处理采用活性炭吸附</w:t>
            </w:r>
            <w:r>
              <w:rPr>
                <w:rFonts w:hint="eastAsia"/>
                <w:color w:val="000000"/>
                <w:sz w:val="24"/>
                <w:szCs w:val="24"/>
                <w:lang w:eastAsia="zh-CN"/>
              </w:rPr>
              <w:t>，</w:t>
            </w:r>
            <w:r>
              <w:rPr>
                <w:rFonts w:hint="eastAsia" w:ascii="Times New Roman" w:hAnsi="Times New Roman"/>
                <w:b w:val="0"/>
                <w:bCs/>
                <w:sz w:val="24"/>
                <w:szCs w:val="24"/>
              </w:rPr>
              <w:t>每kg活性炭吸附的有机废气量为0.3kg，根据物料平衡，有机废气吸附量</w:t>
            </w:r>
            <w:r>
              <w:rPr>
                <w:rFonts w:hint="eastAsia" w:ascii="Times New Roman" w:hAnsi="Times New Roman"/>
                <w:b w:val="0"/>
                <w:bCs/>
                <w:sz w:val="24"/>
                <w:szCs w:val="24"/>
                <w:lang w:eastAsia="zh-CN"/>
              </w:rPr>
              <w:t>约</w:t>
            </w:r>
            <w:r>
              <w:rPr>
                <w:rFonts w:hint="eastAsia" w:ascii="Times New Roman" w:hAnsi="Times New Roman"/>
                <w:b w:val="0"/>
                <w:bCs/>
                <w:sz w:val="24"/>
                <w:szCs w:val="24"/>
              </w:rPr>
              <w:t>为</w:t>
            </w:r>
            <w:r>
              <w:rPr>
                <w:rFonts w:hint="eastAsia"/>
                <w:b w:val="0"/>
                <w:bCs/>
                <w:sz w:val="24"/>
                <w:szCs w:val="24"/>
                <w:lang w:val="en-US" w:eastAsia="zh-CN"/>
              </w:rPr>
              <w:t>3.05</w:t>
            </w:r>
            <w:r>
              <w:rPr>
                <w:rFonts w:hint="eastAsia" w:ascii="Times New Roman" w:hAnsi="Times New Roman"/>
                <w:b w:val="0"/>
                <w:bCs/>
                <w:sz w:val="24"/>
                <w:szCs w:val="24"/>
              </w:rPr>
              <w:t>t/a，则废活性炭产生量约为</w:t>
            </w:r>
            <w:r>
              <w:rPr>
                <w:rFonts w:hint="eastAsia"/>
                <w:b w:val="0"/>
                <w:bCs/>
                <w:sz w:val="24"/>
                <w:szCs w:val="24"/>
                <w:lang w:val="en-US" w:eastAsia="zh-CN"/>
              </w:rPr>
              <w:t>13.22</w:t>
            </w:r>
            <w:r>
              <w:rPr>
                <w:rFonts w:hint="eastAsia" w:ascii="Times New Roman" w:hAnsi="Times New Roman"/>
                <w:b w:val="0"/>
                <w:bCs/>
                <w:sz w:val="24"/>
                <w:szCs w:val="24"/>
              </w:rPr>
              <w:t>t/a</w:t>
            </w:r>
            <w:r>
              <w:rPr>
                <w:rFonts w:hint="eastAsia"/>
                <w:b w:val="0"/>
                <w:bCs/>
                <w:sz w:val="24"/>
                <w:szCs w:val="24"/>
                <w:lang w:eastAsia="zh-CN"/>
              </w:rPr>
              <w:t>。</w:t>
            </w:r>
            <w:r>
              <w:rPr>
                <w:rFonts w:hint="eastAsia"/>
                <w:color w:val="000000"/>
                <w:kern w:val="0"/>
                <w:sz w:val="24"/>
              </w:rPr>
              <w:t>根据</w:t>
            </w:r>
            <w:r>
              <w:rPr>
                <w:color w:val="000000"/>
                <w:kern w:val="0"/>
                <w:sz w:val="24"/>
              </w:rPr>
              <w:t>《国家危险废物名录》（20</w:t>
            </w:r>
            <w:r>
              <w:rPr>
                <w:rFonts w:hint="eastAsia"/>
                <w:color w:val="000000"/>
                <w:kern w:val="0"/>
                <w:sz w:val="24"/>
              </w:rPr>
              <w:t>21</w:t>
            </w:r>
            <w:r>
              <w:rPr>
                <w:color w:val="000000"/>
                <w:kern w:val="0"/>
                <w:sz w:val="24"/>
              </w:rPr>
              <w:t>年版）</w:t>
            </w:r>
            <w:r>
              <w:rPr>
                <w:rFonts w:hint="eastAsia"/>
                <w:color w:val="000000"/>
                <w:kern w:val="0"/>
                <w:sz w:val="24"/>
              </w:rPr>
              <w:t>可知</w:t>
            </w:r>
            <w:r>
              <w:rPr>
                <w:color w:val="000000"/>
                <w:kern w:val="0"/>
                <w:sz w:val="24"/>
              </w:rPr>
              <w:t>，</w:t>
            </w:r>
            <w:r>
              <w:rPr>
                <w:color w:val="000000"/>
                <w:sz w:val="24"/>
              </w:rPr>
              <w:t>废活性炭</w:t>
            </w:r>
            <w:r>
              <w:rPr>
                <w:rFonts w:hint="eastAsia"/>
                <w:color w:val="000000"/>
                <w:sz w:val="24"/>
              </w:rPr>
              <w:t>危废类别：</w:t>
            </w:r>
            <w:r>
              <w:rPr>
                <w:color w:val="000000"/>
                <w:sz w:val="24"/>
              </w:rPr>
              <w:t xml:space="preserve">HW49 </w:t>
            </w:r>
            <w:r>
              <w:rPr>
                <w:rFonts w:hint="eastAsia"/>
                <w:color w:val="000000"/>
                <w:sz w:val="24"/>
              </w:rPr>
              <w:t>废物代码</w:t>
            </w:r>
            <w:r>
              <w:rPr>
                <w:color w:val="000000"/>
                <w:sz w:val="24"/>
              </w:rPr>
              <w:t>为</w:t>
            </w:r>
            <w:r>
              <w:rPr>
                <w:rFonts w:hint="eastAsia"/>
                <w:color w:val="000000"/>
                <w:sz w:val="24"/>
              </w:rPr>
              <w:t>：900-039-49</w:t>
            </w:r>
            <w:r>
              <w:rPr>
                <w:color w:val="000000"/>
                <w:sz w:val="24"/>
              </w:rPr>
              <w:t>，废活性炭</w:t>
            </w:r>
            <w:r>
              <w:rPr>
                <w:rFonts w:hint="eastAsia"/>
                <w:color w:val="000000"/>
                <w:sz w:val="24"/>
              </w:rPr>
              <w:t>暂存于厂区危废间，之后</w:t>
            </w:r>
            <w:r>
              <w:rPr>
                <w:color w:val="000000"/>
                <w:sz w:val="24"/>
              </w:rPr>
              <w:t>委托有资质单位进行处置</w:t>
            </w:r>
            <w:r>
              <w:rPr>
                <w:rFonts w:hint="eastAsia"/>
                <w:color w:val="000000"/>
                <w:sz w:val="24"/>
              </w:rPr>
              <w:t>。</w:t>
            </w:r>
          </w:p>
          <w:p w14:paraId="43E90A5A">
            <w:pPr>
              <w:spacing w:line="360" w:lineRule="auto"/>
              <w:ind w:firstLine="480" w:firstLineChars="200"/>
              <w:jc w:val="left"/>
              <w:rPr>
                <w:rFonts w:hint="eastAsia" w:eastAsia="宋体"/>
                <w:color w:val="000000"/>
                <w:sz w:val="24"/>
                <w:lang w:val="en-US" w:eastAsia="zh-CN"/>
              </w:rPr>
            </w:pPr>
            <w:r>
              <w:rPr>
                <w:rFonts w:hint="eastAsia" w:ascii="宋体" w:hAnsi="宋体" w:eastAsia="宋体" w:cs="宋体"/>
                <w:color w:val="000000"/>
                <w:sz w:val="24"/>
              </w:rPr>
              <w:t>②</w:t>
            </w:r>
            <w:r>
              <w:rPr>
                <w:rFonts w:hint="eastAsia"/>
                <w:color w:val="000000"/>
                <w:sz w:val="24"/>
              </w:rPr>
              <w:t>废</w:t>
            </w:r>
            <w:r>
              <w:rPr>
                <w:rFonts w:hint="eastAsia"/>
                <w:color w:val="000000"/>
                <w:sz w:val="24"/>
                <w:lang w:val="en-US" w:eastAsia="zh-CN"/>
              </w:rPr>
              <w:t>机油</w:t>
            </w:r>
          </w:p>
          <w:p w14:paraId="3958D340">
            <w:pPr>
              <w:numPr>
                <w:ilvl w:val="0"/>
                <w:numId w:val="0"/>
              </w:numPr>
              <w:spacing w:line="360" w:lineRule="auto"/>
              <w:ind w:firstLine="480" w:firstLineChars="200"/>
              <w:rPr>
                <w:sz w:val="24"/>
                <w:szCs w:val="24"/>
              </w:rPr>
            </w:pPr>
            <w:r>
              <w:rPr>
                <w:rFonts w:hint="eastAsia" w:ascii="Times New Roman" w:hAnsi="Times New Roman"/>
                <w:color w:val="auto"/>
                <w:sz w:val="24"/>
                <w:szCs w:val="24"/>
              </w:rPr>
              <w:t>生产设备在生产过程中需要使用的机油，会产生一定量的废机油，这部分废物属于危险固废的范围，按《国家危险废物名录》（2021版），废机油分类编号为HW08废矿物油与含矿物油废物900-249-08</w:t>
            </w:r>
            <w:r>
              <w:rPr>
                <w:rFonts w:hint="eastAsia"/>
                <w:color w:val="auto"/>
                <w:sz w:val="24"/>
                <w:szCs w:val="24"/>
                <w:lang w:eastAsia="zh-CN"/>
              </w:rPr>
              <w:t>，</w:t>
            </w:r>
            <w:r>
              <w:rPr>
                <w:rFonts w:hint="eastAsia" w:ascii="Times New Roman" w:hAnsi="Times New Roman"/>
                <w:color w:val="auto"/>
                <w:sz w:val="24"/>
                <w:szCs w:val="24"/>
              </w:rPr>
              <w:t>其它生产、销售、使用过程中产生的废矿物油及含矿物油废物。根据建设方提供的资料数据，废机油的产生量为</w:t>
            </w:r>
            <w:r>
              <w:rPr>
                <w:rFonts w:hint="eastAsia" w:ascii="Times New Roman" w:hAnsi="Times New Roman"/>
                <w:color w:val="auto"/>
                <w:sz w:val="24"/>
                <w:szCs w:val="24"/>
                <w:highlight w:val="none"/>
              </w:rPr>
              <w:t>0.</w:t>
            </w:r>
            <w:r>
              <w:rPr>
                <w:rFonts w:hint="eastAsia" w:ascii="Times New Roman" w:hAnsi="Times New Roman"/>
                <w:color w:val="auto"/>
                <w:sz w:val="24"/>
                <w:szCs w:val="24"/>
                <w:highlight w:val="none"/>
                <w:lang w:val="en-US" w:eastAsia="zh-CN"/>
              </w:rPr>
              <w:t>12</w:t>
            </w:r>
            <w:r>
              <w:rPr>
                <w:rFonts w:hint="eastAsia" w:ascii="Times New Roman" w:hAnsi="Times New Roman"/>
                <w:color w:val="auto"/>
                <w:sz w:val="24"/>
                <w:szCs w:val="24"/>
                <w:highlight w:val="none"/>
              </w:rPr>
              <w:t>t/a</w:t>
            </w:r>
            <w:r>
              <w:rPr>
                <w:sz w:val="24"/>
                <w:szCs w:val="24"/>
                <w:highlight w:val="none"/>
              </w:rPr>
              <w:t>。</w:t>
            </w:r>
          </w:p>
          <w:p w14:paraId="4CF00438">
            <w:pPr>
              <w:pStyle w:val="54"/>
              <w:spacing w:line="360" w:lineRule="auto"/>
              <w:ind w:firstLine="480" w:firstLineChars="200"/>
              <w:rPr>
                <w:rFonts w:ascii="Times New Roman" w:hAnsi="Times New Roman" w:cs="Times New Roman"/>
                <w:bCs/>
                <w:color w:val="auto"/>
                <w:szCs w:val="21"/>
              </w:rPr>
            </w:pPr>
            <w:r>
              <w:rPr>
                <w:rFonts w:ascii="Times New Roman" w:hAnsi="Times New Roman" w:cs="Times New Roman"/>
                <w:bCs/>
                <w:color w:val="auto"/>
                <w:szCs w:val="21"/>
              </w:rPr>
              <w:t>对照《固体废物鉴别标准通则》（GB34330-2017），项目固废鉴别结果</w:t>
            </w:r>
            <w:r>
              <w:rPr>
                <w:rFonts w:hint="eastAsia" w:ascii="Times New Roman" w:hAnsi="Times New Roman" w:cs="Times New Roman"/>
                <w:bCs/>
                <w:color w:val="auto"/>
                <w:szCs w:val="21"/>
              </w:rPr>
              <w:t>如下</w:t>
            </w:r>
            <w:r>
              <w:rPr>
                <w:rFonts w:ascii="Times New Roman" w:hAnsi="Times New Roman" w:cs="Times New Roman"/>
                <w:bCs/>
                <w:color w:val="auto"/>
                <w:szCs w:val="21"/>
              </w:rPr>
              <w:t>。</w:t>
            </w:r>
          </w:p>
          <w:p w14:paraId="34B5CDC8">
            <w:pPr>
              <w:widowControl/>
              <w:numPr>
                <w:ilvl w:val="0"/>
                <w:numId w:val="13"/>
              </w:numPr>
              <w:tabs>
                <w:tab w:val="left" w:pos="420"/>
                <w:tab w:val="clear" w:pos="0"/>
              </w:tabs>
              <w:spacing w:line="360" w:lineRule="auto"/>
              <w:ind w:left="0" w:leftChars="0" w:firstLine="0" w:firstLineChars="0"/>
              <w:jc w:val="center"/>
              <w:rPr>
                <w:b/>
                <w:sz w:val="24"/>
              </w:rPr>
            </w:pPr>
            <w:r>
              <w:rPr>
                <w:b/>
                <w:sz w:val="24"/>
              </w:rPr>
              <w:t>项目固废产生情况及属性判定表</w:t>
            </w:r>
          </w:p>
          <w:tbl>
            <w:tblPr>
              <w:tblStyle w:val="34"/>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430"/>
              <w:gridCol w:w="1488"/>
              <w:gridCol w:w="784"/>
              <w:gridCol w:w="2282"/>
              <w:gridCol w:w="726"/>
              <w:gridCol w:w="1610"/>
            </w:tblGrid>
            <w:tr w14:paraId="7317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noWrap w:val="0"/>
                  <w:vAlign w:val="center"/>
                </w:tcPr>
                <w:p w14:paraId="32FD40FA">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序号</w:t>
                  </w:r>
                </w:p>
              </w:tc>
              <w:tc>
                <w:tcPr>
                  <w:tcW w:w="816" w:type="pct"/>
                  <w:noWrap w:val="0"/>
                  <w:vAlign w:val="center"/>
                </w:tcPr>
                <w:p w14:paraId="21A7ED94">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固废名称</w:t>
                  </w:r>
                </w:p>
              </w:tc>
              <w:tc>
                <w:tcPr>
                  <w:tcW w:w="849" w:type="pct"/>
                  <w:noWrap w:val="0"/>
                  <w:vAlign w:val="center"/>
                </w:tcPr>
                <w:p w14:paraId="7FD58EA2">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产生工序</w:t>
                  </w:r>
                </w:p>
              </w:tc>
              <w:tc>
                <w:tcPr>
                  <w:tcW w:w="447" w:type="pct"/>
                  <w:noWrap w:val="0"/>
                  <w:vAlign w:val="center"/>
                </w:tcPr>
                <w:p w14:paraId="77EE99A3">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形态</w:t>
                  </w:r>
                </w:p>
              </w:tc>
              <w:tc>
                <w:tcPr>
                  <w:tcW w:w="1302" w:type="pct"/>
                  <w:noWrap w:val="0"/>
                  <w:vAlign w:val="center"/>
                </w:tcPr>
                <w:p w14:paraId="7651557E">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主要成分</w:t>
                  </w:r>
                </w:p>
              </w:tc>
              <w:tc>
                <w:tcPr>
                  <w:tcW w:w="414" w:type="pct"/>
                  <w:noWrap w:val="0"/>
                  <w:vAlign w:val="center"/>
                </w:tcPr>
                <w:p w14:paraId="65AD4AED">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是否属于固废</w:t>
                  </w:r>
                </w:p>
              </w:tc>
              <w:tc>
                <w:tcPr>
                  <w:tcW w:w="918" w:type="pct"/>
                  <w:noWrap w:val="0"/>
                  <w:vAlign w:val="center"/>
                </w:tcPr>
                <w:p w14:paraId="77A5483F">
                  <w:pPr>
                    <w:adjustRightInd w:val="0"/>
                    <w:snapToGrid w:val="0"/>
                    <w:ind w:left="-84" w:leftChars="-40" w:right="-84" w:rightChars="-40"/>
                    <w:jc w:val="center"/>
                    <w:rPr>
                      <w:bCs/>
                      <w:szCs w:val="21"/>
                    </w:rPr>
                  </w:pPr>
                  <w:r>
                    <w:rPr>
                      <w:bCs/>
                      <w:szCs w:val="21"/>
                    </w:rPr>
                    <w:t>判定依据</w:t>
                  </w:r>
                </w:p>
              </w:tc>
            </w:tr>
            <w:tr w14:paraId="34D8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noWrap w:val="0"/>
                  <w:vAlign w:val="center"/>
                </w:tcPr>
                <w:p w14:paraId="5B6D21F6">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0DA1B48C">
                  <w:pPr>
                    <w:keepNext w:val="0"/>
                    <w:keepLines w:val="0"/>
                    <w:pageBreakBefore w:val="0"/>
                    <w:widowControl w:val="0"/>
                    <w:kinsoku/>
                    <w:wordWrap/>
                    <w:overflowPunct/>
                    <w:topLinePunct w:val="0"/>
                    <w:autoSpaceDE/>
                    <w:autoSpaceDN/>
                    <w:bidi w:val="0"/>
                    <w:adjustRightInd w:val="0"/>
                    <w:snapToGrid w:val="0"/>
                    <w:jc w:val="center"/>
                    <w:textAlignment w:val="auto"/>
                  </w:pPr>
                  <w:r>
                    <w:rPr>
                      <w:color w:val="000000"/>
                      <w:szCs w:val="21"/>
                    </w:rPr>
                    <w:t>生活垃圾</w:t>
                  </w:r>
                </w:p>
              </w:tc>
              <w:tc>
                <w:tcPr>
                  <w:tcW w:w="849" w:type="pct"/>
                  <w:noWrap w:val="0"/>
                  <w:vAlign w:val="center"/>
                </w:tcPr>
                <w:p w14:paraId="72B3FCCE">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rPr>
                      <w:color w:val="000000"/>
                      <w:szCs w:val="21"/>
                    </w:rPr>
                    <w:t>职工生活</w:t>
                  </w:r>
                </w:p>
              </w:tc>
              <w:tc>
                <w:tcPr>
                  <w:tcW w:w="447" w:type="pct"/>
                  <w:noWrap w:val="0"/>
                  <w:vAlign w:val="center"/>
                </w:tcPr>
                <w:p w14:paraId="56F309E9">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固态</w:t>
                  </w:r>
                </w:p>
              </w:tc>
              <w:tc>
                <w:tcPr>
                  <w:tcW w:w="1302" w:type="pct"/>
                  <w:noWrap w:val="0"/>
                  <w:vAlign w:val="center"/>
                </w:tcPr>
                <w:p w14:paraId="16936133">
                  <w:pPr>
                    <w:pStyle w:val="117"/>
                    <w:keepNext w:val="0"/>
                    <w:keepLines w:val="0"/>
                    <w:pageBreakBefore w:val="0"/>
                    <w:widowControl w:val="0"/>
                    <w:kinsoku/>
                    <w:wordWrap/>
                    <w:overflowPunct/>
                    <w:topLinePunct w:val="0"/>
                    <w:autoSpaceDE/>
                    <w:autoSpaceDN/>
                    <w:bidi w:val="0"/>
                    <w:adjustRightInd w:val="0"/>
                    <w:snapToGrid w:val="0"/>
                    <w:ind w:left="-84" w:leftChars="-40" w:right="-84" w:rightChars="-40"/>
                    <w:textAlignment w:val="auto"/>
                    <w:rPr>
                      <w:rFonts w:hint="default" w:eastAsia="宋体"/>
                      <w:lang w:val="en-US" w:eastAsia="zh-CN"/>
                    </w:rPr>
                  </w:pPr>
                  <w:r>
                    <w:rPr>
                      <w:rFonts w:hint="eastAsia"/>
                      <w:lang w:val="en-US" w:eastAsia="zh-CN"/>
                    </w:rPr>
                    <w:t>果皮纸屑纸张等</w:t>
                  </w:r>
                </w:p>
              </w:tc>
              <w:tc>
                <w:tcPr>
                  <w:tcW w:w="414" w:type="pct"/>
                  <w:noWrap w:val="0"/>
                  <w:vAlign w:val="center"/>
                </w:tcPr>
                <w:p w14:paraId="665BD993">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是</w:t>
                  </w:r>
                </w:p>
              </w:tc>
              <w:tc>
                <w:tcPr>
                  <w:tcW w:w="918" w:type="pct"/>
                  <w:vMerge w:val="restart"/>
                  <w:noWrap w:val="0"/>
                  <w:vAlign w:val="center"/>
                </w:tcPr>
                <w:p w14:paraId="4C5A8A95">
                  <w:pPr>
                    <w:adjustRightInd w:val="0"/>
                    <w:snapToGrid w:val="0"/>
                    <w:ind w:left="-84" w:leftChars="-40" w:right="-84" w:rightChars="-40"/>
                    <w:jc w:val="center"/>
                    <w:rPr>
                      <w:bCs/>
                      <w:szCs w:val="21"/>
                    </w:rPr>
                  </w:pPr>
                  <w:r>
                    <w:rPr>
                      <w:bCs/>
                      <w:szCs w:val="21"/>
                    </w:rPr>
                    <w:t>《固体废物鉴别标准通则》(GB34330-2017)</w:t>
                  </w:r>
                </w:p>
              </w:tc>
            </w:tr>
            <w:tr w14:paraId="7769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noWrap w:val="0"/>
                  <w:vAlign w:val="center"/>
                </w:tcPr>
                <w:p w14:paraId="71652AEF">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291A3045">
                  <w:pPr>
                    <w:keepNext w:val="0"/>
                    <w:keepLines w:val="0"/>
                    <w:pageBreakBefore w:val="0"/>
                    <w:widowControl w:val="0"/>
                    <w:kinsoku/>
                    <w:wordWrap/>
                    <w:overflowPunct/>
                    <w:topLinePunct w:val="0"/>
                    <w:autoSpaceDE/>
                    <w:autoSpaceDN/>
                    <w:bidi w:val="0"/>
                    <w:adjustRightInd w:val="0"/>
                    <w:snapToGrid w:val="0"/>
                    <w:jc w:val="center"/>
                    <w:textAlignment w:val="auto"/>
                    <w:rPr>
                      <w:sz w:val="21"/>
                      <w:szCs w:val="21"/>
                      <w:lang w:val="zh-CN"/>
                    </w:rPr>
                  </w:pPr>
                  <w:r>
                    <w:rPr>
                      <w:rFonts w:hint="eastAsia" w:ascii="Calibri" w:hAnsi="Calibri" w:cs="Calibri"/>
                      <w:color w:val="000000"/>
                      <w:sz w:val="21"/>
                      <w:szCs w:val="21"/>
                    </w:rPr>
                    <w:t>废包装材料</w:t>
                  </w:r>
                </w:p>
              </w:tc>
              <w:tc>
                <w:tcPr>
                  <w:tcW w:w="849" w:type="pct"/>
                  <w:noWrap w:val="0"/>
                  <w:vAlign w:val="center"/>
                </w:tcPr>
                <w:p w14:paraId="7FE792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Cs w:val="21"/>
                    </w:rPr>
                  </w:pPr>
                  <w:r>
                    <w:rPr>
                      <w:rFonts w:hint="eastAsia"/>
                      <w:color w:val="000000"/>
                      <w:szCs w:val="21"/>
                    </w:rPr>
                    <w:t>包装过程</w:t>
                  </w:r>
                </w:p>
              </w:tc>
              <w:tc>
                <w:tcPr>
                  <w:tcW w:w="447" w:type="pct"/>
                  <w:noWrap w:val="0"/>
                  <w:vAlign w:val="center"/>
                </w:tcPr>
                <w:p w14:paraId="72119B81">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固态</w:t>
                  </w:r>
                </w:p>
              </w:tc>
              <w:tc>
                <w:tcPr>
                  <w:tcW w:w="1302" w:type="pct"/>
                  <w:noWrap w:val="0"/>
                  <w:vAlign w:val="center"/>
                </w:tcPr>
                <w:p w14:paraId="544683C2">
                  <w:pPr>
                    <w:pStyle w:val="117"/>
                    <w:keepNext w:val="0"/>
                    <w:keepLines w:val="0"/>
                    <w:pageBreakBefore w:val="0"/>
                    <w:widowControl w:val="0"/>
                    <w:kinsoku/>
                    <w:wordWrap/>
                    <w:overflowPunct/>
                    <w:topLinePunct w:val="0"/>
                    <w:autoSpaceDE/>
                    <w:autoSpaceDN/>
                    <w:bidi w:val="0"/>
                    <w:adjustRightInd w:val="0"/>
                    <w:snapToGrid w:val="0"/>
                    <w:ind w:left="-84" w:leftChars="-40" w:right="-84" w:rightChars="-40"/>
                    <w:textAlignment w:val="auto"/>
                    <w:rPr>
                      <w:rFonts w:hint="eastAsia" w:eastAsia="宋体"/>
                      <w:lang w:val="en-US" w:eastAsia="zh-CN"/>
                    </w:rPr>
                  </w:pPr>
                  <w:r>
                    <w:rPr>
                      <w:kern w:val="0"/>
                      <w:szCs w:val="21"/>
                    </w:rPr>
                    <w:t>纸壳、塑料膜、塑料袋</w:t>
                  </w:r>
                  <w:r>
                    <w:rPr>
                      <w:rFonts w:hint="eastAsia"/>
                      <w:kern w:val="0"/>
                      <w:szCs w:val="21"/>
                      <w:lang w:val="en-US" w:eastAsia="zh-CN"/>
                    </w:rPr>
                    <w:t>等</w:t>
                  </w:r>
                </w:p>
              </w:tc>
              <w:tc>
                <w:tcPr>
                  <w:tcW w:w="414" w:type="pct"/>
                  <w:noWrap w:val="0"/>
                  <w:vAlign w:val="center"/>
                </w:tcPr>
                <w:p w14:paraId="2D9FDBEF">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是</w:t>
                  </w:r>
                </w:p>
              </w:tc>
              <w:tc>
                <w:tcPr>
                  <w:tcW w:w="918" w:type="pct"/>
                  <w:vMerge w:val="continue"/>
                  <w:noWrap w:val="0"/>
                  <w:vAlign w:val="center"/>
                </w:tcPr>
                <w:p w14:paraId="06EB34A8">
                  <w:pPr>
                    <w:adjustRightInd w:val="0"/>
                    <w:snapToGrid w:val="0"/>
                    <w:ind w:left="-84" w:leftChars="-40" w:right="-84" w:rightChars="-40"/>
                    <w:jc w:val="center"/>
                    <w:rPr>
                      <w:bCs/>
                      <w:szCs w:val="21"/>
                    </w:rPr>
                  </w:pPr>
                </w:p>
              </w:tc>
            </w:tr>
            <w:tr w14:paraId="4247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noWrap w:val="0"/>
                  <w:vAlign w:val="center"/>
                </w:tcPr>
                <w:p w14:paraId="6F0D567E">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3E215B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lang w:val="zh-CN"/>
                    </w:rPr>
                  </w:pPr>
                  <w:r>
                    <w:rPr>
                      <w:rFonts w:hint="eastAsia"/>
                      <w:color w:val="000000"/>
                      <w:sz w:val="21"/>
                      <w:szCs w:val="21"/>
                      <w:lang w:val="en-US" w:eastAsia="zh-CN"/>
                    </w:rPr>
                    <w:t>熔融残渣</w:t>
                  </w:r>
                </w:p>
              </w:tc>
              <w:tc>
                <w:tcPr>
                  <w:tcW w:w="849" w:type="pct"/>
                  <w:noWrap w:val="0"/>
                  <w:vAlign w:val="center"/>
                </w:tcPr>
                <w:p w14:paraId="4A1A29C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Cs w:val="21"/>
                    </w:rPr>
                  </w:pPr>
                  <w:r>
                    <w:rPr>
                      <w:rFonts w:hint="eastAsia"/>
                      <w:color w:val="000000"/>
                      <w:szCs w:val="21"/>
                      <w:lang w:val="en-US" w:eastAsia="zh-CN"/>
                    </w:rPr>
                    <w:t>生产</w:t>
                  </w:r>
                  <w:r>
                    <w:rPr>
                      <w:rFonts w:hint="eastAsia"/>
                      <w:color w:val="000000"/>
                      <w:szCs w:val="21"/>
                    </w:rPr>
                    <w:t>过程</w:t>
                  </w:r>
                </w:p>
              </w:tc>
              <w:tc>
                <w:tcPr>
                  <w:tcW w:w="447" w:type="pct"/>
                  <w:noWrap w:val="0"/>
                  <w:vAlign w:val="center"/>
                </w:tcPr>
                <w:p w14:paraId="5C62626D">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固态</w:t>
                  </w:r>
                </w:p>
              </w:tc>
              <w:tc>
                <w:tcPr>
                  <w:tcW w:w="1302" w:type="pct"/>
                  <w:noWrap w:val="0"/>
                  <w:vAlign w:val="center"/>
                </w:tcPr>
                <w:p w14:paraId="120CD179">
                  <w:pPr>
                    <w:pStyle w:val="117"/>
                    <w:keepNext w:val="0"/>
                    <w:keepLines w:val="0"/>
                    <w:pageBreakBefore w:val="0"/>
                    <w:widowControl w:val="0"/>
                    <w:kinsoku/>
                    <w:wordWrap/>
                    <w:overflowPunct/>
                    <w:topLinePunct w:val="0"/>
                    <w:autoSpaceDE/>
                    <w:autoSpaceDN/>
                    <w:bidi w:val="0"/>
                    <w:adjustRightInd w:val="0"/>
                    <w:snapToGrid w:val="0"/>
                    <w:ind w:left="-84" w:leftChars="-40" w:right="-84" w:rightChars="-40"/>
                    <w:textAlignment w:val="auto"/>
                    <w:rPr>
                      <w:rFonts w:hint="default" w:eastAsia="宋体"/>
                      <w:lang w:val="en-US" w:eastAsia="zh-CN"/>
                    </w:rPr>
                  </w:pPr>
                  <w:r>
                    <w:rPr>
                      <w:rFonts w:hint="eastAsia"/>
                      <w:lang w:val="en-US" w:eastAsia="zh-CN"/>
                    </w:rPr>
                    <w:t>废塑料</w:t>
                  </w:r>
                </w:p>
              </w:tc>
              <w:tc>
                <w:tcPr>
                  <w:tcW w:w="414" w:type="pct"/>
                  <w:noWrap w:val="0"/>
                  <w:vAlign w:val="center"/>
                </w:tcPr>
                <w:p w14:paraId="07AB3D53">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是</w:t>
                  </w:r>
                </w:p>
              </w:tc>
              <w:tc>
                <w:tcPr>
                  <w:tcW w:w="918" w:type="pct"/>
                  <w:vMerge w:val="continue"/>
                  <w:noWrap w:val="0"/>
                  <w:vAlign w:val="center"/>
                </w:tcPr>
                <w:p w14:paraId="2094EA8D">
                  <w:pPr>
                    <w:adjustRightInd w:val="0"/>
                    <w:snapToGrid w:val="0"/>
                    <w:ind w:left="-84" w:leftChars="-40" w:right="-84" w:rightChars="-40"/>
                    <w:jc w:val="center"/>
                    <w:rPr>
                      <w:bCs/>
                      <w:szCs w:val="21"/>
                    </w:rPr>
                  </w:pPr>
                </w:p>
              </w:tc>
            </w:tr>
            <w:tr w14:paraId="70A7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14:paraId="44C6766E">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337AD9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rPr>
                  </w:pPr>
                  <w:r>
                    <w:rPr>
                      <w:rFonts w:hint="eastAsia" w:eastAsia="宋体"/>
                      <w:color w:val="000000"/>
                      <w:sz w:val="21"/>
                      <w:szCs w:val="21"/>
                      <w:lang w:val="en-US" w:eastAsia="zh-CN"/>
                    </w:rPr>
                    <w:t>边角料</w:t>
                  </w:r>
                </w:p>
              </w:tc>
              <w:tc>
                <w:tcPr>
                  <w:tcW w:w="849" w:type="pct"/>
                  <w:noWrap w:val="0"/>
                  <w:vAlign w:val="center"/>
                </w:tcPr>
                <w:p w14:paraId="0322EB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Cs w:val="21"/>
                    </w:rPr>
                  </w:pPr>
                  <w:r>
                    <w:rPr>
                      <w:rFonts w:hint="eastAsia"/>
                      <w:color w:val="000000"/>
                      <w:szCs w:val="21"/>
                    </w:rPr>
                    <w:t>生产过程</w:t>
                  </w:r>
                </w:p>
              </w:tc>
              <w:tc>
                <w:tcPr>
                  <w:tcW w:w="447" w:type="pct"/>
                  <w:noWrap w:val="0"/>
                  <w:vAlign w:val="center"/>
                </w:tcPr>
                <w:p w14:paraId="50353A79">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rFonts w:hint="eastAsia"/>
                      <w:bCs/>
                      <w:szCs w:val="21"/>
                    </w:rPr>
                  </w:pPr>
                  <w:r>
                    <w:rPr>
                      <w:bCs/>
                      <w:szCs w:val="21"/>
                    </w:rPr>
                    <w:t>固态</w:t>
                  </w:r>
                </w:p>
              </w:tc>
              <w:tc>
                <w:tcPr>
                  <w:tcW w:w="1302" w:type="pct"/>
                  <w:noWrap w:val="0"/>
                  <w:vAlign w:val="center"/>
                </w:tcPr>
                <w:p w14:paraId="3F5B7090">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rFonts w:hint="default" w:eastAsia="宋体"/>
                      <w:szCs w:val="21"/>
                      <w:lang w:val="en-US" w:eastAsia="zh-CN"/>
                    </w:rPr>
                  </w:pPr>
                  <w:r>
                    <w:rPr>
                      <w:rFonts w:hint="eastAsia" w:eastAsia="宋体"/>
                      <w:szCs w:val="21"/>
                      <w:lang w:val="en-US" w:eastAsia="zh-CN"/>
                    </w:rPr>
                    <w:t>塑料包装袋</w:t>
                  </w:r>
                </w:p>
              </w:tc>
              <w:tc>
                <w:tcPr>
                  <w:tcW w:w="414" w:type="pct"/>
                  <w:noWrap w:val="0"/>
                  <w:vAlign w:val="center"/>
                </w:tcPr>
                <w:p w14:paraId="76F1D0B3">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rFonts w:hint="eastAsia"/>
                      <w:bCs/>
                      <w:szCs w:val="21"/>
                    </w:rPr>
                  </w:pPr>
                  <w:r>
                    <w:rPr>
                      <w:bCs/>
                      <w:szCs w:val="21"/>
                    </w:rPr>
                    <w:t>是</w:t>
                  </w:r>
                </w:p>
              </w:tc>
              <w:tc>
                <w:tcPr>
                  <w:tcW w:w="918" w:type="pct"/>
                  <w:vMerge w:val="continue"/>
                  <w:noWrap w:val="0"/>
                  <w:vAlign w:val="center"/>
                </w:tcPr>
                <w:p w14:paraId="2742EF71">
                  <w:pPr>
                    <w:adjustRightInd w:val="0"/>
                    <w:snapToGrid w:val="0"/>
                    <w:ind w:left="-84" w:leftChars="-40" w:right="-84" w:rightChars="-40"/>
                    <w:jc w:val="center"/>
                    <w:rPr>
                      <w:bCs/>
                      <w:szCs w:val="21"/>
                    </w:rPr>
                  </w:pPr>
                </w:p>
              </w:tc>
            </w:tr>
            <w:tr w14:paraId="1561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51" w:type="pct"/>
                  <w:noWrap w:val="0"/>
                  <w:vAlign w:val="center"/>
                </w:tcPr>
                <w:p w14:paraId="473D59DD">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6C57F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sz w:val="21"/>
                      <w:szCs w:val="21"/>
                      <w:lang w:val="en-US" w:eastAsia="zh-CN"/>
                    </w:rPr>
                  </w:pPr>
                  <w:r>
                    <w:rPr>
                      <w:rFonts w:hint="eastAsia"/>
                      <w:sz w:val="21"/>
                      <w:szCs w:val="21"/>
                      <w:lang w:val="en-US" w:eastAsia="zh-CN"/>
                    </w:rPr>
                    <w:t>不合格品</w:t>
                  </w:r>
                </w:p>
              </w:tc>
              <w:tc>
                <w:tcPr>
                  <w:tcW w:w="849" w:type="pct"/>
                  <w:noWrap w:val="0"/>
                  <w:vAlign w:val="center"/>
                </w:tcPr>
                <w:p w14:paraId="28481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Cs w:val="21"/>
                    </w:rPr>
                  </w:pPr>
                  <w:r>
                    <w:rPr>
                      <w:rFonts w:hint="eastAsia"/>
                      <w:color w:val="000000"/>
                      <w:szCs w:val="21"/>
                    </w:rPr>
                    <w:t>生产过程</w:t>
                  </w:r>
                </w:p>
              </w:tc>
              <w:tc>
                <w:tcPr>
                  <w:tcW w:w="447" w:type="pct"/>
                  <w:noWrap w:val="0"/>
                  <w:vAlign w:val="center"/>
                </w:tcPr>
                <w:p w14:paraId="307EFAC2">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bCs/>
                      <w:szCs w:val="21"/>
                    </w:rPr>
                  </w:pPr>
                  <w:r>
                    <w:rPr>
                      <w:bCs/>
                      <w:szCs w:val="21"/>
                    </w:rPr>
                    <w:t>固态</w:t>
                  </w:r>
                </w:p>
              </w:tc>
              <w:tc>
                <w:tcPr>
                  <w:tcW w:w="1302" w:type="pct"/>
                  <w:noWrap w:val="0"/>
                  <w:vAlign w:val="center"/>
                </w:tcPr>
                <w:p w14:paraId="444C00DC">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rFonts w:hint="default" w:eastAsia="宋体"/>
                      <w:lang w:val="en-US" w:eastAsia="zh-CN"/>
                    </w:rPr>
                  </w:pPr>
                  <w:r>
                    <w:rPr>
                      <w:rFonts w:hint="eastAsia" w:eastAsia="宋体"/>
                      <w:szCs w:val="21"/>
                      <w:lang w:val="en-US" w:eastAsia="zh-CN"/>
                    </w:rPr>
                    <w:t>塑料包装袋</w:t>
                  </w:r>
                </w:p>
              </w:tc>
              <w:tc>
                <w:tcPr>
                  <w:tcW w:w="414" w:type="pct"/>
                  <w:noWrap w:val="0"/>
                  <w:vAlign w:val="center"/>
                </w:tcPr>
                <w:p w14:paraId="6956B045">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bCs/>
                      <w:szCs w:val="21"/>
                    </w:rPr>
                  </w:pPr>
                  <w:r>
                    <w:rPr>
                      <w:bCs/>
                      <w:szCs w:val="21"/>
                    </w:rPr>
                    <w:t>是</w:t>
                  </w:r>
                </w:p>
              </w:tc>
              <w:tc>
                <w:tcPr>
                  <w:tcW w:w="918" w:type="pct"/>
                  <w:vMerge w:val="continue"/>
                  <w:noWrap w:val="0"/>
                  <w:vAlign w:val="center"/>
                </w:tcPr>
                <w:p w14:paraId="47F101AD">
                  <w:pPr>
                    <w:adjustRightInd w:val="0"/>
                    <w:snapToGrid w:val="0"/>
                    <w:ind w:left="-84" w:leftChars="-40" w:right="-84" w:rightChars="-40"/>
                    <w:jc w:val="center"/>
                    <w:rPr>
                      <w:bCs/>
                      <w:szCs w:val="21"/>
                    </w:rPr>
                  </w:pPr>
                </w:p>
              </w:tc>
            </w:tr>
            <w:tr w14:paraId="7FFA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14:paraId="6C20814D">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266B8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lang w:val="zh-CN"/>
                    </w:rPr>
                  </w:pPr>
                  <w:r>
                    <w:rPr>
                      <w:rFonts w:hint="eastAsia"/>
                      <w:color w:val="000000"/>
                      <w:sz w:val="21"/>
                      <w:szCs w:val="21"/>
                    </w:rPr>
                    <w:t>废</w:t>
                  </w:r>
                  <w:r>
                    <w:rPr>
                      <w:rFonts w:hint="eastAsia"/>
                      <w:color w:val="000000"/>
                      <w:sz w:val="21"/>
                      <w:szCs w:val="21"/>
                      <w:lang w:val="en-US" w:eastAsia="zh-CN"/>
                    </w:rPr>
                    <w:t>活性炭</w:t>
                  </w:r>
                </w:p>
              </w:tc>
              <w:tc>
                <w:tcPr>
                  <w:tcW w:w="849" w:type="pct"/>
                  <w:noWrap w:val="0"/>
                  <w:vAlign w:val="center"/>
                </w:tcPr>
                <w:p w14:paraId="705EE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Cs w:val="21"/>
                    </w:rPr>
                  </w:pPr>
                  <w:r>
                    <w:rPr>
                      <w:rFonts w:hint="eastAsia"/>
                      <w:color w:val="000000"/>
                      <w:szCs w:val="21"/>
                      <w:lang w:val="en-US" w:eastAsia="zh-CN"/>
                    </w:rPr>
                    <w:t>废气处理</w:t>
                  </w:r>
                  <w:r>
                    <w:rPr>
                      <w:rFonts w:hint="eastAsia"/>
                      <w:color w:val="000000"/>
                      <w:szCs w:val="21"/>
                    </w:rPr>
                    <w:t>过程</w:t>
                  </w:r>
                </w:p>
              </w:tc>
              <w:tc>
                <w:tcPr>
                  <w:tcW w:w="447" w:type="pct"/>
                  <w:noWrap w:val="0"/>
                  <w:vAlign w:val="center"/>
                </w:tcPr>
                <w:p w14:paraId="0F121C71">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rFonts w:hint="eastAsia"/>
                      <w:bCs/>
                      <w:szCs w:val="21"/>
                    </w:rPr>
                  </w:pPr>
                  <w:r>
                    <w:rPr>
                      <w:bCs/>
                      <w:szCs w:val="21"/>
                    </w:rPr>
                    <w:t>固态</w:t>
                  </w:r>
                </w:p>
              </w:tc>
              <w:tc>
                <w:tcPr>
                  <w:tcW w:w="1302" w:type="pct"/>
                  <w:noWrap w:val="0"/>
                  <w:vAlign w:val="center"/>
                </w:tcPr>
                <w:p w14:paraId="0645B96C">
                  <w:pPr>
                    <w:pStyle w:val="117"/>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textAlignment w:val="auto"/>
                    <w:rPr>
                      <w:rFonts w:hint="default" w:eastAsia="宋体"/>
                      <w:lang w:val="en-US" w:eastAsia="zh-CN"/>
                    </w:rPr>
                  </w:pPr>
                  <w:r>
                    <w:rPr>
                      <w:rFonts w:hint="eastAsia" w:eastAsia="宋体"/>
                      <w:lang w:val="en-US" w:eastAsia="zh-CN"/>
                    </w:rPr>
                    <w:t>活性炭</w:t>
                  </w:r>
                </w:p>
              </w:tc>
              <w:tc>
                <w:tcPr>
                  <w:tcW w:w="414" w:type="pct"/>
                  <w:noWrap w:val="0"/>
                  <w:vAlign w:val="center"/>
                </w:tcPr>
                <w:p w14:paraId="3AF273CB">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rFonts w:hint="eastAsia"/>
                      <w:bCs/>
                      <w:szCs w:val="21"/>
                    </w:rPr>
                  </w:pPr>
                  <w:r>
                    <w:rPr>
                      <w:bCs/>
                      <w:szCs w:val="21"/>
                    </w:rPr>
                    <w:t>是</w:t>
                  </w:r>
                </w:p>
              </w:tc>
              <w:tc>
                <w:tcPr>
                  <w:tcW w:w="918" w:type="pct"/>
                  <w:vMerge w:val="continue"/>
                  <w:noWrap w:val="0"/>
                  <w:vAlign w:val="center"/>
                </w:tcPr>
                <w:p w14:paraId="792B94D6">
                  <w:pPr>
                    <w:adjustRightInd w:val="0"/>
                    <w:snapToGrid w:val="0"/>
                    <w:ind w:left="-84" w:leftChars="-40" w:right="-84" w:rightChars="-40"/>
                    <w:jc w:val="center"/>
                    <w:rPr>
                      <w:bCs/>
                      <w:szCs w:val="21"/>
                    </w:rPr>
                  </w:pPr>
                </w:p>
              </w:tc>
            </w:tr>
            <w:tr w14:paraId="1815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14:paraId="2FBE3CAF">
                  <w:pPr>
                    <w:pStyle w:val="68"/>
                    <w:keepNext w:val="0"/>
                    <w:keepLines w:val="0"/>
                    <w:pageBreakBefore w:val="0"/>
                    <w:widowControl w:val="0"/>
                    <w:numPr>
                      <w:ilvl w:val="0"/>
                      <w:numId w:val="15"/>
                    </w:numPr>
                    <w:tabs>
                      <w:tab w:val="left" w:pos="420"/>
                      <w:tab w:val="clear" w:pos="0"/>
                    </w:tabs>
                    <w:kinsoku/>
                    <w:wordWrap/>
                    <w:overflowPunct/>
                    <w:topLinePunct w:val="0"/>
                    <w:autoSpaceDE/>
                    <w:autoSpaceDN/>
                    <w:bidi w:val="0"/>
                    <w:adjustRightInd w:val="0"/>
                    <w:snapToGrid w:val="0"/>
                    <w:spacing w:beforeLines="0" w:afterLines="0" w:line="240" w:lineRule="auto"/>
                    <w:ind w:left="0" w:right="-84" w:rightChars="-40"/>
                    <w:textAlignment w:val="auto"/>
                    <w:rPr>
                      <w:rFonts w:ascii="Times New Roman"/>
                      <w:bCs/>
                      <w:szCs w:val="21"/>
                    </w:rPr>
                  </w:pPr>
                </w:p>
              </w:tc>
              <w:tc>
                <w:tcPr>
                  <w:tcW w:w="816" w:type="pct"/>
                  <w:noWrap w:val="0"/>
                  <w:vAlign w:val="center"/>
                </w:tcPr>
                <w:p w14:paraId="3859A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 w:val="21"/>
                      <w:szCs w:val="21"/>
                    </w:rPr>
                  </w:pPr>
                  <w:r>
                    <w:rPr>
                      <w:rFonts w:hint="eastAsia"/>
                      <w:color w:val="000000"/>
                      <w:sz w:val="21"/>
                      <w:szCs w:val="21"/>
                    </w:rPr>
                    <w:t>废</w:t>
                  </w:r>
                  <w:r>
                    <w:rPr>
                      <w:rFonts w:hint="eastAsia"/>
                      <w:color w:val="000000"/>
                      <w:sz w:val="21"/>
                      <w:szCs w:val="21"/>
                      <w:lang w:val="en-US" w:eastAsia="zh-CN"/>
                    </w:rPr>
                    <w:t>机油</w:t>
                  </w:r>
                </w:p>
              </w:tc>
              <w:tc>
                <w:tcPr>
                  <w:tcW w:w="849" w:type="pct"/>
                  <w:noWrap w:val="0"/>
                  <w:vAlign w:val="center"/>
                </w:tcPr>
                <w:p w14:paraId="1AE1E4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Cs w:val="21"/>
                      <w:lang w:val="en-US" w:eastAsia="zh-CN"/>
                    </w:rPr>
                  </w:pPr>
                  <w:r>
                    <w:rPr>
                      <w:rFonts w:hint="eastAsia"/>
                      <w:color w:val="000000"/>
                      <w:szCs w:val="21"/>
                      <w:lang w:val="en-US" w:eastAsia="zh-CN"/>
                    </w:rPr>
                    <w:t>生产</w:t>
                  </w:r>
                  <w:r>
                    <w:rPr>
                      <w:rFonts w:hint="eastAsia"/>
                      <w:color w:val="000000"/>
                      <w:szCs w:val="21"/>
                    </w:rPr>
                    <w:t>过程</w:t>
                  </w:r>
                </w:p>
              </w:tc>
              <w:tc>
                <w:tcPr>
                  <w:tcW w:w="447" w:type="pct"/>
                  <w:noWrap w:val="0"/>
                  <w:vAlign w:val="center"/>
                </w:tcPr>
                <w:p w14:paraId="214898BD">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rFonts w:hint="eastAsia"/>
                      <w:bCs/>
                      <w:szCs w:val="21"/>
                    </w:rPr>
                  </w:pPr>
                  <w:r>
                    <w:rPr>
                      <w:rFonts w:hint="eastAsia"/>
                      <w:bCs/>
                      <w:szCs w:val="21"/>
                    </w:rPr>
                    <w:t>固态</w:t>
                  </w:r>
                </w:p>
              </w:tc>
              <w:tc>
                <w:tcPr>
                  <w:tcW w:w="1302" w:type="pct"/>
                  <w:noWrap w:val="0"/>
                  <w:vAlign w:val="center"/>
                </w:tcPr>
                <w:p w14:paraId="1505BE05">
                  <w:pPr>
                    <w:pStyle w:val="117"/>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textAlignment w:val="auto"/>
                    <w:rPr>
                      <w:rFonts w:hint="eastAsia" w:eastAsia="宋体"/>
                      <w:lang w:val="en-US" w:eastAsia="zh-CN"/>
                    </w:rPr>
                  </w:pPr>
                  <w:r>
                    <w:rPr>
                      <w:rFonts w:hint="eastAsia" w:eastAsia="宋体"/>
                      <w:lang w:val="en-US" w:eastAsia="zh-CN"/>
                    </w:rPr>
                    <w:t>机油</w:t>
                  </w:r>
                </w:p>
              </w:tc>
              <w:tc>
                <w:tcPr>
                  <w:tcW w:w="414" w:type="pct"/>
                  <w:noWrap w:val="0"/>
                  <w:vAlign w:val="center"/>
                </w:tcPr>
                <w:p w14:paraId="3DBAAF85">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rPr>
                      <w:rFonts w:hint="eastAsia"/>
                      <w:bCs/>
                      <w:szCs w:val="21"/>
                    </w:rPr>
                  </w:pPr>
                  <w:r>
                    <w:rPr>
                      <w:rFonts w:hint="eastAsia"/>
                      <w:bCs/>
                      <w:szCs w:val="21"/>
                    </w:rPr>
                    <w:t>是</w:t>
                  </w:r>
                </w:p>
              </w:tc>
              <w:tc>
                <w:tcPr>
                  <w:tcW w:w="918" w:type="pct"/>
                  <w:vMerge w:val="continue"/>
                  <w:noWrap w:val="0"/>
                  <w:vAlign w:val="center"/>
                </w:tcPr>
                <w:p w14:paraId="253A51BE">
                  <w:pPr>
                    <w:adjustRightInd w:val="0"/>
                    <w:snapToGrid w:val="0"/>
                    <w:ind w:left="-84" w:leftChars="-40" w:right="-84" w:rightChars="-40"/>
                    <w:jc w:val="center"/>
                    <w:rPr>
                      <w:bCs/>
                      <w:szCs w:val="21"/>
                    </w:rPr>
                  </w:pPr>
                </w:p>
              </w:tc>
            </w:tr>
          </w:tbl>
          <w:p w14:paraId="3E7E0821">
            <w:pPr>
              <w:spacing w:line="360" w:lineRule="auto"/>
              <w:ind w:firstLine="482"/>
              <w:rPr>
                <w:sz w:val="24"/>
              </w:rPr>
            </w:pPr>
            <w:r>
              <w:rPr>
                <w:sz w:val="24"/>
              </w:rPr>
              <w:t>项目一般固废产生和处置情况详见下表：</w:t>
            </w:r>
          </w:p>
          <w:p w14:paraId="5B98E417">
            <w:pPr>
              <w:widowControl/>
              <w:numPr>
                <w:ilvl w:val="0"/>
                <w:numId w:val="13"/>
              </w:numPr>
              <w:tabs>
                <w:tab w:val="left" w:pos="420"/>
                <w:tab w:val="clear" w:pos="0"/>
              </w:tabs>
              <w:spacing w:line="360" w:lineRule="auto"/>
              <w:ind w:left="0" w:leftChars="0" w:firstLine="0" w:firstLineChars="0"/>
              <w:jc w:val="center"/>
              <w:rPr>
                <w:b/>
                <w:sz w:val="24"/>
              </w:rPr>
            </w:pPr>
            <w:r>
              <w:rPr>
                <w:b/>
                <w:sz w:val="24"/>
              </w:rPr>
              <w:t>项目一般固体废物产生及处置一览表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605"/>
              <w:gridCol w:w="1073"/>
              <w:gridCol w:w="1788"/>
              <w:gridCol w:w="1281"/>
              <w:gridCol w:w="1927"/>
            </w:tblGrid>
            <w:tr w14:paraId="39A2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40" w:type="pct"/>
                  <w:noWrap w:val="0"/>
                  <w:vAlign w:val="center"/>
                </w:tcPr>
                <w:p w14:paraId="735520C7">
                  <w:pPr>
                    <w:jc w:val="center"/>
                    <w:rPr>
                      <w:rFonts w:hint="eastAsia" w:eastAsia="宋体"/>
                      <w:szCs w:val="21"/>
                      <w:lang w:val="en-US" w:eastAsia="zh-CN"/>
                    </w:rPr>
                  </w:pPr>
                  <w:r>
                    <w:rPr>
                      <w:rFonts w:hint="eastAsia"/>
                      <w:szCs w:val="21"/>
                      <w:lang w:val="en-US" w:eastAsia="zh-CN"/>
                    </w:rPr>
                    <w:t>序号</w:t>
                  </w:r>
                </w:p>
              </w:tc>
              <w:tc>
                <w:tcPr>
                  <w:tcW w:w="911" w:type="pct"/>
                  <w:noWrap w:val="0"/>
                  <w:vAlign w:val="center"/>
                </w:tcPr>
                <w:p w14:paraId="3765405C">
                  <w:pPr>
                    <w:jc w:val="center"/>
                    <w:rPr>
                      <w:rFonts w:hint="default" w:eastAsia="宋体"/>
                      <w:szCs w:val="21"/>
                      <w:lang w:val="en-US" w:eastAsia="zh-CN"/>
                    </w:rPr>
                  </w:pPr>
                  <w:r>
                    <w:rPr>
                      <w:rFonts w:hint="eastAsia"/>
                      <w:szCs w:val="21"/>
                      <w:lang w:val="en-US" w:eastAsia="zh-CN"/>
                    </w:rPr>
                    <w:t>固体废物种类</w:t>
                  </w:r>
                </w:p>
              </w:tc>
              <w:tc>
                <w:tcPr>
                  <w:tcW w:w="609" w:type="pct"/>
                  <w:noWrap w:val="0"/>
                  <w:vAlign w:val="center"/>
                </w:tcPr>
                <w:p w14:paraId="62807B36">
                  <w:pPr>
                    <w:jc w:val="center"/>
                    <w:rPr>
                      <w:rFonts w:hint="eastAsia" w:eastAsia="宋体"/>
                      <w:szCs w:val="21"/>
                      <w:lang w:val="en-US" w:eastAsia="zh-CN"/>
                    </w:rPr>
                  </w:pPr>
                  <w:r>
                    <w:rPr>
                      <w:rFonts w:hint="eastAsia"/>
                      <w:szCs w:val="21"/>
                      <w:lang w:val="en-US" w:eastAsia="zh-CN"/>
                    </w:rPr>
                    <w:t>状态</w:t>
                  </w:r>
                </w:p>
              </w:tc>
              <w:tc>
                <w:tcPr>
                  <w:tcW w:w="1015" w:type="pct"/>
                  <w:noWrap w:val="0"/>
                  <w:vAlign w:val="center"/>
                </w:tcPr>
                <w:p w14:paraId="7EB23BAC">
                  <w:pPr>
                    <w:jc w:val="center"/>
                    <w:rPr>
                      <w:szCs w:val="21"/>
                    </w:rPr>
                  </w:pPr>
                  <w:r>
                    <w:rPr>
                      <w:szCs w:val="21"/>
                    </w:rPr>
                    <w:t>产生工序</w:t>
                  </w:r>
                </w:p>
              </w:tc>
              <w:tc>
                <w:tcPr>
                  <w:tcW w:w="727" w:type="pct"/>
                  <w:noWrap w:val="0"/>
                  <w:vAlign w:val="center"/>
                </w:tcPr>
                <w:p w14:paraId="593627BC">
                  <w:pPr>
                    <w:jc w:val="center"/>
                    <w:rPr>
                      <w:szCs w:val="21"/>
                    </w:rPr>
                  </w:pPr>
                  <w:r>
                    <w:rPr>
                      <w:szCs w:val="21"/>
                    </w:rPr>
                    <w:t>产生量（t/a）</w:t>
                  </w:r>
                </w:p>
              </w:tc>
              <w:tc>
                <w:tcPr>
                  <w:tcW w:w="1094" w:type="pct"/>
                  <w:noWrap w:val="0"/>
                  <w:vAlign w:val="center"/>
                </w:tcPr>
                <w:p w14:paraId="7318DF2F">
                  <w:pPr>
                    <w:jc w:val="center"/>
                    <w:rPr>
                      <w:szCs w:val="21"/>
                    </w:rPr>
                  </w:pPr>
                  <w:r>
                    <w:rPr>
                      <w:szCs w:val="21"/>
                    </w:rPr>
                    <w:t>处置方式</w:t>
                  </w:r>
                </w:p>
              </w:tc>
            </w:tr>
            <w:tr w14:paraId="060C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noWrap w:val="0"/>
                  <w:vAlign w:val="center"/>
                </w:tcPr>
                <w:p w14:paraId="08D13744">
                  <w:pPr>
                    <w:pStyle w:val="117"/>
                    <w:ind w:left="-84" w:leftChars="-40" w:right="-84" w:rightChars="-40"/>
                    <w:rPr>
                      <w:rFonts w:hint="eastAsia" w:eastAsia="宋体"/>
                      <w:lang w:val="en-US" w:eastAsia="zh-CN"/>
                    </w:rPr>
                  </w:pPr>
                  <w:r>
                    <w:rPr>
                      <w:rFonts w:hint="eastAsia"/>
                      <w:lang w:val="en-US" w:eastAsia="zh-CN"/>
                    </w:rPr>
                    <w:t>1</w:t>
                  </w:r>
                </w:p>
              </w:tc>
              <w:tc>
                <w:tcPr>
                  <w:tcW w:w="911" w:type="pct"/>
                  <w:noWrap w:val="0"/>
                  <w:vAlign w:val="center"/>
                </w:tcPr>
                <w:p w14:paraId="1EDBC993">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rPr>
                      <w:color w:val="000000"/>
                      <w:szCs w:val="21"/>
                    </w:rPr>
                    <w:t>生活垃圾</w:t>
                  </w:r>
                </w:p>
              </w:tc>
              <w:tc>
                <w:tcPr>
                  <w:tcW w:w="609" w:type="pct"/>
                  <w:noWrap w:val="0"/>
                  <w:vAlign w:val="center"/>
                </w:tcPr>
                <w:p w14:paraId="0BA6D760">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pPr>
                  <w:r>
                    <w:rPr>
                      <w:bCs/>
                      <w:szCs w:val="21"/>
                    </w:rPr>
                    <w:t>固态</w:t>
                  </w:r>
                </w:p>
              </w:tc>
              <w:tc>
                <w:tcPr>
                  <w:tcW w:w="1015" w:type="pct"/>
                  <w:noWrap w:val="0"/>
                  <w:vAlign w:val="center"/>
                </w:tcPr>
                <w:p w14:paraId="45BCE180">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rPr>
                      <w:color w:val="000000"/>
                      <w:szCs w:val="21"/>
                    </w:rPr>
                    <w:t>职工生活</w:t>
                  </w:r>
                </w:p>
              </w:tc>
              <w:tc>
                <w:tcPr>
                  <w:tcW w:w="727" w:type="pct"/>
                  <w:noWrap w:val="0"/>
                  <w:vAlign w:val="center"/>
                </w:tcPr>
                <w:p w14:paraId="24170944">
                  <w:pPr>
                    <w:jc w:val="center"/>
                    <w:rPr>
                      <w:rFonts w:hint="default" w:eastAsia="宋体"/>
                      <w:szCs w:val="21"/>
                      <w:lang w:val="en-US" w:eastAsia="zh-CN"/>
                    </w:rPr>
                  </w:pPr>
                  <w:r>
                    <w:rPr>
                      <w:rFonts w:hint="eastAsia"/>
                      <w:szCs w:val="21"/>
                      <w:lang w:val="en-US" w:eastAsia="zh-CN"/>
                    </w:rPr>
                    <w:t>1.35</w:t>
                  </w:r>
                </w:p>
              </w:tc>
              <w:tc>
                <w:tcPr>
                  <w:tcW w:w="1094" w:type="pct"/>
                  <w:noWrap w:val="0"/>
                  <w:vAlign w:val="center"/>
                </w:tcPr>
                <w:p w14:paraId="2D8F5422">
                  <w:pPr>
                    <w:snapToGrid w:val="0"/>
                    <w:spacing w:line="276" w:lineRule="auto"/>
                    <w:jc w:val="center"/>
                    <w:rPr>
                      <w:szCs w:val="21"/>
                    </w:rPr>
                  </w:pPr>
                  <w:r>
                    <w:rPr>
                      <w:color w:val="000000"/>
                      <w:szCs w:val="21"/>
                    </w:rPr>
                    <w:t>委托环卫部门清运</w:t>
                  </w:r>
                </w:p>
              </w:tc>
            </w:tr>
            <w:tr w14:paraId="4403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noWrap w:val="0"/>
                  <w:vAlign w:val="center"/>
                </w:tcPr>
                <w:p w14:paraId="64320613">
                  <w:pPr>
                    <w:pStyle w:val="117"/>
                    <w:ind w:left="-84" w:leftChars="-40" w:right="-84" w:rightChars="-40"/>
                    <w:rPr>
                      <w:rFonts w:hint="eastAsia" w:eastAsia="宋体"/>
                      <w:lang w:val="en-US" w:eastAsia="zh-CN"/>
                    </w:rPr>
                  </w:pPr>
                  <w:r>
                    <w:rPr>
                      <w:rFonts w:hint="eastAsia"/>
                      <w:lang w:val="en-US" w:eastAsia="zh-CN"/>
                    </w:rPr>
                    <w:t>2</w:t>
                  </w:r>
                </w:p>
              </w:tc>
              <w:tc>
                <w:tcPr>
                  <w:tcW w:w="911" w:type="pct"/>
                  <w:noWrap w:val="0"/>
                  <w:vAlign w:val="center"/>
                </w:tcPr>
                <w:p w14:paraId="278DD319">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rPr>
                      <w:rFonts w:hint="eastAsia" w:ascii="Calibri" w:hAnsi="Calibri" w:cs="Calibri"/>
                      <w:color w:val="000000"/>
                      <w:sz w:val="21"/>
                      <w:szCs w:val="21"/>
                    </w:rPr>
                    <w:t>废包装材料</w:t>
                  </w:r>
                </w:p>
              </w:tc>
              <w:tc>
                <w:tcPr>
                  <w:tcW w:w="609" w:type="pct"/>
                  <w:noWrap w:val="0"/>
                  <w:vAlign w:val="center"/>
                </w:tcPr>
                <w:p w14:paraId="325FC0A1">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pPr>
                  <w:r>
                    <w:rPr>
                      <w:bCs/>
                      <w:szCs w:val="21"/>
                    </w:rPr>
                    <w:t>固态</w:t>
                  </w:r>
                </w:p>
              </w:tc>
              <w:tc>
                <w:tcPr>
                  <w:tcW w:w="1015" w:type="pct"/>
                  <w:noWrap w:val="0"/>
                  <w:vAlign w:val="center"/>
                </w:tcPr>
                <w:p w14:paraId="505BED23">
                  <w:pPr>
                    <w:keepNext w:val="0"/>
                    <w:keepLines w:val="0"/>
                    <w:pageBreakBefore w:val="0"/>
                    <w:widowControl w:val="0"/>
                    <w:kinsoku/>
                    <w:wordWrap/>
                    <w:overflowPunct/>
                    <w:topLinePunct w:val="0"/>
                    <w:autoSpaceDE/>
                    <w:autoSpaceDN/>
                    <w:bidi w:val="0"/>
                    <w:adjustRightInd w:val="0"/>
                    <w:snapToGrid w:val="0"/>
                    <w:jc w:val="center"/>
                    <w:textAlignment w:val="auto"/>
                    <w:rPr>
                      <w:szCs w:val="21"/>
                    </w:rPr>
                  </w:pPr>
                  <w:r>
                    <w:rPr>
                      <w:rFonts w:hint="eastAsia"/>
                      <w:color w:val="000000"/>
                      <w:szCs w:val="21"/>
                    </w:rPr>
                    <w:t>包装过程</w:t>
                  </w:r>
                </w:p>
              </w:tc>
              <w:tc>
                <w:tcPr>
                  <w:tcW w:w="727" w:type="pct"/>
                  <w:noWrap w:val="0"/>
                  <w:vAlign w:val="center"/>
                </w:tcPr>
                <w:p w14:paraId="2807AAA2">
                  <w:pPr>
                    <w:jc w:val="center"/>
                    <w:rPr>
                      <w:rFonts w:hint="default" w:eastAsia="宋体"/>
                      <w:szCs w:val="21"/>
                      <w:lang w:val="en-US" w:eastAsia="zh-CN"/>
                    </w:rPr>
                  </w:pPr>
                  <w:r>
                    <w:rPr>
                      <w:rFonts w:hint="eastAsia"/>
                      <w:szCs w:val="21"/>
                      <w:lang w:val="en-US" w:eastAsia="zh-CN"/>
                    </w:rPr>
                    <w:t>6.5</w:t>
                  </w:r>
                </w:p>
              </w:tc>
              <w:tc>
                <w:tcPr>
                  <w:tcW w:w="1094" w:type="pct"/>
                  <w:vMerge w:val="restart"/>
                  <w:noWrap w:val="0"/>
                  <w:vAlign w:val="center"/>
                </w:tcPr>
                <w:p w14:paraId="692D43E0">
                  <w:pPr>
                    <w:snapToGrid w:val="0"/>
                    <w:spacing w:line="276" w:lineRule="auto"/>
                    <w:jc w:val="center"/>
                    <w:rPr>
                      <w:szCs w:val="21"/>
                    </w:rPr>
                  </w:pPr>
                  <w:r>
                    <w:rPr>
                      <w:rFonts w:hint="eastAsia"/>
                      <w:color w:val="000000"/>
                      <w:szCs w:val="21"/>
                    </w:rPr>
                    <w:t>收集后外售给物资回收公司</w:t>
                  </w:r>
                </w:p>
              </w:tc>
            </w:tr>
            <w:tr w14:paraId="4106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noWrap w:val="0"/>
                  <w:vAlign w:val="center"/>
                </w:tcPr>
                <w:p w14:paraId="37DF45F9">
                  <w:pPr>
                    <w:pStyle w:val="117"/>
                    <w:ind w:left="-84" w:leftChars="-40" w:right="-84" w:rightChars="-40"/>
                    <w:rPr>
                      <w:rFonts w:hint="eastAsia" w:eastAsia="宋体"/>
                      <w:lang w:val="en-US" w:eastAsia="zh-CN"/>
                    </w:rPr>
                  </w:pPr>
                  <w:r>
                    <w:rPr>
                      <w:rFonts w:hint="eastAsia"/>
                      <w:lang w:val="en-US" w:eastAsia="zh-CN"/>
                    </w:rPr>
                    <w:t>3</w:t>
                  </w:r>
                </w:p>
              </w:tc>
              <w:tc>
                <w:tcPr>
                  <w:tcW w:w="911" w:type="pct"/>
                  <w:noWrap w:val="0"/>
                  <w:vAlign w:val="center"/>
                </w:tcPr>
                <w:p w14:paraId="3FE4C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color w:val="000000"/>
                      <w:sz w:val="21"/>
                      <w:szCs w:val="21"/>
                      <w:lang w:val="en-US" w:eastAsia="zh-CN"/>
                    </w:rPr>
                    <w:t>熔融残渣</w:t>
                  </w:r>
                </w:p>
              </w:tc>
              <w:tc>
                <w:tcPr>
                  <w:tcW w:w="609" w:type="pct"/>
                  <w:noWrap w:val="0"/>
                  <w:vAlign w:val="center"/>
                </w:tcPr>
                <w:p w14:paraId="0CB7DC36">
                  <w:pPr>
                    <w:keepNext w:val="0"/>
                    <w:keepLines w:val="0"/>
                    <w:pageBreakBefore w:val="0"/>
                    <w:widowControl w:val="0"/>
                    <w:kinsoku/>
                    <w:wordWrap/>
                    <w:overflowPunct/>
                    <w:topLinePunct w:val="0"/>
                    <w:autoSpaceDE/>
                    <w:autoSpaceDN/>
                    <w:bidi w:val="0"/>
                    <w:adjustRightInd w:val="0"/>
                    <w:snapToGrid w:val="0"/>
                    <w:ind w:left="-84" w:leftChars="-40" w:right="-84" w:rightChars="-40"/>
                    <w:jc w:val="center"/>
                    <w:textAlignment w:val="auto"/>
                  </w:pPr>
                  <w:r>
                    <w:rPr>
                      <w:bCs/>
                      <w:szCs w:val="21"/>
                    </w:rPr>
                    <w:t>固态</w:t>
                  </w:r>
                </w:p>
              </w:tc>
              <w:tc>
                <w:tcPr>
                  <w:tcW w:w="1015" w:type="pct"/>
                  <w:noWrap w:val="0"/>
                  <w:vAlign w:val="center"/>
                </w:tcPr>
                <w:p w14:paraId="5108261E">
                  <w:pPr>
                    <w:keepNext w:val="0"/>
                    <w:keepLines w:val="0"/>
                    <w:pageBreakBefore w:val="0"/>
                    <w:widowControl w:val="0"/>
                    <w:kinsoku/>
                    <w:wordWrap/>
                    <w:overflowPunct/>
                    <w:topLinePunct w:val="0"/>
                    <w:autoSpaceDE/>
                    <w:autoSpaceDN/>
                    <w:bidi w:val="0"/>
                    <w:adjustRightInd w:val="0"/>
                    <w:snapToGrid w:val="0"/>
                    <w:jc w:val="center"/>
                    <w:textAlignment w:val="auto"/>
                  </w:pPr>
                  <w:r>
                    <w:rPr>
                      <w:rFonts w:hint="eastAsia"/>
                      <w:color w:val="000000"/>
                      <w:szCs w:val="21"/>
                      <w:lang w:val="en-US" w:eastAsia="zh-CN"/>
                    </w:rPr>
                    <w:t>生产</w:t>
                  </w:r>
                  <w:r>
                    <w:rPr>
                      <w:rFonts w:hint="eastAsia"/>
                      <w:color w:val="000000"/>
                      <w:szCs w:val="21"/>
                    </w:rPr>
                    <w:t>过程</w:t>
                  </w:r>
                </w:p>
              </w:tc>
              <w:tc>
                <w:tcPr>
                  <w:tcW w:w="727" w:type="pct"/>
                  <w:noWrap w:val="0"/>
                  <w:vAlign w:val="center"/>
                </w:tcPr>
                <w:p w14:paraId="40EB6093">
                  <w:pPr>
                    <w:jc w:val="center"/>
                    <w:rPr>
                      <w:rFonts w:hint="default" w:eastAsia="宋体"/>
                      <w:szCs w:val="21"/>
                      <w:lang w:val="en-US" w:eastAsia="zh-CN"/>
                    </w:rPr>
                  </w:pPr>
                  <w:r>
                    <w:rPr>
                      <w:rFonts w:hint="eastAsia"/>
                      <w:szCs w:val="21"/>
                      <w:lang w:val="en-US" w:eastAsia="zh-CN"/>
                    </w:rPr>
                    <w:t>0.1</w:t>
                  </w:r>
                </w:p>
              </w:tc>
              <w:tc>
                <w:tcPr>
                  <w:tcW w:w="1094" w:type="pct"/>
                  <w:vMerge w:val="continue"/>
                  <w:noWrap w:val="0"/>
                  <w:vAlign w:val="center"/>
                </w:tcPr>
                <w:p w14:paraId="7121C871">
                  <w:pPr>
                    <w:snapToGrid w:val="0"/>
                    <w:spacing w:line="276" w:lineRule="auto"/>
                    <w:jc w:val="center"/>
                    <w:rPr>
                      <w:szCs w:val="21"/>
                    </w:rPr>
                  </w:pPr>
                </w:p>
              </w:tc>
            </w:tr>
            <w:tr w14:paraId="1F24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noWrap w:val="0"/>
                  <w:vAlign w:val="center"/>
                </w:tcPr>
                <w:p w14:paraId="3EB79657">
                  <w:pPr>
                    <w:pStyle w:val="117"/>
                    <w:ind w:left="-84" w:leftChars="-40" w:right="-84" w:rightChars="-40"/>
                    <w:rPr>
                      <w:rFonts w:hint="eastAsia" w:eastAsia="宋体"/>
                      <w:lang w:val="en-US" w:eastAsia="zh-CN"/>
                    </w:rPr>
                  </w:pPr>
                  <w:r>
                    <w:rPr>
                      <w:rFonts w:hint="eastAsia"/>
                      <w:lang w:val="en-US" w:eastAsia="zh-CN"/>
                    </w:rPr>
                    <w:t>4</w:t>
                  </w:r>
                </w:p>
              </w:tc>
              <w:tc>
                <w:tcPr>
                  <w:tcW w:w="911" w:type="pct"/>
                  <w:noWrap w:val="0"/>
                  <w:vAlign w:val="center"/>
                </w:tcPr>
                <w:p w14:paraId="6BDAF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Cs w:val="21"/>
                    </w:rPr>
                  </w:pPr>
                  <w:r>
                    <w:rPr>
                      <w:rFonts w:hint="eastAsia" w:eastAsia="宋体"/>
                      <w:color w:val="000000"/>
                      <w:sz w:val="21"/>
                      <w:szCs w:val="21"/>
                      <w:lang w:val="en-US" w:eastAsia="zh-CN"/>
                    </w:rPr>
                    <w:t>边角料</w:t>
                  </w:r>
                </w:p>
              </w:tc>
              <w:tc>
                <w:tcPr>
                  <w:tcW w:w="609" w:type="pct"/>
                  <w:noWrap w:val="0"/>
                  <w:vAlign w:val="center"/>
                </w:tcPr>
                <w:p w14:paraId="259FB68F">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pPr>
                  <w:r>
                    <w:rPr>
                      <w:bCs/>
                      <w:szCs w:val="21"/>
                    </w:rPr>
                    <w:t>固态</w:t>
                  </w:r>
                </w:p>
              </w:tc>
              <w:tc>
                <w:tcPr>
                  <w:tcW w:w="1015" w:type="pct"/>
                  <w:noWrap w:val="0"/>
                  <w:vAlign w:val="center"/>
                </w:tcPr>
                <w:p w14:paraId="1E10FA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Cs w:val="21"/>
                    </w:rPr>
                  </w:pPr>
                  <w:r>
                    <w:rPr>
                      <w:rFonts w:hint="eastAsia"/>
                      <w:color w:val="000000"/>
                      <w:szCs w:val="21"/>
                    </w:rPr>
                    <w:t>生产过程</w:t>
                  </w:r>
                </w:p>
              </w:tc>
              <w:tc>
                <w:tcPr>
                  <w:tcW w:w="727" w:type="pct"/>
                  <w:noWrap w:val="0"/>
                  <w:vAlign w:val="center"/>
                </w:tcPr>
                <w:p w14:paraId="6B5E4539">
                  <w:pPr>
                    <w:jc w:val="center"/>
                    <w:rPr>
                      <w:rFonts w:hint="default" w:eastAsia="宋体"/>
                      <w:szCs w:val="21"/>
                      <w:lang w:val="en-US" w:eastAsia="zh-CN"/>
                    </w:rPr>
                  </w:pPr>
                  <w:r>
                    <w:rPr>
                      <w:rFonts w:hint="eastAsia"/>
                      <w:szCs w:val="21"/>
                      <w:lang w:val="en-US" w:eastAsia="zh-CN"/>
                    </w:rPr>
                    <w:t>5</w:t>
                  </w:r>
                </w:p>
              </w:tc>
              <w:tc>
                <w:tcPr>
                  <w:tcW w:w="1094" w:type="pct"/>
                  <w:vMerge w:val="continue"/>
                  <w:noWrap w:val="0"/>
                  <w:vAlign w:val="center"/>
                </w:tcPr>
                <w:p w14:paraId="5FA55C70">
                  <w:pPr>
                    <w:snapToGrid w:val="0"/>
                    <w:spacing w:line="276" w:lineRule="auto"/>
                    <w:jc w:val="center"/>
                    <w:rPr>
                      <w:szCs w:val="21"/>
                    </w:rPr>
                  </w:pPr>
                </w:p>
              </w:tc>
            </w:tr>
            <w:tr w14:paraId="39B4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noWrap w:val="0"/>
                  <w:vAlign w:val="center"/>
                </w:tcPr>
                <w:p w14:paraId="0689F3E1">
                  <w:pPr>
                    <w:pStyle w:val="117"/>
                    <w:ind w:left="-84" w:leftChars="-40" w:right="-84" w:rightChars="-40"/>
                    <w:rPr>
                      <w:rFonts w:hint="default"/>
                      <w:lang w:val="en-US" w:eastAsia="zh-CN"/>
                    </w:rPr>
                  </w:pPr>
                  <w:r>
                    <w:rPr>
                      <w:rFonts w:hint="eastAsia"/>
                      <w:lang w:val="en-US" w:eastAsia="zh-CN"/>
                    </w:rPr>
                    <w:t>5</w:t>
                  </w:r>
                </w:p>
              </w:tc>
              <w:tc>
                <w:tcPr>
                  <w:tcW w:w="911" w:type="pct"/>
                  <w:noWrap w:val="0"/>
                  <w:vAlign w:val="center"/>
                </w:tcPr>
                <w:p w14:paraId="55B9D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sz w:val="21"/>
                      <w:szCs w:val="21"/>
                      <w:lang w:val="en-US" w:eastAsia="zh-CN"/>
                    </w:rPr>
                  </w:pPr>
                  <w:r>
                    <w:rPr>
                      <w:rFonts w:hint="eastAsia"/>
                      <w:sz w:val="21"/>
                      <w:szCs w:val="21"/>
                      <w:lang w:val="en-US" w:eastAsia="zh-CN"/>
                    </w:rPr>
                    <w:t>不合格品</w:t>
                  </w:r>
                </w:p>
              </w:tc>
              <w:tc>
                <w:tcPr>
                  <w:tcW w:w="609" w:type="pct"/>
                  <w:noWrap w:val="0"/>
                  <w:vAlign w:val="center"/>
                </w:tcPr>
                <w:p w14:paraId="0DAB0748">
                  <w:pPr>
                    <w:keepNext w:val="0"/>
                    <w:keepLines w:val="0"/>
                    <w:pageBreakBefore w:val="0"/>
                    <w:widowControl w:val="0"/>
                    <w:kinsoku/>
                    <w:wordWrap/>
                    <w:overflowPunct/>
                    <w:topLinePunct w:val="0"/>
                    <w:autoSpaceDE/>
                    <w:autoSpaceDN/>
                    <w:bidi w:val="0"/>
                    <w:adjustRightInd w:val="0"/>
                    <w:snapToGrid w:val="0"/>
                    <w:spacing w:line="240" w:lineRule="auto"/>
                    <w:ind w:left="-84" w:leftChars="-40" w:right="-84" w:rightChars="-40"/>
                    <w:jc w:val="center"/>
                    <w:textAlignment w:val="auto"/>
                    <w:rPr>
                      <w:bCs/>
                      <w:szCs w:val="21"/>
                    </w:rPr>
                  </w:pPr>
                  <w:r>
                    <w:rPr>
                      <w:bCs/>
                      <w:szCs w:val="21"/>
                    </w:rPr>
                    <w:t>固态</w:t>
                  </w:r>
                </w:p>
              </w:tc>
              <w:tc>
                <w:tcPr>
                  <w:tcW w:w="1015" w:type="pct"/>
                  <w:noWrap w:val="0"/>
                  <w:vAlign w:val="center"/>
                </w:tcPr>
                <w:p w14:paraId="34F294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szCs w:val="21"/>
                    </w:rPr>
                  </w:pPr>
                  <w:r>
                    <w:rPr>
                      <w:rFonts w:hint="eastAsia"/>
                      <w:color w:val="000000"/>
                      <w:szCs w:val="21"/>
                    </w:rPr>
                    <w:t>生产过程</w:t>
                  </w:r>
                </w:p>
              </w:tc>
              <w:tc>
                <w:tcPr>
                  <w:tcW w:w="727" w:type="pct"/>
                  <w:noWrap w:val="0"/>
                  <w:vAlign w:val="center"/>
                </w:tcPr>
                <w:p w14:paraId="0F0049B9">
                  <w:pPr>
                    <w:jc w:val="center"/>
                    <w:rPr>
                      <w:rFonts w:hint="default" w:eastAsia="宋体"/>
                      <w:szCs w:val="21"/>
                      <w:lang w:val="en-US" w:eastAsia="zh-CN"/>
                    </w:rPr>
                  </w:pPr>
                  <w:r>
                    <w:rPr>
                      <w:rFonts w:hint="eastAsia"/>
                      <w:szCs w:val="21"/>
                      <w:lang w:val="en-US" w:eastAsia="zh-CN"/>
                    </w:rPr>
                    <w:t>40</w:t>
                  </w:r>
                </w:p>
              </w:tc>
              <w:tc>
                <w:tcPr>
                  <w:tcW w:w="1094" w:type="pct"/>
                  <w:vMerge w:val="continue"/>
                  <w:noWrap w:val="0"/>
                  <w:vAlign w:val="center"/>
                </w:tcPr>
                <w:p w14:paraId="1690AB05">
                  <w:pPr>
                    <w:snapToGrid w:val="0"/>
                    <w:spacing w:line="276" w:lineRule="auto"/>
                    <w:jc w:val="center"/>
                    <w:rPr>
                      <w:szCs w:val="21"/>
                    </w:rPr>
                  </w:pPr>
                </w:p>
              </w:tc>
            </w:tr>
          </w:tbl>
          <w:p w14:paraId="63AABF3C">
            <w:pPr>
              <w:pStyle w:val="54"/>
              <w:spacing w:line="360" w:lineRule="auto"/>
              <w:ind w:firstLine="480" w:firstLineChars="200"/>
              <w:rPr>
                <w:rFonts w:ascii="Times New Roman" w:hAnsi="Times New Roman" w:cs="Times New Roman"/>
                <w:bCs/>
                <w:color w:val="auto"/>
                <w:szCs w:val="21"/>
              </w:rPr>
            </w:pPr>
            <w:r>
              <w:rPr>
                <w:rFonts w:ascii="Times New Roman" w:hAnsi="Times New Roman" w:cs="Times New Roman"/>
                <w:bCs/>
                <w:color w:val="auto"/>
                <w:szCs w:val="21"/>
              </w:rPr>
              <w:t>对照《固体废物鉴别标准 通则》（GB34330-2017）、《国家危险废物名录》（2021版）等相关文件判定，汇总本项目危险废物如下。</w:t>
            </w:r>
          </w:p>
          <w:p w14:paraId="484C5727">
            <w:pPr>
              <w:widowControl/>
              <w:numPr>
                <w:ilvl w:val="0"/>
                <w:numId w:val="13"/>
              </w:numPr>
              <w:tabs>
                <w:tab w:val="left" w:pos="420"/>
                <w:tab w:val="clear" w:pos="0"/>
              </w:tabs>
              <w:spacing w:line="360" w:lineRule="auto"/>
              <w:ind w:left="0" w:leftChars="0" w:firstLine="0" w:firstLineChars="0"/>
              <w:jc w:val="center"/>
              <w:rPr>
                <w:b/>
                <w:sz w:val="24"/>
              </w:rPr>
            </w:pPr>
            <w:r>
              <w:rPr>
                <w:b/>
                <w:kern w:val="0"/>
                <w:sz w:val="24"/>
              </w:rPr>
              <w:t>项目危险废物汇总表</w:t>
            </w:r>
          </w:p>
          <w:tbl>
            <w:tblPr>
              <w:tblStyle w:val="34"/>
              <w:tblW w:w="5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
              <w:gridCol w:w="1196"/>
              <w:gridCol w:w="1146"/>
              <w:gridCol w:w="1029"/>
              <w:gridCol w:w="689"/>
              <w:gridCol w:w="793"/>
              <w:gridCol w:w="444"/>
              <w:gridCol w:w="732"/>
              <w:gridCol w:w="623"/>
              <w:gridCol w:w="521"/>
              <w:gridCol w:w="487"/>
              <w:gridCol w:w="875"/>
            </w:tblGrid>
            <w:tr w14:paraId="2855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30" w:type="pct"/>
                  <w:noWrap w:val="0"/>
                  <w:vAlign w:val="center"/>
                </w:tcPr>
                <w:p w14:paraId="0CFFA98B">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序号</w:t>
                  </w:r>
                </w:p>
              </w:tc>
              <w:tc>
                <w:tcPr>
                  <w:tcW w:w="669" w:type="pct"/>
                  <w:noWrap w:val="0"/>
                  <w:vAlign w:val="center"/>
                </w:tcPr>
                <w:p w14:paraId="4E35C319">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危险废物</w:t>
                  </w:r>
                </w:p>
                <w:p w14:paraId="76D72F75">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名称</w:t>
                  </w:r>
                </w:p>
              </w:tc>
              <w:tc>
                <w:tcPr>
                  <w:tcW w:w="641" w:type="pct"/>
                  <w:noWrap w:val="0"/>
                  <w:vAlign w:val="center"/>
                </w:tcPr>
                <w:p w14:paraId="569BB01C">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危险废物</w:t>
                  </w:r>
                </w:p>
                <w:p w14:paraId="0074E32C">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类别</w:t>
                  </w:r>
                </w:p>
              </w:tc>
              <w:tc>
                <w:tcPr>
                  <w:tcW w:w="575" w:type="pct"/>
                  <w:noWrap w:val="0"/>
                  <w:vAlign w:val="center"/>
                </w:tcPr>
                <w:p w14:paraId="7236BFF8">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危险废物代码</w:t>
                  </w:r>
                </w:p>
              </w:tc>
              <w:tc>
                <w:tcPr>
                  <w:tcW w:w="385" w:type="pct"/>
                  <w:noWrap w:val="0"/>
                  <w:vAlign w:val="center"/>
                </w:tcPr>
                <w:p w14:paraId="45758994">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产生量（t/a）</w:t>
                  </w:r>
                </w:p>
              </w:tc>
              <w:tc>
                <w:tcPr>
                  <w:tcW w:w="443" w:type="pct"/>
                  <w:noWrap w:val="0"/>
                  <w:vAlign w:val="center"/>
                </w:tcPr>
                <w:p w14:paraId="38F295EF">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产生工序及装置</w:t>
                  </w:r>
                </w:p>
              </w:tc>
              <w:tc>
                <w:tcPr>
                  <w:tcW w:w="248" w:type="pct"/>
                  <w:noWrap w:val="0"/>
                  <w:vAlign w:val="center"/>
                </w:tcPr>
                <w:p w14:paraId="5B109060">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形态</w:t>
                  </w:r>
                </w:p>
              </w:tc>
              <w:tc>
                <w:tcPr>
                  <w:tcW w:w="409" w:type="pct"/>
                  <w:noWrap w:val="0"/>
                  <w:vAlign w:val="center"/>
                </w:tcPr>
                <w:p w14:paraId="25D2890C">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主要成分</w:t>
                  </w:r>
                </w:p>
              </w:tc>
              <w:tc>
                <w:tcPr>
                  <w:tcW w:w="348" w:type="pct"/>
                  <w:noWrap w:val="0"/>
                  <w:vAlign w:val="center"/>
                </w:tcPr>
                <w:p w14:paraId="51B7A004">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有害成分</w:t>
                  </w:r>
                </w:p>
              </w:tc>
              <w:tc>
                <w:tcPr>
                  <w:tcW w:w="291" w:type="pct"/>
                  <w:noWrap w:val="0"/>
                  <w:vAlign w:val="center"/>
                </w:tcPr>
                <w:p w14:paraId="35B5D38F">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产废周期</w:t>
                  </w:r>
                </w:p>
              </w:tc>
              <w:tc>
                <w:tcPr>
                  <w:tcW w:w="272" w:type="pct"/>
                  <w:noWrap w:val="0"/>
                  <w:vAlign w:val="center"/>
                </w:tcPr>
                <w:p w14:paraId="517C0BE6">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危险</w:t>
                  </w:r>
                </w:p>
                <w:p w14:paraId="50EDB7A8">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特性</w:t>
                  </w:r>
                </w:p>
              </w:tc>
              <w:tc>
                <w:tcPr>
                  <w:tcW w:w="485" w:type="pct"/>
                  <w:noWrap w:val="0"/>
                  <w:vAlign w:val="center"/>
                </w:tcPr>
                <w:p w14:paraId="329C6E19">
                  <w:pPr>
                    <w:topLinePunct/>
                    <w:adjustRightInd w:val="0"/>
                    <w:snapToGrid w:val="0"/>
                    <w:ind w:left="-84" w:leftChars="-40" w:right="-84" w:rightChars="-4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污染防治措施</w:t>
                  </w:r>
                </w:p>
              </w:tc>
            </w:tr>
            <w:tr w14:paraId="0F70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230" w:type="pct"/>
                  <w:noWrap w:val="0"/>
                  <w:vAlign w:val="center"/>
                </w:tcPr>
                <w:p w14:paraId="0F5E6211">
                  <w:pPr>
                    <w:pStyle w:val="68"/>
                    <w:numPr>
                      <w:ilvl w:val="0"/>
                      <w:numId w:val="16"/>
                    </w:numPr>
                    <w:tabs>
                      <w:tab w:val="left" w:pos="420"/>
                      <w:tab w:val="clear" w:pos="0"/>
                    </w:tabs>
                    <w:spacing w:beforeLines="0" w:afterLines="0" w:line="240" w:lineRule="auto"/>
                    <w:ind w:left="-84" w:leftChars="-40" w:right="-84" w:rightChars="-40" w:firstLine="0" w:firstLineChars="0"/>
                    <w:rPr>
                      <w:rFonts w:hint="default" w:ascii="Times New Roman" w:hAnsi="Times New Roman" w:cs="Times New Roman"/>
                      <w:sz w:val="21"/>
                      <w:szCs w:val="21"/>
                    </w:rPr>
                  </w:pPr>
                </w:p>
              </w:tc>
              <w:tc>
                <w:tcPr>
                  <w:tcW w:w="669" w:type="pct"/>
                  <w:noWrap w:val="0"/>
                  <w:vAlign w:val="center"/>
                </w:tcPr>
                <w:p w14:paraId="75E372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color w:val="000000"/>
                      <w:sz w:val="21"/>
                      <w:szCs w:val="21"/>
                    </w:rPr>
                    <w:t>废活性炭</w:t>
                  </w:r>
                </w:p>
              </w:tc>
              <w:tc>
                <w:tcPr>
                  <w:tcW w:w="641" w:type="pct"/>
                  <w:noWrap w:val="0"/>
                  <w:vAlign w:val="center"/>
                </w:tcPr>
                <w:p w14:paraId="079FD91A">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HW49其他废物</w:t>
                  </w:r>
                </w:p>
              </w:tc>
              <w:tc>
                <w:tcPr>
                  <w:tcW w:w="575" w:type="pct"/>
                  <w:noWrap w:val="0"/>
                  <w:vAlign w:val="center"/>
                </w:tcPr>
                <w:p w14:paraId="752F876E">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900-039-49</w:t>
                  </w:r>
                </w:p>
              </w:tc>
              <w:tc>
                <w:tcPr>
                  <w:tcW w:w="385" w:type="pct"/>
                  <w:noWrap w:val="0"/>
                  <w:vAlign w:val="center"/>
                </w:tcPr>
                <w:p w14:paraId="705F70E3">
                  <w:pPr>
                    <w:ind w:left="-84" w:leftChars="-40" w:right="-84" w:rightChars="-4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13.22</w:t>
                  </w:r>
                </w:p>
              </w:tc>
              <w:tc>
                <w:tcPr>
                  <w:tcW w:w="443" w:type="pct"/>
                  <w:noWrap w:val="0"/>
                  <w:vAlign w:val="center"/>
                </w:tcPr>
                <w:p w14:paraId="3E30D410">
                  <w:pPr>
                    <w:topLinePunct/>
                    <w:adjustRightInd w:val="0"/>
                    <w:snapToGrid w:val="0"/>
                    <w:ind w:left="-84" w:leftChars="-40" w:right="-84" w:rightChars="-4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sz w:val="21"/>
                      <w:szCs w:val="21"/>
                      <w:lang w:val="en-US" w:eastAsia="zh-CN"/>
                    </w:rPr>
                    <w:t>废气处理</w:t>
                  </w:r>
                </w:p>
              </w:tc>
              <w:tc>
                <w:tcPr>
                  <w:tcW w:w="248" w:type="pct"/>
                  <w:noWrap w:val="0"/>
                  <w:vAlign w:val="center"/>
                </w:tcPr>
                <w:p w14:paraId="4EA768C4">
                  <w:pPr>
                    <w:topLinePunct/>
                    <w:adjustRightInd w:val="0"/>
                    <w:snapToGrid w:val="0"/>
                    <w:ind w:left="-84" w:leftChars="-40" w:right="-84" w:rightChars="-4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固态</w:t>
                  </w:r>
                </w:p>
              </w:tc>
              <w:tc>
                <w:tcPr>
                  <w:tcW w:w="409" w:type="pct"/>
                  <w:noWrap w:val="0"/>
                  <w:vAlign w:val="center"/>
                </w:tcPr>
                <w:p w14:paraId="0FBAF047">
                  <w:pPr>
                    <w:topLinePunct/>
                    <w:adjustRightInd w:val="0"/>
                    <w:snapToGrid w:val="0"/>
                    <w:ind w:left="-84" w:leftChars="-40" w:right="-84" w:rightChars="-4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有机废气</w:t>
                  </w:r>
                </w:p>
              </w:tc>
              <w:tc>
                <w:tcPr>
                  <w:tcW w:w="348" w:type="pct"/>
                  <w:noWrap w:val="0"/>
                  <w:vAlign w:val="center"/>
                </w:tcPr>
                <w:p w14:paraId="3ACEA8CF">
                  <w:pPr>
                    <w:topLinePunct/>
                    <w:adjustRightInd w:val="0"/>
                    <w:snapToGrid w:val="0"/>
                    <w:ind w:left="-84" w:leftChars="-40" w:right="-84" w:rightChars="-40"/>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en-US" w:eastAsia="zh-CN"/>
                    </w:rPr>
                    <w:t>有机废气</w:t>
                  </w:r>
                </w:p>
              </w:tc>
              <w:tc>
                <w:tcPr>
                  <w:tcW w:w="291" w:type="pct"/>
                  <w:noWrap w:val="0"/>
                  <w:vAlign w:val="center"/>
                </w:tcPr>
                <w:p w14:paraId="24808208">
                  <w:pPr>
                    <w:topLinePunct/>
                    <w:adjustRightInd w:val="0"/>
                    <w:snapToGrid w:val="0"/>
                    <w:ind w:left="-84" w:leftChars="-40" w:right="-84" w:rightChars="-40"/>
                    <w:jc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季度</w:t>
                  </w:r>
                </w:p>
              </w:tc>
              <w:tc>
                <w:tcPr>
                  <w:tcW w:w="272" w:type="pct"/>
                  <w:noWrap w:val="0"/>
                  <w:vAlign w:val="center"/>
                </w:tcPr>
                <w:p w14:paraId="32A3E612">
                  <w:pPr>
                    <w:topLinePunct/>
                    <w:adjustRightInd w:val="0"/>
                    <w:snapToGrid w:val="0"/>
                    <w:ind w:left="-84" w:leftChars="-40" w:right="-84" w:rightChars="-40"/>
                    <w:jc w:val="center"/>
                    <w:rPr>
                      <w:rFonts w:hint="default" w:ascii="Times New Roman" w:hAnsi="Times New Roman" w:cs="Times New Roman"/>
                      <w:kern w:val="0"/>
                      <w:sz w:val="21"/>
                      <w:szCs w:val="21"/>
                    </w:rPr>
                  </w:pPr>
                  <w:r>
                    <w:rPr>
                      <w:rFonts w:hint="default" w:ascii="Times New Roman" w:hAnsi="Times New Roman" w:cs="Times New Roman"/>
                      <w:bCs/>
                      <w:sz w:val="21"/>
                      <w:szCs w:val="21"/>
                      <w:shd w:val="clear" w:color="auto" w:fill="FFFFFF"/>
                    </w:rPr>
                    <w:t>T,I</w:t>
                  </w:r>
                </w:p>
              </w:tc>
              <w:tc>
                <w:tcPr>
                  <w:tcW w:w="485" w:type="pct"/>
                  <w:vMerge w:val="restart"/>
                  <w:noWrap w:val="0"/>
                  <w:vAlign w:val="center"/>
                </w:tcPr>
                <w:p w14:paraId="184B81BE">
                  <w:pPr>
                    <w:widowControl/>
                    <w:ind w:left="-84" w:leftChars="-40" w:right="-84" w:rightChars="-40"/>
                    <w:jc w:val="center"/>
                    <w:rPr>
                      <w:rFonts w:hint="default" w:ascii="Times New Roman" w:hAnsi="Times New Roman" w:cs="Times New Roman"/>
                      <w:bCs/>
                      <w:sz w:val="21"/>
                      <w:szCs w:val="21"/>
                    </w:rPr>
                  </w:pPr>
                  <w:r>
                    <w:rPr>
                      <w:rFonts w:hint="default" w:ascii="Times New Roman" w:hAnsi="Times New Roman" w:cs="Times New Roman"/>
                      <w:sz w:val="21"/>
                      <w:szCs w:val="21"/>
                    </w:rPr>
                    <w:t>危险废物暂存后委托有危废资质的公司处理处置</w:t>
                  </w:r>
                </w:p>
              </w:tc>
            </w:tr>
            <w:tr w14:paraId="6F00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30" w:type="pct"/>
                  <w:noWrap w:val="0"/>
                  <w:vAlign w:val="center"/>
                </w:tcPr>
                <w:p w14:paraId="0219D460">
                  <w:pPr>
                    <w:pStyle w:val="68"/>
                    <w:numPr>
                      <w:ilvl w:val="0"/>
                      <w:numId w:val="16"/>
                    </w:numPr>
                    <w:tabs>
                      <w:tab w:val="left" w:pos="420"/>
                      <w:tab w:val="clear" w:pos="0"/>
                    </w:tabs>
                    <w:spacing w:beforeLines="0" w:afterLines="0" w:line="240" w:lineRule="auto"/>
                    <w:ind w:left="-84" w:leftChars="-40" w:right="-84" w:rightChars="-40"/>
                    <w:rPr>
                      <w:rFonts w:hint="default" w:ascii="Times New Roman" w:hAnsi="Times New Roman" w:cs="Times New Roman"/>
                      <w:sz w:val="21"/>
                      <w:szCs w:val="21"/>
                    </w:rPr>
                  </w:pPr>
                </w:p>
              </w:tc>
              <w:tc>
                <w:tcPr>
                  <w:tcW w:w="669" w:type="pct"/>
                  <w:noWrap w:val="0"/>
                  <w:vAlign w:val="center"/>
                </w:tcPr>
                <w:p w14:paraId="69AA6E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zh-CN" w:eastAsia="zh-CN"/>
                    </w:rPr>
                  </w:pPr>
                  <w:r>
                    <w:rPr>
                      <w:rFonts w:hint="default" w:ascii="Times New Roman" w:hAnsi="Times New Roman" w:cs="Times New Roman"/>
                      <w:color w:val="000000"/>
                      <w:sz w:val="21"/>
                      <w:szCs w:val="21"/>
                    </w:rPr>
                    <w:t>废</w:t>
                  </w:r>
                  <w:r>
                    <w:rPr>
                      <w:rFonts w:hint="eastAsia" w:ascii="Times New Roman" w:hAnsi="Times New Roman" w:cs="Times New Roman"/>
                      <w:color w:val="000000"/>
                      <w:sz w:val="21"/>
                      <w:szCs w:val="21"/>
                      <w:lang w:val="en-US" w:eastAsia="zh-CN"/>
                    </w:rPr>
                    <w:t>机油</w:t>
                  </w:r>
                </w:p>
              </w:tc>
              <w:tc>
                <w:tcPr>
                  <w:tcW w:w="641" w:type="pct"/>
                  <w:noWrap w:val="0"/>
                  <w:vAlign w:val="center"/>
                </w:tcPr>
                <w:p w14:paraId="52D91275">
                  <w:pPr>
                    <w:topLinePunct/>
                    <w:adjustRightInd w:val="0"/>
                    <w:snapToGrid w:val="0"/>
                    <w:ind w:left="-84" w:leftChars="-40" w:right="-84" w:rightChars="-40"/>
                    <w:jc w:val="center"/>
                    <w:rPr>
                      <w:rFonts w:hint="default" w:ascii="Times New Roman" w:hAnsi="Times New Roman" w:cs="Times New Roman"/>
                      <w:sz w:val="21"/>
                      <w:szCs w:val="21"/>
                    </w:rPr>
                  </w:pPr>
                  <w:r>
                    <w:rPr>
                      <w:rFonts w:hint="eastAsia" w:ascii="Times New Roman" w:hAnsi="Times New Roman"/>
                      <w:color w:val="auto"/>
                      <w:sz w:val="21"/>
                      <w:szCs w:val="21"/>
                    </w:rPr>
                    <w:t>HW08废矿物油与含矿物油废物</w:t>
                  </w:r>
                </w:p>
              </w:tc>
              <w:tc>
                <w:tcPr>
                  <w:tcW w:w="575" w:type="pct"/>
                  <w:noWrap w:val="0"/>
                  <w:vAlign w:val="center"/>
                </w:tcPr>
                <w:p w14:paraId="5D7895A3">
                  <w:pPr>
                    <w:adjustRightInd w:val="0"/>
                    <w:snapToGrid w:val="0"/>
                    <w:ind w:left="-84" w:leftChars="-40" w:right="-84" w:rightChars="-40"/>
                    <w:jc w:val="center"/>
                    <w:rPr>
                      <w:rFonts w:hint="default" w:ascii="Times New Roman" w:hAnsi="Times New Roman" w:cs="Times New Roman"/>
                      <w:sz w:val="21"/>
                      <w:szCs w:val="21"/>
                    </w:rPr>
                  </w:pPr>
                  <w:r>
                    <w:rPr>
                      <w:rFonts w:hint="eastAsia" w:ascii="Times New Roman" w:hAnsi="Times New Roman"/>
                      <w:color w:val="auto"/>
                      <w:sz w:val="21"/>
                      <w:szCs w:val="21"/>
                    </w:rPr>
                    <w:t>900-249-08</w:t>
                  </w:r>
                </w:p>
              </w:tc>
              <w:tc>
                <w:tcPr>
                  <w:tcW w:w="385" w:type="pct"/>
                  <w:noWrap w:val="0"/>
                  <w:vAlign w:val="center"/>
                </w:tcPr>
                <w:p w14:paraId="3DCDC8EF">
                  <w:pPr>
                    <w:ind w:left="-84" w:leftChars="-40" w:right="-84" w:rightChars="-4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r>
                    <w:rPr>
                      <w:rFonts w:hint="eastAsia" w:ascii="Times New Roman" w:hAnsi="Times New Roman" w:cs="Times New Roman"/>
                      <w:sz w:val="21"/>
                      <w:szCs w:val="21"/>
                      <w:lang w:val="en-US" w:eastAsia="zh-CN"/>
                    </w:rPr>
                    <w:t>12</w:t>
                  </w:r>
                </w:p>
              </w:tc>
              <w:tc>
                <w:tcPr>
                  <w:tcW w:w="443" w:type="pct"/>
                  <w:noWrap w:val="0"/>
                  <w:vAlign w:val="center"/>
                </w:tcPr>
                <w:p w14:paraId="5AE94BF6">
                  <w:pPr>
                    <w:topLinePunct/>
                    <w:adjustRightInd w:val="0"/>
                    <w:snapToGrid w:val="0"/>
                    <w:ind w:left="-84" w:leftChars="-40" w:right="-84" w:rightChars="-4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生产过程</w:t>
                  </w:r>
                </w:p>
              </w:tc>
              <w:tc>
                <w:tcPr>
                  <w:tcW w:w="248" w:type="pct"/>
                  <w:noWrap w:val="0"/>
                  <w:vAlign w:val="center"/>
                </w:tcPr>
                <w:p w14:paraId="1E36EBC1">
                  <w:pPr>
                    <w:topLinePunct/>
                    <w:adjustRightInd w:val="0"/>
                    <w:snapToGrid w:val="0"/>
                    <w:ind w:left="-84" w:leftChars="-40" w:right="-84" w:rightChars="-40"/>
                    <w:jc w:val="center"/>
                    <w:rPr>
                      <w:rFonts w:hint="eastAsia" w:ascii="Times New Roman" w:hAnsi="Times New Roman" w:eastAsia="宋体" w:cs="Times New Roman"/>
                      <w:sz w:val="21"/>
                      <w:szCs w:val="21"/>
                      <w:lang w:eastAsia="zh-CN"/>
                    </w:rPr>
                  </w:pPr>
                  <w:r>
                    <w:rPr>
                      <w:rFonts w:hint="eastAsia" w:ascii="Times New Roman" w:hAnsi="Times New Roman" w:cs="Times New Roman"/>
                      <w:kern w:val="0"/>
                      <w:sz w:val="21"/>
                      <w:szCs w:val="21"/>
                      <w:lang w:val="en-US" w:eastAsia="zh-CN"/>
                    </w:rPr>
                    <w:t>液态</w:t>
                  </w:r>
                </w:p>
              </w:tc>
              <w:tc>
                <w:tcPr>
                  <w:tcW w:w="409" w:type="pct"/>
                  <w:noWrap w:val="0"/>
                  <w:vAlign w:val="center"/>
                </w:tcPr>
                <w:p w14:paraId="139FA05A">
                  <w:pPr>
                    <w:topLinePunct/>
                    <w:adjustRightInd w:val="0"/>
                    <w:snapToGrid w:val="0"/>
                    <w:ind w:left="-84" w:leftChars="-40" w:right="-84" w:rightChars="-4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废</w:t>
                  </w:r>
                  <w:r>
                    <w:rPr>
                      <w:rFonts w:hint="eastAsia" w:ascii="Times New Roman" w:hAnsi="Times New Roman" w:cs="Times New Roman"/>
                      <w:sz w:val="21"/>
                      <w:szCs w:val="21"/>
                      <w:lang w:val="en-US" w:eastAsia="zh-CN"/>
                    </w:rPr>
                    <w:t>机油</w:t>
                  </w:r>
                </w:p>
              </w:tc>
              <w:tc>
                <w:tcPr>
                  <w:tcW w:w="348" w:type="pct"/>
                  <w:noWrap w:val="0"/>
                  <w:vAlign w:val="center"/>
                </w:tcPr>
                <w:p w14:paraId="53C689D6">
                  <w:pPr>
                    <w:topLinePunct/>
                    <w:adjustRightInd w:val="0"/>
                    <w:snapToGrid w:val="0"/>
                    <w:ind w:left="-84" w:leftChars="-40" w:right="-84" w:rightChars="-4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废</w:t>
                  </w:r>
                  <w:r>
                    <w:rPr>
                      <w:rFonts w:hint="eastAsia" w:ascii="Times New Roman" w:hAnsi="Times New Roman" w:cs="Times New Roman"/>
                      <w:sz w:val="21"/>
                      <w:szCs w:val="21"/>
                      <w:lang w:val="en-US" w:eastAsia="zh-CN"/>
                    </w:rPr>
                    <w:t>机油</w:t>
                  </w:r>
                </w:p>
              </w:tc>
              <w:tc>
                <w:tcPr>
                  <w:tcW w:w="291" w:type="pct"/>
                  <w:noWrap w:val="0"/>
                  <w:vAlign w:val="center"/>
                </w:tcPr>
                <w:p w14:paraId="5DD77420">
                  <w:pPr>
                    <w:topLinePunct/>
                    <w:adjustRightInd w:val="0"/>
                    <w:snapToGrid w:val="0"/>
                    <w:ind w:left="-84" w:leftChars="-40" w:right="-84" w:rightChars="-40"/>
                    <w:jc w:val="center"/>
                    <w:rPr>
                      <w:rFonts w:hint="eastAsia" w:ascii="Times New Roman" w:hAnsi="Times New Roman" w:eastAsia="宋体" w:cs="Times New Roman"/>
                      <w:bCs/>
                      <w:sz w:val="21"/>
                      <w:szCs w:val="21"/>
                      <w:shd w:val="clear" w:color="auto" w:fill="FFFFFF"/>
                      <w:lang w:eastAsia="zh-CN"/>
                    </w:rPr>
                  </w:pPr>
                  <w:r>
                    <w:rPr>
                      <w:rFonts w:hint="eastAsia" w:ascii="Times New Roman" w:hAnsi="Times New Roman" w:cs="Times New Roman"/>
                      <w:bCs/>
                      <w:sz w:val="21"/>
                      <w:szCs w:val="21"/>
                      <w:shd w:val="clear" w:color="auto" w:fill="FFFFFF"/>
                      <w:lang w:val="en-US" w:eastAsia="zh-CN"/>
                    </w:rPr>
                    <w:t>月</w:t>
                  </w:r>
                </w:p>
              </w:tc>
              <w:tc>
                <w:tcPr>
                  <w:tcW w:w="272" w:type="pct"/>
                  <w:noWrap w:val="0"/>
                  <w:vAlign w:val="center"/>
                </w:tcPr>
                <w:p w14:paraId="10BBCC88">
                  <w:pPr>
                    <w:topLinePunct/>
                    <w:adjustRightInd w:val="0"/>
                    <w:snapToGrid w:val="0"/>
                    <w:ind w:left="-84" w:leftChars="-40" w:right="-84" w:rightChars="-40"/>
                    <w:jc w:val="center"/>
                    <w:rPr>
                      <w:rFonts w:hint="default" w:ascii="Times New Roman" w:hAnsi="Times New Roman" w:eastAsia="宋体" w:cs="Times New Roman"/>
                      <w:bCs/>
                      <w:sz w:val="21"/>
                      <w:szCs w:val="21"/>
                      <w:shd w:val="clear" w:color="auto" w:fill="FFFFFF"/>
                      <w:lang w:val="en-US" w:eastAsia="zh-CN"/>
                    </w:rPr>
                  </w:pPr>
                  <w:r>
                    <w:rPr>
                      <w:rFonts w:hint="default" w:ascii="Times New Roman" w:hAnsi="Times New Roman" w:cs="Times New Roman"/>
                      <w:bCs/>
                      <w:sz w:val="21"/>
                      <w:szCs w:val="21"/>
                      <w:shd w:val="clear" w:color="auto" w:fill="FFFFFF"/>
                    </w:rPr>
                    <w:t>T,I</w:t>
                  </w:r>
                </w:p>
              </w:tc>
              <w:tc>
                <w:tcPr>
                  <w:tcW w:w="485" w:type="pct"/>
                  <w:vMerge w:val="continue"/>
                  <w:noWrap w:val="0"/>
                  <w:vAlign w:val="center"/>
                </w:tcPr>
                <w:p w14:paraId="721D45D8">
                  <w:pPr>
                    <w:widowControl/>
                    <w:ind w:left="-84" w:leftChars="-40" w:right="-84" w:rightChars="-40"/>
                    <w:jc w:val="center"/>
                    <w:rPr>
                      <w:rFonts w:hint="default" w:ascii="Times New Roman" w:hAnsi="Times New Roman" w:cs="Times New Roman"/>
                      <w:bCs/>
                      <w:sz w:val="21"/>
                      <w:szCs w:val="21"/>
                    </w:rPr>
                  </w:pPr>
                </w:p>
              </w:tc>
            </w:tr>
            <w:tr w14:paraId="6575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000" w:type="pct"/>
                  <w:gridSpan w:val="12"/>
                  <w:noWrap w:val="0"/>
                  <w:vAlign w:val="center"/>
                </w:tcPr>
                <w:p w14:paraId="37DC1ED3">
                  <w:pPr>
                    <w:widowControl/>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备注：毒性（Toxicity, T）、腐蚀性（Corrosivity, C）、易燃性（Ignitability, I）、感染性（Infectivity, In）。</w:t>
                  </w:r>
                </w:p>
              </w:tc>
            </w:tr>
          </w:tbl>
          <w:p w14:paraId="4D501C0B">
            <w:pPr>
              <w:widowControl/>
              <w:numPr>
                <w:ilvl w:val="0"/>
                <w:numId w:val="13"/>
              </w:numPr>
              <w:tabs>
                <w:tab w:val="left" w:pos="420"/>
                <w:tab w:val="clear" w:pos="0"/>
              </w:tabs>
              <w:spacing w:line="360" w:lineRule="auto"/>
              <w:ind w:left="0" w:leftChars="0" w:firstLine="0" w:firstLineChars="0"/>
              <w:jc w:val="center"/>
              <w:rPr>
                <w:b/>
                <w:sz w:val="24"/>
              </w:rPr>
            </w:pPr>
            <w:r>
              <w:rPr>
                <w:b/>
                <w:sz w:val="24"/>
              </w:rPr>
              <w:t>建设项目危险废物贮存场所（设施）基本情况表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957"/>
              <w:gridCol w:w="1427"/>
              <w:gridCol w:w="1283"/>
              <w:gridCol w:w="1240"/>
              <w:gridCol w:w="789"/>
              <w:gridCol w:w="687"/>
              <w:gridCol w:w="662"/>
              <w:gridCol w:w="650"/>
              <w:gridCol w:w="656"/>
            </w:tblGrid>
            <w:tr w14:paraId="1604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blHeader/>
                <w:jc w:val="center"/>
              </w:trPr>
              <w:tc>
                <w:tcPr>
                  <w:tcW w:w="256" w:type="pct"/>
                  <w:noWrap w:val="0"/>
                  <w:vAlign w:val="center"/>
                </w:tcPr>
                <w:p w14:paraId="5CB73B3B">
                  <w:pPr>
                    <w:ind w:left="-42" w:leftChars="-20" w:right="-42" w:rightChars="-20"/>
                    <w:jc w:val="center"/>
                    <w:rPr>
                      <w:szCs w:val="21"/>
                    </w:rPr>
                  </w:pPr>
                  <w:r>
                    <w:rPr>
                      <w:szCs w:val="21"/>
                    </w:rPr>
                    <w:t>序号</w:t>
                  </w:r>
                </w:p>
              </w:tc>
              <w:tc>
                <w:tcPr>
                  <w:tcW w:w="543" w:type="pct"/>
                  <w:noWrap w:val="0"/>
                  <w:vAlign w:val="center"/>
                </w:tcPr>
                <w:p w14:paraId="4B840823">
                  <w:pPr>
                    <w:ind w:left="-42" w:leftChars="-20" w:right="-42" w:rightChars="-20"/>
                    <w:jc w:val="center"/>
                    <w:rPr>
                      <w:szCs w:val="21"/>
                    </w:rPr>
                  </w:pPr>
                  <w:r>
                    <w:rPr>
                      <w:szCs w:val="21"/>
                    </w:rPr>
                    <w:t>贮存场所(设施)</w:t>
                  </w:r>
                </w:p>
                <w:p w14:paraId="79AAF8EE">
                  <w:pPr>
                    <w:ind w:left="-42" w:leftChars="-20" w:right="-42" w:rightChars="-20"/>
                    <w:jc w:val="center"/>
                    <w:rPr>
                      <w:szCs w:val="21"/>
                    </w:rPr>
                  </w:pPr>
                  <w:r>
                    <w:rPr>
                      <w:szCs w:val="21"/>
                    </w:rPr>
                    <w:t>名称</w:t>
                  </w:r>
                </w:p>
              </w:tc>
              <w:tc>
                <w:tcPr>
                  <w:tcW w:w="810" w:type="pct"/>
                  <w:noWrap w:val="0"/>
                  <w:vAlign w:val="center"/>
                </w:tcPr>
                <w:p w14:paraId="2DECD65A">
                  <w:pPr>
                    <w:ind w:left="-42" w:leftChars="-20" w:right="-42" w:rightChars="-20"/>
                    <w:jc w:val="center"/>
                    <w:rPr>
                      <w:szCs w:val="21"/>
                    </w:rPr>
                  </w:pPr>
                  <w:r>
                    <w:rPr>
                      <w:szCs w:val="21"/>
                    </w:rPr>
                    <w:t>危险废物名称</w:t>
                  </w:r>
                </w:p>
              </w:tc>
              <w:tc>
                <w:tcPr>
                  <w:tcW w:w="728" w:type="pct"/>
                  <w:noWrap w:val="0"/>
                  <w:vAlign w:val="center"/>
                </w:tcPr>
                <w:p w14:paraId="4DC3E531">
                  <w:pPr>
                    <w:ind w:left="-84" w:leftChars="-40" w:right="-84" w:rightChars="-40"/>
                    <w:jc w:val="center"/>
                    <w:rPr>
                      <w:szCs w:val="21"/>
                    </w:rPr>
                  </w:pPr>
                  <w:r>
                    <w:rPr>
                      <w:szCs w:val="21"/>
                    </w:rPr>
                    <w:t>危险废物类别</w:t>
                  </w:r>
                </w:p>
              </w:tc>
              <w:tc>
                <w:tcPr>
                  <w:tcW w:w="704" w:type="pct"/>
                  <w:noWrap w:val="0"/>
                  <w:vAlign w:val="center"/>
                </w:tcPr>
                <w:p w14:paraId="17A237E6">
                  <w:pPr>
                    <w:ind w:left="-42" w:leftChars="-20" w:right="-42" w:rightChars="-20"/>
                    <w:jc w:val="center"/>
                    <w:rPr>
                      <w:szCs w:val="21"/>
                    </w:rPr>
                  </w:pPr>
                  <w:r>
                    <w:rPr>
                      <w:szCs w:val="21"/>
                    </w:rPr>
                    <w:t>危险废物</w:t>
                  </w:r>
                </w:p>
                <w:p w14:paraId="5F6DC8CC">
                  <w:pPr>
                    <w:ind w:left="-42" w:leftChars="-20" w:right="-42" w:rightChars="-20"/>
                    <w:jc w:val="center"/>
                    <w:rPr>
                      <w:szCs w:val="21"/>
                    </w:rPr>
                  </w:pPr>
                  <w:r>
                    <w:rPr>
                      <w:szCs w:val="21"/>
                    </w:rPr>
                    <w:t>代码</w:t>
                  </w:r>
                </w:p>
              </w:tc>
              <w:tc>
                <w:tcPr>
                  <w:tcW w:w="448" w:type="pct"/>
                  <w:noWrap w:val="0"/>
                  <w:vAlign w:val="center"/>
                </w:tcPr>
                <w:p w14:paraId="1C4822F6">
                  <w:pPr>
                    <w:ind w:left="-42" w:leftChars="-20" w:right="-42" w:rightChars="-20"/>
                    <w:jc w:val="center"/>
                    <w:rPr>
                      <w:szCs w:val="21"/>
                    </w:rPr>
                  </w:pPr>
                  <w:r>
                    <w:rPr>
                      <w:szCs w:val="21"/>
                    </w:rPr>
                    <w:t>位置</w:t>
                  </w:r>
                </w:p>
              </w:tc>
              <w:tc>
                <w:tcPr>
                  <w:tcW w:w="390" w:type="pct"/>
                  <w:noWrap w:val="0"/>
                  <w:vAlign w:val="center"/>
                </w:tcPr>
                <w:p w14:paraId="47CF9EE0">
                  <w:pPr>
                    <w:ind w:left="-42" w:leftChars="-20" w:right="-42" w:rightChars="-20"/>
                    <w:jc w:val="center"/>
                    <w:rPr>
                      <w:szCs w:val="21"/>
                    </w:rPr>
                  </w:pPr>
                  <w:r>
                    <w:rPr>
                      <w:szCs w:val="21"/>
                    </w:rPr>
                    <w:t>占地</w:t>
                  </w:r>
                </w:p>
                <w:p w14:paraId="026EBB0D">
                  <w:pPr>
                    <w:ind w:left="-42" w:leftChars="-20" w:right="-42" w:rightChars="-20"/>
                    <w:jc w:val="center"/>
                    <w:rPr>
                      <w:szCs w:val="21"/>
                    </w:rPr>
                  </w:pPr>
                  <w:r>
                    <w:rPr>
                      <w:szCs w:val="21"/>
                    </w:rPr>
                    <w:t>面积</w:t>
                  </w:r>
                </w:p>
              </w:tc>
              <w:tc>
                <w:tcPr>
                  <w:tcW w:w="376" w:type="pct"/>
                  <w:noWrap w:val="0"/>
                  <w:vAlign w:val="center"/>
                </w:tcPr>
                <w:p w14:paraId="3F2897C1">
                  <w:pPr>
                    <w:ind w:left="-42" w:leftChars="-20" w:right="-42" w:rightChars="-20"/>
                    <w:jc w:val="center"/>
                    <w:rPr>
                      <w:szCs w:val="21"/>
                    </w:rPr>
                  </w:pPr>
                  <w:r>
                    <w:rPr>
                      <w:szCs w:val="21"/>
                    </w:rPr>
                    <w:t>贮存</w:t>
                  </w:r>
                </w:p>
                <w:p w14:paraId="501FF2F5">
                  <w:pPr>
                    <w:ind w:left="-42" w:leftChars="-20" w:right="-42" w:rightChars="-20"/>
                    <w:jc w:val="center"/>
                    <w:rPr>
                      <w:szCs w:val="21"/>
                    </w:rPr>
                  </w:pPr>
                  <w:r>
                    <w:rPr>
                      <w:szCs w:val="21"/>
                    </w:rPr>
                    <w:t>方式</w:t>
                  </w:r>
                </w:p>
              </w:tc>
              <w:tc>
                <w:tcPr>
                  <w:tcW w:w="369" w:type="pct"/>
                  <w:noWrap w:val="0"/>
                  <w:vAlign w:val="center"/>
                </w:tcPr>
                <w:p w14:paraId="4F4332F7">
                  <w:pPr>
                    <w:ind w:left="-42" w:leftChars="-20" w:right="-42" w:rightChars="-20"/>
                    <w:jc w:val="center"/>
                    <w:rPr>
                      <w:szCs w:val="21"/>
                    </w:rPr>
                  </w:pPr>
                  <w:r>
                    <w:rPr>
                      <w:szCs w:val="21"/>
                    </w:rPr>
                    <w:t>贮存</w:t>
                  </w:r>
                </w:p>
                <w:p w14:paraId="0CBE60F6">
                  <w:pPr>
                    <w:ind w:left="-42" w:leftChars="-20" w:right="-42" w:rightChars="-20"/>
                    <w:jc w:val="center"/>
                    <w:rPr>
                      <w:szCs w:val="21"/>
                    </w:rPr>
                  </w:pPr>
                  <w:r>
                    <w:rPr>
                      <w:szCs w:val="21"/>
                    </w:rPr>
                    <w:t>能力</w:t>
                  </w:r>
                </w:p>
              </w:tc>
              <w:tc>
                <w:tcPr>
                  <w:tcW w:w="372" w:type="pct"/>
                  <w:noWrap w:val="0"/>
                  <w:vAlign w:val="center"/>
                </w:tcPr>
                <w:p w14:paraId="575EB0F1">
                  <w:pPr>
                    <w:ind w:left="-42" w:leftChars="-20" w:right="-42" w:rightChars="-20"/>
                    <w:jc w:val="center"/>
                    <w:rPr>
                      <w:szCs w:val="21"/>
                    </w:rPr>
                  </w:pPr>
                  <w:r>
                    <w:rPr>
                      <w:szCs w:val="21"/>
                    </w:rPr>
                    <w:t>贮存</w:t>
                  </w:r>
                </w:p>
                <w:p w14:paraId="0DE21D66">
                  <w:pPr>
                    <w:ind w:left="-42" w:leftChars="-20" w:right="-42" w:rightChars="-20"/>
                    <w:jc w:val="center"/>
                    <w:rPr>
                      <w:szCs w:val="21"/>
                    </w:rPr>
                  </w:pPr>
                  <w:r>
                    <w:rPr>
                      <w:szCs w:val="21"/>
                    </w:rPr>
                    <w:t>周期</w:t>
                  </w:r>
                </w:p>
              </w:tc>
            </w:tr>
            <w:tr w14:paraId="0E07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56" w:type="pct"/>
                  <w:noWrap w:val="0"/>
                  <w:vAlign w:val="center"/>
                </w:tcPr>
                <w:p w14:paraId="1D39EE4C">
                  <w:pPr>
                    <w:pStyle w:val="68"/>
                    <w:numPr>
                      <w:ilvl w:val="0"/>
                      <w:numId w:val="17"/>
                    </w:numPr>
                    <w:tabs>
                      <w:tab w:val="left" w:pos="420"/>
                      <w:tab w:val="clear" w:pos="0"/>
                    </w:tabs>
                    <w:spacing w:beforeLines="0" w:afterLines="0" w:line="240" w:lineRule="auto"/>
                    <w:ind w:left="-84" w:leftChars="-40" w:right="-84" w:rightChars="-40"/>
                    <w:rPr>
                      <w:rFonts w:ascii="Times New Roman"/>
                      <w:szCs w:val="21"/>
                    </w:rPr>
                  </w:pPr>
                </w:p>
              </w:tc>
              <w:tc>
                <w:tcPr>
                  <w:tcW w:w="543" w:type="pct"/>
                  <w:noWrap w:val="0"/>
                  <w:vAlign w:val="center"/>
                </w:tcPr>
                <w:p w14:paraId="493E6DE3">
                  <w:pPr>
                    <w:ind w:left="-42" w:leftChars="-20" w:right="-42" w:rightChars="-20"/>
                    <w:jc w:val="center"/>
                    <w:rPr>
                      <w:szCs w:val="21"/>
                    </w:rPr>
                  </w:pPr>
                  <w:r>
                    <w:rPr>
                      <w:kern w:val="0"/>
                      <w:szCs w:val="21"/>
                    </w:rPr>
                    <w:t>危废暂存库</w:t>
                  </w:r>
                </w:p>
              </w:tc>
              <w:tc>
                <w:tcPr>
                  <w:tcW w:w="810" w:type="pct"/>
                  <w:noWrap w:val="0"/>
                  <w:vAlign w:val="center"/>
                </w:tcPr>
                <w:p w14:paraId="58170C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lang w:val="en-US" w:eastAsia="zh-CN"/>
                    </w:rPr>
                  </w:pPr>
                  <w:r>
                    <w:rPr>
                      <w:rFonts w:hint="eastAsia"/>
                      <w:color w:val="000000"/>
                      <w:szCs w:val="21"/>
                    </w:rPr>
                    <w:t>废活性炭</w:t>
                  </w:r>
                </w:p>
              </w:tc>
              <w:tc>
                <w:tcPr>
                  <w:tcW w:w="728" w:type="pct"/>
                  <w:noWrap w:val="0"/>
                  <w:vAlign w:val="center"/>
                </w:tcPr>
                <w:p w14:paraId="3B2EF5F1">
                  <w:pPr>
                    <w:ind w:left="-84" w:leftChars="-40" w:right="-84" w:rightChars="-40"/>
                    <w:jc w:val="center"/>
                    <w:rPr>
                      <w:szCs w:val="21"/>
                    </w:rPr>
                  </w:pPr>
                  <w:r>
                    <w:rPr>
                      <w:rFonts w:hint="default" w:ascii="Times New Roman" w:hAnsi="Times New Roman" w:cs="Times New Roman"/>
                      <w:sz w:val="21"/>
                      <w:szCs w:val="21"/>
                    </w:rPr>
                    <w:t>HW49其他废物</w:t>
                  </w:r>
                </w:p>
              </w:tc>
              <w:tc>
                <w:tcPr>
                  <w:tcW w:w="704" w:type="pct"/>
                  <w:noWrap w:val="0"/>
                  <w:vAlign w:val="center"/>
                </w:tcPr>
                <w:p w14:paraId="3E7D0681">
                  <w:pPr>
                    <w:ind w:left="-84" w:leftChars="-40" w:right="-84" w:rightChars="-40"/>
                    <w:jc w:val="center"/>
                    <w:rPr>
                      <w:szCs w:val="21"/>
                    </w:rPr>
                  </w:pPr>
                  <w:r>
                    <w:rPr>
                      <w:rFonts w:hint="default" w:ascii="Times New Roman" w:hAnsi="Times New Roman" w:cs="Times New Roman"/>
                      <w:color w:val="000000"/>
                      <w:sz w:val="21"/>
                      <w:szCs w:val="21"/>
                    </w:rPr>
                    <w:t>900-039-49</w:t>
                  </w:r>
                </w:p>
              </w:tc>
              <w:tc>
                <w:tcPr>
                  <w:tcW w:w="448" w:type="pct"/>
                  <w:vMerge w:val="restart"/>
                  <w:noWrap w:val="0"/>
                  <w:vAlign w:val="center"/>
                </w:tcPr>
                <w:p w14:paraId="761B301C">
                  <w:pPr>
                    <w:ind w:left="-42" w:leftChars="-20" w:right="-42" w:rightChars="-20"/>
                    <w:jc w:val="center"/>
                    <w:rPr>
                      <w:szCs w:val="21"/>
                    </w:rPr>
                  </w:pPr>
                  <w:r>
                    <w:rPr>
                      <w:kern w:val="0"/>
                      <w:szCs w:val="21"/>
                    </w:rPr>
                    <w:t>危废暂存库</w:t>
                  </w:r>
                </w:p>
              </w:tc>
              <w:tc>
                <w:tcPr>
                  <w:tcW w:w="390" w:type="pct"/>
                  <w:vMerge w:val="restart"/>
                  <w:noWrap w:val="0"/>
                  <w:vAlign w:val="center"/>
                </w:tcPr>
                <w:p w14:paraId="110397C1">
                  <w:pPr>
                    <w:ind w:left="-42" w:leftChars="-20" w:right="-42" w:rightChars="-20"/>
                    <w:jc w:val="center"/>
                    <w:rPr>
                      <w:szCs w:val="21"/>
                    </w:rPr>
                  </w:pPr>
                  <w:r>
                    <w:rPr>
                      <w:rFonts w:hint="eastAsia"/>
                      <w:szCs w:val="21"/>
                      <w:lang w:val="en-US" w:eastAsia="zh-CN"/>
                    </w:rPr>
                    <w:t>15</w:t>
                  </w:r>
                  <w:r>
                    <w:rPr>
                      <w:szCs w:val="21"/>
                    </w:rPr>
                    <w:t>m</w:t>
                  </w:r>
                  <w:r>
                    <w:rPr>
                      <w:szCs w:val="21"/>
                      <w:vertAlign w:val="superscript"/>
                    </w:rPr>
                    <w:t>2</w:t>
                  </w:r>
                </w:p>
              </w:tc>
              <w:tc>
                <w:tcPr>
                  <w:tcW w:w="376" w:type="pct"/>
                  <w:noWrap w:val="0"/>
                  <w:vAlign w:val="center"/>
                </w:tcPr>
                <w:p w14:paraId="0E9BE118">
                  <w:pPr>
                    <w:ind w:left="-42" w:leftChars="-20" w:right="-42" w:rightChars="-20"/>
                    <w:jc w:val="center"/>
                    <w:rPr>
                      <w:rFonts w:hint="eastAsia" w:eastAsia="宋体"/>
                      <w:szCs w:val="21"/>
                      <w:lang w:val="en-US" w:eastAsia="zh-CN"/>
                    </w:rPr>
                  </w:pPr>
                  <w:r>
                    <w:rPr>
                      <w:rFonts w:hint="eastAsia"/>
                      <w:szCs w:val="21"/>
                      <w:lang w:val="en-US" w:eastAsia="zh-CN"/>
                    </w:rPr>
                    <w:t>桶装</w:t>
                  </w:r>
                </w:p>
              </w:tc>
              <w:tc>
                <w:tcPr>
                  <w:tcW w:w="369" w:type="pct"/>
                  <w:noWrap w:val="0"/>
                  <w:vAlign w:val="center"/>
                </w:tcPr>
                <w:p w14:paraId="1C2887DB">
                  <w:pPr>
                    <w:ind w:left="-84" w:leftChars="-40" w:right="-84" w:rightChars="-40"/>
                    <w:jc w:val="center"/>
                    <w:rPr>
                      <w:szCs w:val="21"/>
                    </w:rPr>
                  </w:pPr>
                  <w:r>
                    <w:rPr>
                      <w:szCs w:val="21"/>
                    </w:rPr>
                    <w:t>3个月</w:t>
                  </w:r>
                </w:p>
              </w:tc>
              <w:tc>
                <w:tcPr>
                  <w:tcW w:w="372" w:type="pct"/>
                  <w:noWrap w:val="0"/>
                  <w:vAlign w:val="center"/>
                </w:tcPr>
                <w:p w14:paraId="630B1062">
                  <w:pPr>
                    <w:ind w:left="-84" w:leftChars="-40" w:right="-84" w:rightChars="-40"/>
                    <w:jc w:val="center"/>
                    <w:rPr>
                      <w:szCs w:val="21"/>
                    </w:rPr>
                  </w:pPr>
                  <w:r>
                    <w:rPr>
                      <w:szCs w:val="21"/>
                    </w:rPr>
                    <w:t>3个月</w:t>
                  </w:r>
                </w:p>
              </w:tc>
            </w:tr>
            <w:tr w14:paraId="70FD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256" w:type="pct"/>
                  <w:noWrap w:val="0"/>
                  <w:vAlign w:val="center"/>
                </w:tcPr>
                <w:p w14:paraId="554A6D14">
                  <w:pPr>
                    <w:pStyle w:val="68"/>
                    <w:numPr>
                      <w:ilvl w:val="0"/>
                      <w:numId w:val="17"/>
                    </w:numPr>
                    <w:tabs>
                      <w:tab w:val="left" w:pos="420"/>
                      <w:tab w:val="clear" w:pos="0"/>
                    </w:tabs>
                    <w:spacing w:beforeLines="0" w:afterLines="0" w:line="240" w:lineRule="auto"/>
                    <w:ind w:left="-84" w:leftChars="-40" w:right="-84" w:rightChars="-40"/>
                    <w:rPr>
                      <w:rFonts w:ascii="Times New Roman"/>
                      <w:szCs w:val="21"/>
                      <w:lang w:bidi="ar"/>
                    </w:rPr>
                  </w:pPr>
                </w:p>
              </w:tc>
              <w:tc>
                <w:tcPr>
                  <w:tcW w:w="543" w:type="pct"/>
                  <w:noWrap w:val="0"/>
                  <w:vAlign w:val="center"/>
                </w:tcPr>
                <w:p w14:paraId="29FEE199">
                  <w:pPr>
                    <w:ind w:left="-42" w:leftChars="-20" w:right="-42" w:rightChars="-20"/>
                    <w:jc w:val="center"/>
                    <w:rPr>
                      <w:szCs w:val="21"/>
                    </w:rPr>
                  </w:pPr>
                  <w:r>
                    <w:rPr>
                      <w:kern w:val="0"/>
                      <w:szCs w:val="21"/>
                    </w:rPr>
                    <w:t>危废暂存库</w:t>
                  </w:r>
                </w:p>
              </w:tc>
              <w:tc>
                <w:tcPr>
                  <w:tcW w:w="810" w:type="pct"/>
                  <w:noWrap w:val="0"/>
                  <w:vAlign w:val="center"/>
                </w:tcPr>
                <w:p w14:paraId="2DE9DE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zh-CN" w:eastAsia="zh-CN"/>
                    </w:rPr>
                  </w:pPr>
                  <w:r>
                    <w:rPr>
                      <w:rFonts w:hint="eastAsia"/>
                      <w:color w:val="000000"/>
                      <w:szCs w:val="21"/>
                    </w:rPr>
                    <w:t>废</w:t>
                  </w:r>
                  <w:r>
                    <w:rPr>
                      <w:rFonts w:hint="eastAsia"/>
                      <w:color w:val="000000"/>
                      <w:szCs w:val="21"/>
                      <w:lang w:val="en-US" w:eastAsia="zh-CN"/>
                    </w:rPr>
                    <w:t>机油</w:t>
                  </w:r>
                </w:p>
              </w:tc>
              <w:tc>
                <w:tcPr>
                  <w:tcW w:w="728" w:type="pct"/>
                  <w:noWrap w:val="0"/>
                  <w:vAlign w:val="center"/>
                </w:tcPr>
                <w:p w14:paraId="71A7212B">
                  <w:pPr>
                    <w:topLinePunct/>
                    <w:adjustRightInd w:val="0"/>
                    <w:snapToGrid w:val="0"/>
                    <w:ind w:left="-84" w:leftChars="-40" w:right="-84" w:rightChars="-40"/>
                    <w:jc w:val="center"/>
                    <w:rPr>
                      <w:szCs w:val="21"/>
                    </w:rPr>
                  </w:pPr>
                  <w:r>
                    <w:rPr>
                      <w:rFonts w:hint="eastAsia" w:ascii="Times New Roman" w:hAnsi="Times New Roman"/>
                      <w:color w:val="auto"/>
                      <w:sz w:val="21"/>
                      <w:szCs w:val="21"/>
                    </w:rPr>
                    <w:t>HW08废矿物油与含矿物油废物</w:t>
                  </w:r>
                </w:p>
              </w:tc>
              <w:tc>
                <w:tcPr>
                  <w:tcW w:w="704" w:type="pct"/>
                  <w:noWrap w:val="0"/>
                  <w:vAlign w:val="center"/>
                </w:tcPr>
                <w:p w14:paraId="6F18B7FC">
                  <w:pPr>
                    <w:adjustRightInd w:val="0"/>
                    <w:snapToGrid w:val="0"/>
                    <w:ind w:left="-84" w:leftChars="-40" w:right="-84" w:rightChars="-40"/>
                    <w:jc w:val="center"/>
                    <w:rPr>
                      <w:szCs w:val="21"/>
                    </w:rPr>
                  </w:pPr>
                  <w:r>
                    <w:rPr>
                      <w:rFonts w:hint="eastAsia" w:ascii="Times New Roman" w:hAnsi="Times New Roman"/>
                      <w:color w:val="auto"/>
                      <w:sz w:val="21"/>
                      <w:szCs w:val="21"/>
                    </w:rPr>
                    <w:t>900-249-08</w:t>
                  </w:r>
                </w:p>
              </w:tc>
              <w:tc>
                <w:tcPr>
                  <w:tcW w:w="448" w:type="pct"/>
                  <w:vMerge w:val="continue"/>
                  <w:noWrap w:val="0"/>
                  <w:vAlign w:val="center"/>
                </w:tcPr>
                <w:p w14:paraId="40C9563E">
                  <w:pPr>
                    <w:ind w:left="-42" w:leftChars="-20" w:right="-42" w:rightChars="-20"/>
                    <w:jc w:val="center"/>
                    <w:rPr>
                      <w:szCs w:val="21"/>
                    </w:rPr>
                  </w:pPr>
                </w:p>
              </w:tc>
              <w:tc>
                <w:tcPr>
                  <w:tcW w:w="390" w:type="pct"/>
                  <w:vMerge w:val="continue"/>
                  <w:noWrap w:val="0"/>
                  <w:vAlign w:val="center"/>
                </w:tcPr>
                <w:p w14:paraId="1B7104A1">
                  <w:pPr>
                    <w:ind w:left="-84" w:leftChars="-40" w:right="-84" w:rightChars="-40"/>
                    <w:jc w:val="center"/>
                    <w:rPr>
                      <w:szCs w:val="21"/>
                    </w:rPr>
                  </w:pPr>
                </w:p>
              </w:tc>
              <w:tc>
                <w:tcPr>
                  <w:tcW w:w="376" w:type="pct"/>
                  <w:noWrap w:val="0"/>
                  <w:vAlign w:val="center"/>
                </w:tcPr>
                <w:p w14:paraId="6442BB9C">
                  <w:pPr>
                    <w:ind w:left="-42" w:leftChars="-20" w:right="-42" w:rightChars="-20"/>
                    <w:jc w:val="center"/>
                    <w:rPr>
                      <w:szCs w:val="21"/>
                    </w:rPr>
                  </w:pPr>
                  <w:r>
                    <w:rPr>
                      <w:rFonts w:hint="eastAsia"/>
                      <w:szCs w:val="21"/>
                      <w:lang w:val="en-US" w:eastAsia="zh-CN"/>
                    </w:rPr>
                    <w:t>桶</w:t>
                  </w:r>
                  <w:r>
                    <w:rPr>
                      <w:szCs w:val="21"/>
                    </w:rPr>
                    <w:t>装</w:t>
                  </w:r>
                </w:p>
              </w:tc>
              <w:tc>
                <w:tcPr>
                  <w:tcW w:w="369" w:type="pct"/>
                  <w:noWrap w:val="0"/>
                  <w:vAlign w:val="center"/>
                </w:tcPr>
                <w:p w14:paraId="2D3E84B0">
                  <w:pPr>
                    <w:ind w:left="-84" w:leftChars="-40" w:right="-84" w:rightChars="-40"/>
                    <w:jc w:val="center"/>
                    <w:rPr>
                      <w:szCs w:val="21"/>
                    </w:rPr>
                  </w:pPr>
                  <w:r>
                    <w:rPr>
                      <w:rFonts w:hint="eastAsia"/>
                      <w:szCs w:val="21"/>
                      <w:lang w:val="en-US" w:eastAsia="zh-CN"/>
                    </w:rPr>
                    <w:t>1</w:t>
                  </w:r>
                  <w:r>
                    <w:rPr>
                      <w:szCs w:val="21"/>
                    </w:rPr>
                    <w:t>个月</w:t>
                  </w:r>
                </w:p>
              </w:tc>
              <w:tc>
                <w:tcPr>
                  <w:tcW w:w="372" w:type="pct"/>
                  <w:noWrap w:val="0"/>
                  <w:vAlign w:val="center"/>
                </w:tcPr>
                <w:p w14:paraId="4BB9430E">
                  <w:pPr>
                    <w:ind w:left="-84" w:leftChars="-40" w:right="-84" w:rightChars="-40"/>
                    <w:jc w:val="center"/>
                    <w:rPr>
                      <w:szCs w:val="21"/>
                    </w:rPr>
                  </w:pPr>
                  <w:r>
                    <w:rPr>
                      <w:rFonts w:hint="eastAsia"/>
                      <w:szCs w:val="21"/>
                      <w:lang w:val="en-US" w:eastAsia="zh-CN"/>
                    </w:rPr>
                    <w:t>1</w:t>
                  </w:r>
                  <w:r>
                    <w:rPr>
                      <w:szCs w:val="21"/>
                    </w:rPr>
                    <w:t>个月</w:t>
                  </w:r>
                </w:p>
              </w:tc>
            </w:tr>
          </w:tbl>
          <w:p w14:paraId="44BD89B5">
            <w:pPr>
              <w:widowControl/>
              <w:spacing w:line="360" w:lineRule="auto"/>
              <w:ind w:firstLine="480" w:firstLineChars="200"/>
              <w:jc w:val="left"/>
              <w:rPr>
                <w:bCs/>
                <w:sz w:val="24"/>
              </w:rPr>
            </w:pPr>
            <w:r>
              <w:rPr>
                <w:rFonts w:hint="eastAsia"/>
                <w:sz w:val="24"/>
              </w:rPr>
              <w:t>本项目</w:t>
            </w:r>
            <w:r>
              <w:rPr>
                <w:rFonts w:hint="eastAsia"/>
                <w:color w:val="auto"/>
                <w:sz w:val="24"/>
              </w:rPr>
              <w:t>在</w:t>
            </w:r>
            <w:r>
              <w:rPr>
                <w:rFonts w:ascii="宋体" w:hAnsi="宋体" w:cs="宋体"/>
                <w:color w:val="auto"/>
                <w:sz w:val="24"/>
              </w:rPr>
              <w:t>厂房</w:t>
            </w:r>
            <w:r>
              <w:rPr>
                <w:rFonts w:hint="eastAsia" w:ascii="宋体" w:hAnsi="宋体" w:cs="宋体"/>
                <w:color w:val="auto"/>
                <w:sz w:val="24"/>
                <w:lang w:val="en-US" w:eastAsia="zh-CN"/>
              </w:rPr>
              <w:t>外北侧</w:t>
            </w:r>
            <w:r>
              <w:rPr>
                <w:rFonts w:ascii="宋体" w:hAnsi="宋体" w:cs="宋体"/>
                <w:sz w:val="24"/>
              </w:rPr>
              <w:t>新建一个危废暂存间</w:t>
            </w:r>
            <w:r>
              <w:rPr>
                <w:rFonts w:hint="default" w:ascii="Times New Roman" w:hAnsi="Times New Roman" w:cs="Times New Roman"/>
                <w:sz w:val="24"/>
              </w:rPr>
              <w:t>，面积约</w:t>
            </w:r>
            <w:r>
              <w:rPr>
                <w:rFonts w:hint="eastAsia" w:cs="Times New Roman"/>
                <w:sz w:val="24"/>
                <w:highlight w:val="none"/>
                <w:lang w:val="en-US" w:eastAsia="zh-CN"/>
              </w:rPr>
              <w:t>15</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2</w:t>
            </w:r>
            <w:r>
              <w:rPr>
                <w:rFonts w:ascii="宋体" w:hAnsi="宋体" w:cs="宋体"/>
                <w:sz w:val="24"/>
                <w:highlight w:val="none"/>
              </w:rPr>
              <w:t>，</w:t>
            </w:r>
            <w:r>
              <w:rPr>
                <w:rFonts w:ascii="宋体" w:hAnsi="宋体" w:cs="宋体"/>
                <w:sz w:val="24"/>
              </w:rPr>
              <w:t>危险废物暂存后委托有危废资质的公司处置</w:t>
            </w:r>
            <w:r>
              <w:rPr>
                <w:rFonts w:hint="eastAsia" w:ascii="宋体" w:hAnsi="宋体" w:cs="宋体"/>
                <w:sz w:val="24"/>
              </w:rPr>
              <w:t>，新建</w:t>
            </w:r>
            <w:r>
              <w:rPr>
                <w:sz w:val="24"/>
              </w:rPr>
              <w:t>危废暂存间容积能够满足</w:t>
            </w:r>
            <w:r>
              <w:rPr>
                <w:rFonts w:hint="eastAsia"/>
                <w:sz w:val="24"/>
              </w:rPr>
              <w:t>厂区项目的危废</w:t>
            </w:r>
            <w:r>
              <w:rPr>
                <w:sz w:val="24"/>
              </w:rPr>
              <w:t>暂存需求。</w:t>
            </w:r>
          </w:p>
          <w:p w14:paraId="1C8CB9B8">
            <w:pPr>
              <w:widowControl/>
              <w:spacing w:line="360" w:lineRule="auto"/>
              <w:ind w:firstLine="482" w:firstLineChars="200"/>
              <w:jc w:val="left"/>
              <w:rPr>
                <w:b/>
                <w:sz w:val="24"/>
                <w:highlight w:val="none"/>
              </w:rPr>
            </w:pPr>
            <w:r>
              <w:rPr>
                <w:rFonts w:hint="eastAsia"/>
                <w:b/>
                <w:sz w:val="24"/>
                <w:highlight w:val="none"/>
              </w:rPr>
              <w:t>2、固废防治措施</w:t>
            </w:r>
          </w:p>
          <w:p w14:paraId="5EAD08A7">
            <w:pPr>
              <w:pStyle w:val="54"/>
              <w:spacing w:line="360" w:lineRule="auto"/>
              <w:ind w:firstLine="480" w:firstLineChars="200"/>
              <w:rPr>
                <w:rFonts w:ascii="Times New Roman" w:hAnsi="Times New Roman" w:cs="Times New Roman"/>
                <w:bCs/>
                <w:color w:val="auto"/>
              </w:rPr>
            </w:pPr>
            <w:r>
              <w:rPr>
                <w:rFonts w:hint="eastAsia"/>
                <w:color w:val="auto"/>
              </w:rPr>
              <w:t>本项目</w:t>
            </w:r>
            <w:r>
              <w:rPr>
                <w:rFonts w:hint="eastAsia"/>
                <w:color w:val="auto"/>
                <w:lang w:val="en-US" w:eastAsia="zh-CN"/>
              </w:rPr>
              <w:t>产生的</w:t>
            </w:r>
            <w:r>
              <w:rPr>
                <w:rFonts w:hint="eastAsia"/>
                <w:color w:val="auto"/>
              </w:rPr>
              <w:t>一般固废主要为</w:t>
            </w:r>
            <w:r>
              <w:rPr>
                <w:rFonts w:hint="eastAsia"/>
                <w:color w:val="000000"/>
                <w:sz w:val="24"/>
              </w:rPr>
              <w:t>废包装材料</w:t>
            </w:r>
            <w:r>
              <w:rPr>
                <w:color w:val="000000"/>
                <w:kern w:val="2"/>
                <w:sz w:val="24"/>
              </w:rPr>
              <w:t>、</w:t>
            </w:r>
            <w:r>
              <w:rPr>
                <w:rFonts w:hint="eastAsia"/>
                <w:color w:val="000000"/>
                <w:kern w:val="2"/>
                <w:sz w:val="24"/>
                <w:lang w:val="en-US" w:eastAsia="zh-CN"/>
              </w:rPr>
              <w:t>熔融残渣</w:t>
            </w:r>
            <w:r>
              <w:rPr>
                <w:rFonts w:hint="eastAsia"/>
                <w:color w:val="000000"/>
                <w:kern w:val="2"/>
                <w:sz w:val="24"/>
              </w:rPr>
              <w:t>、</w:t>
            </w:r>
            <w:r>
              <w:rPr>
                <w:rFonts w:hint="eastAsia"/>
                <w:color w:val="000000"/>
                <w:kern w:val="2"/>
                <w:sz w:val="24"/>
                <w:lang w:val="en-US" w:eastAsia="zh-CN"/>
              </w:rPr>
              <w:t>边角料、不合格品</w:t>
            </w:r>
            <w:r>
              <w:rPr>
                <w:rFonts w:hint="eastAsia"/>
                <w:color w:val="auto"/>
                <w:lang w:val="en-US" w:eastAsia="zh-CN"/>
              </w:rPr>
              <w:t>，</w:t>
            </w:r>
            <w:r>
              <w:rPr>
                <w:rFonts w:hint="eastAsia"/>
                <w:color w:val="auto"/>
              </w:rPr>
              <w:t>经收集后外售综合利用；危险废物主要有</w:t>
            </w:r>
            <w:r>
              <w:rPr>
                <w:rFonts w:hint="eastAsia"/>
                <w:color w:val="auto"/>
                <w:lang w:val="en-US" w:eastAsia="zh-CN"/>
              </w:rPr>
              <w:t>废活性炭、废机油</w:t>
            </w:r>
            <w:r>
              <w:rPr>
                <w:rFonts w:hint="eastAsia"/>
                <w:color w:val="auto"/>
              </w:rPr>
              <w:t>，经收集后暂存于</w:t>
            </w:r>
            <w:r>
              <w:rPr>
                <w:rFonts w:hint="eastAsia" w:ascii="Times New Roman" w:hAnsi="Times New Roman" w:cs="Times New Roman"/>
                <w:color w:val="auto"/>
                <w:lang w:val="en-US" w:eastAsia="zh-CN"/>
              </w:rPr>
              <w:t>15</w:t>
            </w:r>
            <w:r>
              <w:rPr>
                <w:rFonts w:hint="default" w:ascii="Times New Roman" w:hAnsi="Times New Roman" w:cs="Times New Roman"/>
                <w:color w:val="auto"/>
              </w:rPr>
              <w:t>m</w:t>
            </w:r>
            <w:r>
              <w:rPr>
                <w:rFonts w:ascii="Times New Roman" w:hAnsi="Times New Roman" w:cs="Times New Roman"/>
                <w:color w:val="auto"/>
                <w:vertAlign w:val="superscript"/>
              </w:rPr>
              <w:t>2</w:t>
            </w:r>
            <w:r>
              <w:rPr>
                <w:color w:val="auto"/>
              </w:rPr>
              <w:t>的危废暂存库</w:t>
            </w:r>
            <w:r>
              <w:rPr>
                <w:rFonts w:ascii="Times New Roman" w:hAnsi="Times New Roman" w:cs="Times New Roman"/>
                <w:color w:val="auto"/>
              </w:rPr>
              <w:t>，委托有危废资质公司妥善处置</w:t>
            </w:r>
            <w:r>
              <w:rPr>
                <w:rFonts w:hint="eastAsia" w:ascii="Times New Roman" w:hAnsi="Times New Roman" w:cs="Times New Roman"/>
                <w:color w:val="auto"/>
              </w:rPr>
              <w:t>；</w:t>
            </w:r>
            <w:r>
              <w:rPr>
                <w:rFonts w:hint="eastAsia"/>
                <w:color w:val="auto"/>
              </w:rPr>
              <w:t>生活垃圾</w:t>
            </w:r>
            <w:r>
              <w:rPr>
                <w:rFonts w:ascii="Times New Roman" w:hAnsi="Times New Roman" w:cs="Times New Roman"/>
                <w:bCs/>
                <w:color w:val="auto"/>
              </w:rPr>
              <w:t>委托环卫部门统一处理</w:t>
            </w:r>
            <w:r>
              <w:rPr>
                <w:rFonts w:hint="eastAsia"/>
                <w:color w:val="auto"/>
              </w:rPr>
              <w:t>。</w:t>
            </w:r>
            <w:r>
              <w:rPr>
                <w:rFonts w:ascii="Times New Roman" w:hAnsi="Times New Roman" w:cs="Times New Roman"/>
                <w:bCs/>
                <w:color w:val="auto"/>
              </w:rPr>
              <w:t>本次环评要求建设单位</w:t>
            </w:r>
            <w:r>
              <w:rPr>
                <w:rFonts w:ascii="Times New Roman" w:hAnsi="Times New Roman" w:cs="Times New Roman"/>
                <w:color w:val="auto"/>
              </w:rPr>
              <w:t>一般工业固废应按照</w:t>
            </w:r>
            <w:r>
              <w:rPr>
                <w:rFonts w:ascii="Times New Roman" w:hAnsi="Times New Roman" w:cs="Times New Roman"/>
                <w:bCs/>
                <w:color w:val="auto"/>
              </w:rPr>
              <w:t>《一般工业固体废物贮存和填埋污染控制标准》（GB18599-2020）进行管理；</w:t>
            </w:r>
            <w:r>
              <w:rPr>
                <w:rFonts w:ascii="Times New Roman" w:hAnsi="Times New Roman" w:cs="Times New Roman"/>
                <w:color w:val="auto"/>
              </w:rPr>
              <w:t>危险废物临时贮存、转移、处置须满足《危险废物贮存污染控制标准》（GB18597-20</w:t>
            </w:r>
            <w:r>
              <w:rPr>
                <w:rFonts w:hint="eastAsia" w:ascii="Times New Roman" w:hAnsi="Times New Roman" w:cs="Times New Roman"/>
                <w:color w:val="auto"/>
              </w:rPr>
              <w:t>23</w:t>
            </w:r>
            <w:r>
              <w:rPr>
                <w:rFonts w:ascii="Times New Roman" w:hAnsi="Times New Roman" w:cs="Times New Roman"/>
                <w:color w:val="auto"/>
              </w:rPr>
              <w:t>）中要求；且一般工业固废和危险废物的贮存和处置均应满足</w:t>
            </w:r>
            <w:r>
              <w:rPr>
                <w:rFonts w:ascii="Times New Roman" w:hAnsi="Times New Roman" w:cs="Times New Roman"/>
                <w:bCs/>
                <w:color w:val="auto"/>
              </w:rPr>
              <w:t>《排污许可证申请与核发技术规范工业固体废物（试行）》（HJ 1200-2021）中相应技术规范。</w:t>
            </w:r>
          </w:p>
          <w:p w14:paraId="5D7557D1">
            <w:pPr>
              <w:tabs>
                <w:tab w:val="left" w:pos="4860"/>
              </w:tabs>
              <w:spacing w:line="360" w:lineRule="auto"/>
              <w:ind w:firstLine="480" w:firstLineChars="200"/>
              <w:rPr>
                <w:sz w:val="24"/>
              </w:rPr>
            </w:pPr>
            <w:r>
              <w:rPr>
                <w:rFonts w:hint="eastAsia" w:ascii="宋体" w:hAnsi="宋体" w:cs="宋体"/>
                <w:sz w:val="24"/>
              </w:rPr>
              <w:t>①</w:t>
            </w:r>
            <w:r>
              <w:rPr>
                <w:sz w:val="24"/>
              </w:rPr>
              <w:t>生活垃圾</w:t>
            </w:r>
          </w:p>
          <w:p w14:paraId="421CDA6D">
            <w:pPr>
              <w:pStyle w:val="56"/>
              <w:rPr>
                <w:kern w:val="2"/>
                <w:szCs w:val="24"/>
              </w:rPr>
            </w:pPr>
            <w:r>
              <w:rPr>
                <w:kern w:val="2"/>
                <w:szCs w:val="24"/>
              </w:rPr>
              <w:t>生活垃圾必须实现袋装或桶装集中，委托环卫部门统一清运，不得随处乱堆乱排现象；由于生活垃圾中含有易发酵（即腐烂）的有机类垃圾，也会产生析出水（垃圾堆场称渗滤液），同时散发恶臭气味；并易招引蚊蝇、鼠狗之类栖息、形成病菌类产生和传播的温床；这不仅直接损害了厂区内的环境卫生，而产生的臭气和诱发的蚊蝇滋生则会对附近居民生活区，甚至对院区造成很大的影响；为此，厂内应配备足够的垃圾桶和加强管理，对生活垃圾尽量做到日产日清，保证厂区范围内无腐烂垃圾堆放。</w:t>
            </w:r>
          </w:p>
          <w:p w14:paraId="3969C54B">
            <w:pPr>
              <w:tabs>
                <w:tab w:val="left" w:pos="4860"/>
              </w:tabs>
              <w:spacing w:line="360" w:lineRule="auto"/>
              <w:ind w:firstLine="480" w:firstLineChars="200"/>
              <w:rPr>
                <w:sz w:val="24"/>
              </w:rPr>
            </w:pPr>
            <w:r>
              <w:rPr>
                <w:rFonts w:hint="eastAsia" w:ascii="宋体" w:hAnsi="宋体" w:cs="宋体"/>
                <w:sz w:val="24"/>
              </w:rPr>
              <w:t>②</w:t>
            </w:r>
            <w:r>
              <w:rPr>
                <w:sz w:val="24"/>
              </w:rPr>
              <w:t>一般工业固废</w:t>
            </w:r>
          </w:p>
          <w:p w14:paraId="1D7079CE">
            <w:pPr>
              <w:spacing w:line="360" w:lineRule="auto"/>
              <w:ind w:firstLine="480" w:firstLineChars="200"/>
              <w:rPr>
                <w:sz w:val="24"/>
              </w:rPr>
            </w:pPr>
            <w:r>
              <w:rPr>
                <w:rFonts w:hint="eastAsia"/>
                <w:sz w:val="24"/>
              </w:rPr>
              <w:t>根据《排污许可证申请与核发技术规范工业固体废物（试行）》（HJ 1200-2021）要求，排污单位委托他人运输、利用、处置一般工业固体废物的，应落实</w:t>
            </w:r>
            <w:r>
              <w:rPr>
                <w:sz w:val="24"/>
              </w:rPr>
              <w:t>《中华人民共和国固体废物污染环境防治法》</w:t>
            </w:r>
            <w:r>
              <w:rPr>
                <w:rFonts w:hint="eastAsia"/>
                <w:sz w:val="24"/>
              </w:rPr>
              <w:t>等法律法规要求，对受托方的主体资格和技术能力进行核实，依法签订书面合同，在合同中约定污染防治要求等；采用库房、包装工具（罐、桶、包装袋等）贮存一般工业固体废物的，贮存过程应满足相应防渗漏、防雨淋、防扬尘等环境保护要求；危险废物和生活垃圾不得进入一般工业固体废物贮存场及填埋场；不相容的一般工业固体废物应设置不同的分区进行贮存和填埋作业；贮存场、填埋场应设置清晰、完整的一般工业固体废物标志牌等；排污单位生产运营期间一般工业固体废物自行贮存/利用/处置设施的环境管理和相关设施运行维护要求还应符合GB 155622、GB 1899、GB 30485和HJ 2035等相关标准规范要求。</w:t>
            </w:r>
          </w:p>
          <w:p w14:paraId="3C8B5081">
            <w:pPr>
              <w:spacing w:line="360" w:lineRule="auto"/>
              <w:ind w:firstLine="480" w:firstLineChars="200"/>
              <w:rPr>
                <w:sz w:val="24"/>
              </w:rPr>
            </w:pPr>
            <w:r>
              <w:rPr>
                <w:sz w:val="24"/>
              </w:rPr>
              <w:t>根据《一般工业固体废物贮存和填埋污染控制标准》（GB18599-2020），一般固废暂存间可采用改性压实粘土类衬层或具有同等以上隔水效力的其他材料防渗衬层，其防渗性能应至少相当于渗透系数为1.0×10</w:t>
            </w:r>
            <w:r>
              <w:rPr>
                <w:sz w:val="24"/>
                <w:vertAlign w:val="superscript"/>
              </w:rPr>
              <w:t>-5</w:t>
            </w:r>
            <w:r>
              <w:rPr>
                <w:sz w:val="24"/>
              </w:rPr>
              <w:t>cm/s且厚度为0.75m的</w:t>
            </w:r>
            <w:r>
              <w:rPr>
                <w:rFonts w:hint="eastAsia"/>
                <w:sz w:val="24"/>
              </w:rPr>
              <w:t>天然</w:t>
            </w:r>
            <w:r>
              <w:rPr>
                <w:sz w:val="24"/>
              </w:rPr>
              <w:t>基础层。</w:t>
            </w:r>
          </w:p>
          <w:p w14:paraId="5B7DA823">
            <w:pPr>
              <w:spacing w:line="360" w:lineRule="auto"/>
              <w:ind w:firstLine="480" w:firstLineChars="200"/>
              <w:rPr>
                <w:sz w:val="24"/>
              </w:rPr>
            </w:pPr>
            <w:r>
              <w:rPr>
                <w:rFonts w:hint="eastAsia"/>
                <w:sz w:val="24"/>
              </w:rPr>
              <w:t>③</w:t>
            </w:r>
            <w:r>
              <w:rPr>
                <w:sz w:val="24"/>
              </w:rPr>
              <w:t>危险废物</w:t>
            </w:r>
          </w:p>
          <w:p w14:paraId="4634500F">
            <w:pPr>
              <w:tabs>
                <w:tab w:val="left" w:pos="4860"/>
              </w:tabs>
              <w:spacing w:line="360" w:lineRule="auto"/>
              <w:ind w:firstLine="480" w:firstLineChars="200"/>
              <w:rPr>
                <w:sz w:val="24"/>
              </w:rPr>
            </w:pPr>
            <w:r>
              <w:rPr>
                <w:sz w:val="24"/>
              </w:rPr>
              <w:t>危险废物的临时贮存、转移、处置须满足《危险废物贮存污染控制标准》（GB18597-20</w:t>
            </w:r>
            <w:r>
              <w:rPr>
                <w:rFonts w:hint="eastAsia"/>
                <w:sz w:val="24"/>
              </w:rPr>
              <w:t>23</w:t>
            </w:r>
            <w:r>
              <w:rPr>
                <w:sz w:val="24"/>
              </w:rPr>
              <w:t>）和</w:t>
            </w:r>
            <w:r>
              <w:rPr>
                <w:bCs/>
                <w:sz w:val="24"/>
              </w:rPr>
              <w:t>《排污许可证申请与核发技术规范工业固体废物（试行）》（HJ 1200-2021）</w:t>
            </w:r>
            <w:r>
              <w:rPr>
                <w:sz w:val="24"/>
              </w:rPr>
              <w:t>中要求：</w:t>
            </w:r>
          </w:p>
          <w:p w14:paraId="40D0C321">
            <w:pPr>
              <w:tabs>
                <w:tab w:val="left" w:pos="4860"/>
              </w:tabs>
              <w:spacing w:line="360" w:lineRule="auto"/>
              <w:ind w:firstLine="480" w:firstLineChars="200"/>
              <w:rPr>
                <w:sz w:val="24"/>
              </w:rPr>
            </w:pPr>
            <w:r>
              <w:rPr>
                <w:rFonts w:hint="eastAsia"/>
                <w:sz w:val="24"/>
              </w:rPr>
              <w:t>A、根据</w:t>
            </w:r>
            <w:r>
              <w:rPr>
                <w:sz w:val="24"/>
              </w:rPr>
              <w:t>《危险废物贮存污染控制标准》（GB18597-20</w:t>
            </w:r>
            <w:r>
              <w:rPr>
                <w:rFonts w:hint="eastAsia"/>
                <w:sz w:val="24"/>
              </w:rPr>
              <w:t>23</w:t>
            </w:r>
            <w:r>
              <w:rPr>
                <w:sz w:val="24"/>
              </w:rPr>
              <w:t>）</w:t>
            </w:r>
            <w:r>
              <w:rPr>
                <w:rFonts w:hint="eastAsia"/>
                <w:sz w:val="24"/>
              </w:rPr>
              <w:t xml:space="preserve">“6 </w:t>
            </w:r>
            <w:r>
              <w:rPr>
                <w:rFonts w:ascii="宋体" w:hAnsi="宋体" w:cs="宋体"/>
                <w:sz w:val="24"/>
              </w:rPr>
              <w:t>贮存设施污染控制要求</w:t>
            </w:r>
            <w:r>
              <w:rPr>
                <w:rFonts w:hint="eastAsia"/>
                <w:sz w:val="24"/>
              </w:rPr>
              <w:t>”中“6.1 一般规定”，</w:t>
            </w:r>
            <w:r>
              <w:rPr>
                <w:sz w:val="24"/>
              </w:rPr>
              <w:t>危废暂存间</w:t>
            </w:r>
            <w:r>
              <w:rPr>
                <w:rFonts w:ascii="宋体" w:hAnsi="宋体" w:cs="宋体"/>
                <w:sz w:val="24"/>
              </w:rPr>
              <w:t>应根据危险废物的形态、物理化学性质、包装形式和污染物迁移途径，采取必要的防风、防晒、防雨、防漏、防渗、防腐以及其他环境污染防治措施，不应露天堆放危险废物</w:t>
            </w:r>
            <w:r>
              <w:rPr>
                <w:rFonts w:hint="eastAsia" w:ascii="宋体" w:hAnsi="宋体" w:cs="宋体"/>
                <w:sz w:val="24"/>
              </w:rPr>
              <w:t>；</w:t>
            </w:r>
            <w:r>
              <w:rPr>
                <w:rFonts w:ascii="宋体" w:hAnsi="宋体" w:cs="宋体"/>
                <w:sz w:val="24"/>
              </w:rPr>
              <w:t>应根据危险废物的类别、数量、形态、物理化学性质和污染防治等要求设置必要的贮存分区，避免不相容的危险废物接触、混合</w:t>
            </w:r>
            <w:r>
              <w:rPr>
                <w:rFonts w:hint="eastAsia" w:ascii="宋体" w:hAnsi="宋体" w:cs="宋体"/>
                <w:sz w:val="24"/>
              </w:rPr>
              <w:t>；</w:t>
            </w:r>
            <w:r>
              <w:rPr>
                <w:rFonts w:ascii="宋体" w:hAnsi="宋体" w:cs="宋体"/>
                <w:sz w:val="24"/>
              </w:rPr>
              <w:t>贮存设施或贮存分区内地面、墙面裙脚、堵截泄漏的围堰、接触危险废物的隔板和墙体等应采用坚固的材料建造，表面无裂缝</w:t>
            </w:r>
            <w:r>
              <w:rPr>
                <w:rFonts w:hint="eastAsia" w:ascii="宋体" w:hAnsi="宋体" w:cs="宋体"/>
                <w:sz w:val="24"/>
              </w:rPr>
              <w:t>；</w:t>
            </w:r>
            <w:r>
              <w:rPr>
                <w:rFonts w:ascii="宋体" w:hAnsi="宋体" w:cs="宋体"/>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sz w:val="24"/>
              </w:rPr>
              <w:t>1m</w:t>
            </w:r>
            <w:r>
              <w:rPr>
                <w:rFonts w:ascii="宋体" w:hAnsi="宋体" w:cs="宋体"/>
                <w:sz w:val="24"/>
              </w:rPr>
              <w:t>厚黏土层（渗透系数不大于</w:t>
            </w:r>
            <w:r>
              <w:rPr>
                <w:sz w:val="24"/>
              </w:rPr>
              <w:t>10</w:t>
            </w:r>
            <w:r>
              <w:rPr>
                <w:sz w:val="24"/>
                <w:vertAlign w:val="superscript"/>
              </w:rPr>
              <w:t>-7</w:t>
            </w:r>
            <w:r>
              <w:rPr>
                <w:sz w:val="24"/>
              </w:rPr>
              <w:t>cm/s</w:t>
            </w:r>
            <w:r>
              <w:rPr>
                <w:rFonts w:ascii="宋体" w:hAnsi="宋体" w:cs="宋体"/>
                <w:sz w:val="24"/>
              </w:rPr>
              <w:t>），或至少</w:t>
            </w:r>
            <w:r>
              <w:rPr>
                <w:sz w:val="24"/>
              </w:rPr>
              <w:t>2mm</w:t>
            </w:r>
            <w:r>
              <w:rPr>
                <w:rFonts w:ascii="宋体" w:hAnsi="宋体" w:cs="宋体"/>
                <w:sz w:val="24"/>
              </w:rPr>
              <w:t>厚高密度聚乙烯膜等人工防渗材料（渗透系数不大于</w:t>
            </w:r>
            <w:r>
              <w:rPr>
                <w:sz w:val="24"/>
              </w:rPr>
              <w:t>10</w:t>
            </w:r>
            <w:r>
              <w:rPr>
                <w:sz w:val="24"/>
                <w:vertAlign w:val="superscript"/>
              </w:rPr>
              <w:t>-10</w:t>
            </w:r>
            <w:r>
              <w:rPr>
                <w:sz w:val="24"/>
              </w:rPr>
              <w:t>cm/s</w:t>
            </w:r>
            <w:r>
              <w:rPr>
                <w:rFonts w:ascii="宋体" w:hAnsi="宋体" w:cs="宋体"/>
                <w:sz w:val="24"/>
              </w:rPr>
              <w:t>），或其他防渗性能等效的材料</w:t>
            </w:r>
            <w:r>
              <w:rPr>
                <w:rFonts w:hint="eastAsia" w:ascii="宋体" w:hAnsi="宋体" w:cs="宋体"/>
                <w:sz w:val="24"/>
              </w:rPr>
              <w:t>；</w:t>
            </w:r>
            <w:r>
              <w:rPr>
                <w:rFonts w:ascii="宋体" w:hAnsi="宋体" w:cs="宋体"/>
                <w:sz w:val="24"/>
              </w:rPr>
              <w:t>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ascii="宋体" w:hAnsi="宋体" w:cs="宋体"/>
                <w:sz w:val="24"/>
              </w:rPr>
              <w:t>；</w:t>
            </w:r>
            <w:r>
              <w:rPr>
                <w:rFonts w:ascii="宋体" w:hAnsi="宋体" w:cs="宋体"/>
                <w:sz w:val="24"/>
              </w:rPr>
              <w:t>贮存设施应采取技术和管理措施防止无关人员进入</w:t>
            </w:r>
            <w:r>
              <w:rPr>
                <w:rFonts w:hint="eastAsia" w:ascii="宋体" w:hAnsi="宋体" w:cs="宋体"/>
                <w:sz w:val="24"/>
              </w:rPr>
              <w:t>。</w:t>
            </w:r>
          </w:p>
          <w:p w14:paraId="75F52821">
            <w:pPr>
              <w:tabs>
                <w:tab w:val="left" w:pos="4860"/>
              </w:tabs>
              <w:spacing w:line="360" w:lineRule="auto"/>
              <w:ind w:firstLine="480"/>
              <w:rPr>
                <w:sz w:val="24"/>
              </w:rPr>
            </w:pPr>
            <w:r>
              <w:rPr>
                <w:sz w:val="24"/>
              </w:rPr>
              <w:t>B、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该部分内容由建设单位与接收单位共同协作完成。</w:t>
            </w:r>
          </w:p>
          <w:p w14:paraId="5AC26338">
            <w:pPr>
              <w:tabs>
                <w:tab w:val="left" w:pos="4860"/>
              </w:tabs>
              <w:spacing w:line="360" w:lineRule="auto"/>
              <w:ind w:firstLine="480"/>
              <w:rPr>
                <w:sz w:val="24"/>
              </w:rPr>
            </w:pPr>
            <w:r>
              <w:rPr>
                <w:sz w:val="24"/>
              </w:rPr>
              <w:t>C、危废的转移执行国家环保总局第5号令《危险废物转移联单管理办法》，在日常管理中，应设置专人加强对危废暂存间的管理，出现问题及时解决，避免形成二次污染，对工作人员应进行专业培训，熟知各项固废知识。</w:t>
            </w:r>
          </w:p>
          <w:p w14:paraId="6A8FDD6C">
            <w:pPr>
              <w:spacing w:line="360" w:lineRule="auto"/>
              <w:ind w:firstLine="480" w:firstLineChars="200"/>
              <w:rPr>
                <w:rFonts w:hint="eastAsia"/>
                <w:sz w:val="24"/>
              </w:rPr>
            </w:pPr>
            <w:r>
              <w:rPr>
                <w:sz w:val="24"/>
              </w:rPr>
              <w:t>D、据《危险废物贮存污染控制标准》</w:t>
            </w:r>
            <w:r>
              <w:rPr>
                <w:rFonts w:hint="eastAsia"/>
                <w:sz w:val="24"/>
              </w:rPr>
              <w:t>（</w:t>
            </w:r>
            <w:r>
              <w:rPr>
                <w:sz w:val="24"/>
              </w:rPr>
              <w:t>GB18597-20</w:t>
            </w:r>
            <w:r>
              <w:rPr>
                <w:rFonts w:hint="eastAsia"/>
                <w:sz w:val="24"/>
              </w:rPr>
              <w:t>23）中“7 容器和包装物</w:t>
            </w:r>
            <w:r>
              <w:rPr>
                <w:rFonts w:ascii="宋体" w:hAnsi="宋体" w:cs="宋体"/>
                <w:sz w:val="24"/>
              </w:rPr>
              <w:t>污染控制要求</w:t>
            </w:r>
            <w:r>
              <w:rPr>
                <w:rFonts w:hint="eastAsia"/>
                <w:sz w:val="24"/>
              </w:rPr>
              <w:t>”</w:t>
            </w:r>
            <w:r>
              <w:rPr>
                <w:sz w:val="24"/>
              </w:rPr>
              <w:t>：</w:t>
            </w:r>
            <w:r>
              <w:rPr>
                <w:rFonts w:hint="eastAsia"/>
                <w:sz w:val="24"/>
              </w:rPr>
              <w:t>①</w:t>
            </w:r>
            <w:r>
              <w:rPr>
                <w:rFonts w:ascii="宋体" w:hAnsi="宋体" w:cs="宋体"/>
                <w:sz w:val="24"/>
              </w:rPr>
              <w:t>容器和包装物材质、内衬应与盛装的危险废物相容；</w:t>
            </w:r>
            <w:r>
              <w:rPr>
                <w:rFonts w:hint="eastAsia" w:ascii="宋体" w:hAnsi="宋体" w:cs="宋体"/>
                <w:sz w:val="24"/>
              </w:rPr>
              <w:t>②</w:t>
            </w:r>
            <w:r>
              <w:rPr>
                <w:rFonts w:ascii="宋体" w:hAnsi="宋体" w:cs="宋体"/>
                <w:sz w:val="24"/>
              </w:rPr>
              <w:t>针对不同类别、形态、物理化学性质的危险废物，其容器和包装物应满足相应的防渗、防漏、防腐和强度等要求；</w:t>
            </w:r>
            <w:r>
              <w:rPr>
                <w:rFonts w:hint="eastAsia" w:ascii="宋体" w:hAnsi="宋体" w:cs="宋体"/>
                <w:sz w:val="24"/>
              </w:rPr>
              <w:t>③</w:t>
            </w:r>
            <w:r>
              <w:rPr>
                <w:rFonts w:ascii="宋体" w:hAnsi="宋体" w:cs="宋体"/>
                <w:sz w:val="24"/>
              </w:rPr>
              <w:t>硬质容器和包装物及其支护结构堆叠码放时不应有明显变形，无破损泄漏；</w:t>
            </w:r>
            <w:r>
              <w:rPr>
                <w:rFonts w:hint="eastAsia" w:ascii="宋体" w:hAnsi="宋体" w:cs="宋体"/>
                <w:sz w:val="24"/>
              </w:rPr>
              <w:t>④</w:t>
            </w:r>
            <w:r>
              <w:rPr>
                <w:rFonts w:ascii="宋体" w:hAnsi="宋体" w:cs="宋体"/>
                <w:sz w:val="24"/>
              </w:rPr>
              <w:t>柔性容器和包装物堆叠码放时应封口严密，无破损泄漏；</w:t>
            </w:r>
            <w:r>
              <w:rPr>
                <w:rFonts w:hint="eastAsia" w:ascii="宋体" w:hAnsi="宋体" w:cs="宋体"/>
                <w:sz w:val="24"/>
              </w:rPr>
              <w:t>⑤</w:t>
            </w:r>
            <w:r>
              <w:rPr>
                <w:rFonts w:ascii="宋体" w:hAnsi="宋体" w:cs="宋体"/>
                <w:sz w:val="24"/>
              </w:rPr>
              <w:t>使用容器盛装液态、半固态危险废物时，容器内部应留有适当的空间，以适应因温度变化等可能引发的收缩和膨胀，防止其导致容器渗漏或永久变形；</w:t>
            </w:r>
            <w:r>
              <w:rPr>
                <w:rFonts w:hint="eastAsia" w:ascii="宋体" w:hAnsi="宋体" w:cs="宋体"/>
                <w:sz w:val="24"/>
              </w:rPr>
              <w:t>⑥</w:t>
            </w:r>
            <w:r>
              <w:rPr>
                <w:rFonts w:ascii="宋体" w:hAnsi="宋体" w:cs="宋体"/>
                <w:sz w:val="24"/>
              </w:rPr>
              <w:t>容器和包装物外表面应保持清洁</w:t>
            </w:r>
            <w:r>
              <w:rPr>
                <w:sz w:val="24"/>
              </w:rPr>
              <w:t>。</w:t>
            </w:r>
            <w:r>
              <w:rPr>
                <w:rStyle w:val="40"/>
                <w:rFonts w:hint="eastAsia"/>
                <w:kern w:val="0"/>
                <w:sz w:val="24"/>
              </w:rPr>
              <w:t>本次项目</w:t>
            </w:r>
            <w:r>
              <w:rPr>
                <w:rFonts w:hint="eastAsia"/>
                <w:sz w:val="24"/>
              </w:rPr>
              <w:t>危险废物主要有</w:t>
            </w:r>
            <w:r>
              <w:rPr>
                <w:rFonts w:hint="eastAsia"/>
                <w:color w:val="auto"/>
                <w:sz w:val="24"/>
                <w:szCs w:val="24"/>
                <w:lang w:val="en-US" w:eastAsia="zh-CN"/>
              </w:rPr>
              <w:t>废活性炭、废机油</w:t>
            </w:r>
            <w:r>
              <w:rPr>
                <w:rFonts w:hint="eastAsia" w:hAnsi="宋体"/>
                <w:sz w:val="24"/>
              </w:rPr>
              <w:t>；危险废物经专用的</w:t>
            </w:r>
            <w:r>
              <w:rPr>
                <w:rFonts w:hint="eastAsia" w:hAnsi="宋体"/>
                <w:sz w:val="24"/>
                <w:lang w:val="en-US" w:eastAsia="zh-CN"/>
              </w:rPr>
              <w:t>桶</w:t>
            </w:r>
            <w:r>
              <w:rPr>
                <w:rFonts w:hint="eastAsia" w:hAnsi="宋体"/>
                <w:sz w:val="24"/>
              </w:rPr>
              <w:t>密封包装。</w:t>
            </w:r>
          </w:p>
          <w:p w14:paraId="5443EF7C">
            <w:pPr>
              <w:spacing w:line="360" w:lineRule="auto"/>
              <w:ind w:firstLine="480" w:firstLineChars="200"/>
              <w:rPr>
                <w:sz w:val="24"/>
              </w:rPr>
            </w:pPr>
            <w:r>
              <w:rPr>
                <w:sz w:val="24"/>
              </w:rPr>
              <w:t>E、安全防护要求：危废的贮存场所</w:t>
            </w:r>
            <w:r>
              <w:rPr>
                <w:rFonts w:hint="eastAsia" w:ascii="宋体" w:hAnsi="宋体" w:cs="宋体"/>
                <w:sz w:val="24"/>
              </w:rPr>
              <w:t>须按</w:t>
            </w:r>
            <w:r>
              <w:rPr>
                <w:rFonts w:hint="eastAsia" w:ascii="宋体" w:hAnsi="宋体" w:cs="宋体"/>
                <w:kern w:val="0"/>
                <w:sz w:val="24"/>
              </w:rPr>
              <w:t>《环境保护图形标志》和</w:t>
            </w:r>
            <w:r>
              <w:rPr>
                <w:rFonts w:hint="eastAsia" w:ascii="宋体" w:hAnsi="宋体" w:cs="宋体"/>
                <w:sz w:val="24"/>
              </w:rPr>
              <w:t>《危险废物识别标志设置技术规范》（</w:t>
            </w:r>
            <w:r>
              <w:rPr>
                <w:sz w:val="24"/>
              </w:rPr>
              <w:t>HJ1276-2022</w:t>
            </w:r>
            <w:r>
              <w:rPr>
                <w:rFonts w:hint="eastAsia" w:ascii="宋体" w:hAnsi="宋体" w:cs="宋体"/>
                <w:sz w:val="24"/>
              </w:rPr>
              <w:t>）中</w:t>
            </w:r>
            <w:r>
              <w:rPr>
                <w:rFonts w:hint="eastAsia" w:ascii="宋体" w:hAnsi="宋体" w:cs="宋体"/>
                <w:kern w:val="0"/>
                <w:sz w:val="24"/>
              </w:rPr>
              <w:t>的相关规定</w:t>
            </w:r>
            <w:r>
              <w:rPr>
                <w:rFonts w:hint="eastAsia" w:ascii="宋体" w:hAnsi="宋体" w:cs="宋体"/>
                <w:sz w:val="24"/>
              </w:rPr>
              <w:t>设置明显警示标志和张贴标识；同时参照</w:t>
            </w:r>
            <w:r>
              <w:rPr>
                <w:rFonts w:hint="eastAsia"/>
                <w:sz w:val="24"/>
              </w:rPr>
              <w:t>《危险废物管理计划和管理台账制定技术导则》（HJ1259-2022）做好危废管理计划及管理台账记录</w:t>
            </w:r>
            <w:r>
              <w:rPr>
                <w:rFonts w:hint="eastAsia" w:ascii="宋体" w:hAnsi="宋体" w:cs="宋体"/>
                <w:sz w:val="24"/>
              </w:rPr>
              <w:t>。危险废物贮存设施周围应设置围墙或其他防护栅栏；危废的贮存场所</w:t>
            </w:r>
            <w:r>
              <w:rPr>
                <w:rFonts w:hint="eastAsia" w:ascii="宋体" w:hAnsi="宋体" w:cs="宋体"/>
                <w:kern w:val="0"/>
                <w:sz w:val="24"/>
              </w:rPr>
              <w:t>要有安全照明设施和观察窗口，</w:t>
            </w:r>
            <w:r>
              <w:rPr>
                <w:rFonts w:hint="eastAsia" w:ascii="宋体" w:hAnsi="宋体" w:cs="宋体"/>
                <w:sz w:val="24"/>
              </w:rPr>
              <w:t>并配有应急防护措施；</w:t>
            </w:r>
            <w:r>
              <w:rPr>
                <w:sz w:val="24"/>
              </w:rPr>
              <w:t>贮存场所内禁止混放不相容危险废物，分开放置并设置隔断；危险废物贮存设施内清理出来的泄漏物，一律按危险废物处理；严禁露天堆放，避免风吹日晒和雨淋而造成污危险废物中。</w:t>
            </w:r>
          </w:p>
          <w:p w14:paraId="3CFD6946">
            <w:pPr>
              <w:spacing w:line="360" w:lineRule="auto"/>
              <w:ind w:firstLine="480" w:firstLineChars="200"/>
              <w:rPr>
                <w:sz w:val="24"/>
              </w:rPr>
            </w:pPr>
            <w:r>
              <w:rPr>
                <w:sz w:val="24"/>
              </w:rPr>
              <w:t>F、危险废物的转移、处置要求：严格按照环发</w:t>
            </w:r>
            <w:r>
              <w:rPr>
                <w:rFonts w:hint="eastAsia"/>
                <w:sz w:val="24"/>
                <w:lang w:val="en-US" w:eastAsia="zh-CN"/>
              </w:rPr>
              <w:t>[</w:t>
            </w:r>
            <w:r>
              <w:rPr>
                <w:sz w:val="24"/>
              </w:rPr>
              <w:t>2001</w:t>
            </w:r>
            <w:r>
              <w:rPr>
                <w:rFonts w:hint="eastAsia"/>
                <w:sz w:val="24"/>
                <w:lang w:val="en-US" w:eastAsia="zh-CN"/>
              </w:rPr>
              <w:t>]</w:t>
            </w:r>
            <w:r>
              <w:rPr>
                <w:sz w:val="24"/>
              </w:rPr>
              <w:t>199号《危险废物污染防治技术政策》要求进行，要点如下：</w:t>
            </w:r>
            <w:r>
              <w:rPr>
                <w:rFonts w:hint="eastAsia" w:ascii="宋体" w:hAnsi="宋体" w:eastAsia="宋体" w:cs="宋体"/>
                <w:sz w:val="24"/>
              </w:rPr>
              <w:t>①</w:t>
            </w:r>
            <w:r>
              <w:rPr>
                <w:sz w:val="24"/>
              </w:rPr>
              <w:t>对已经产生的危险废物，必须按照国家有关规定申报登记，交出持有危险废物经营许可证的单位收集、运输、处理处置；</w:t>
            </w:r>
            <w:r>
              <w:rPr>
                <w:rFonts w:hint="eastAsia" w:ascii="宋体" w:hAnsi="宋体" w:eastAsia="宋体" w:cs="宋体"/>
                <w:sz w:val="24"/>
              </w:rPr>
              <w:t>②</w:t>
            </w:r>
            <w:r>
              <w:rPr>
                <w:sz w:val="24"/>
              </w:rPr>
              <w:t>危险废物的国内转移应遵从《危险废物转移联单管理办法》及其它有关规定的要求；</w:t>
            </w:r>
            <w:r>
              <w:rPr>
                <w:rFonts w:hint="eastAsia" w:ascii="宋体" w:hAnsi="宋体" w:eastAsia="宋体" w:cs="宋体"/>
                <w:sz w:val="24"/>
              </w:rPr>
              <w:t>③</w:t>
            </w:r>
            <w:r>
              <w:rPr>
                <w:sz w:val="24"/>
              </w:rPr>
              <w:t>各级环境保护行政主管部门应按照国家和地方制定的危险废物转移管理办发对危险废物的流向进行有效控制，禁止在转移过程中将危险废物排放至环境中；</w:t>
            </w:r>
            <w:r>
              <w:rPr>
                <w:rFonts w:hint="eastAsia" w:ascii="宋体" w:hAnsi="宋体" w:eastAsia="宋体" w:cs="宋体"/>
                <w:sz w:val="24"/>
              </w:rPr>
              <w:t>④</w:t>
            </w:r>
            <w:r>
              <w:rPr>
                <w:sz w:val="24"/>
              </w:rPr>
              <w:t>对于该项目危险固废在运输途中，应做到以下几点：危险废物的运输车辆须经主管单位检查，并持有有关单位签发的许可证，负责运输的司机应通过培训，持有证明文件；承载危险废物的车辆须有明显的标志或适当的危险符号，以引起注意；载有危险废物的车辆在公路上行驶时，需持有运输许可证，其上应注明废物来源、性质和运往地点，必要时须有专门单位人员负责押运；组织危险废物的运输单位，在事先需作出周密的运输计划和行驶路线，其中包括有效的废物泄露情况下的应急措施。</w:t>
            </w:r>
          </w:p>
          <w:p w14:paraId="18B71DC3">
            <w:pPr>
              <w:spacing w:line="360" w:lineRule="auto"/>
              <w:ind w:firstLine="480" w:firstLineChars="200"/>
            </w:pPr>
            <w:r>
              <w:rPr>
                <w:sz w:val="24"/>
              </w:rPr>
              <w:t>G、据</w:t>
            </w:r>
            <w:r>
              <w:rPr>
                <w:bCs/>
                <w:sz w:val="24"/>
              </w:rPr>
              <w:t>《排污许可证申请与核发技术规范工业固体废物（试行）》（HJ 1200-2021）中5.2 危险废物污染防控技术要求：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泄露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w:t>
            </w:r>
          </w:p>
          <w:p w14:paraId="7C65D3A2">
            <w:pPr>
              <w:spacing w:line="360" w:lineRule="auto"/>
              <w:ind w:firstLine="480" w:firstLineChars="200"/>
              <w:rPr>
                <w:sz w:val="24"/>
              </w:rPr>
            </w:pPr>
            <w:r>
              <w:rPr>
                <w:sz w:val="24"/>
              </w:rPr>
              <w:t>本评价要求</w:t>
            </w:r>
            <w:r>
              <w:rPr>
                <w:rFonts w:hint="eastAsia"/>
                <w:color w:val="auto"/>
                <w:sz w:val="24"/>
              </w:rPr>
              <w:t>在厂房</w:t>
            </w:r>
            <w:r>
              <w:rPr>
                <w:rFonts w:hint="eastAsia"/>
                <w:color w:val="auto"/>
                <w:sz w:val="24"/>
                <w:lang w:val="en-US" w:eastAsia="zh-CN"/>
              </w:rPr>
              <w:t>外北</w:t>
            </w:r>
            <w:r>
              <w:rPr>
                <w:rFonts w:hint="eastAsia"/>
                <w:sz w:val="24"/>
                <w:lang w:val="en-US" w:eastAsia="zh-CN"/>
              </w:rPr>
              <w:t>侧</w:t>
            </w:r>
            <w:r>
              <w:rPr>
                <w:sz w:val="24"/>
              </w:rPr>
              <w:t>，设置1</w:t>
            </w:r>
            <w:r>
              <w:rPr>
                <w:rFonts w:hint="eastAsia"/>
                <w:sz w:val="24"/>
                <w:lang w:eastAsia="zh-CN"/>
              </w:rPr>
              <w:t>个</w:t>
            </w:r>
            <w:r>
              <w:rPr>
                <w:rFonts w:hint="eastAsia"/>
                <w:sz w:val="24"/>
                <w:lang w:val="en-US" w:eastAsia="zh-CN"/>
              </w:rPr>
              <w:t>15</w:t>
            </w:r>
            <w:r>
              <w:rPr>
                <w:sz w:val="24"/>
              </w:rPr>
              <w:t>m</w:t>
            </w:r>
            <w:r>
              <w:rPr>
                <w:sz w:val="24"/>
                <w:vertAlign w:val="superscript"/>
              </w:rPr>
              <w:t>2</w:t>
            </w:r>
            <w:r>
              <w:rPr>
                <w:rFonts w:hint="eastAsia"/>
                <w:sz w:val="24"/>
              </w:rPr>
              <w:t>危废暂存间</w:t>
            </w:r>
            <w:r>
              <w:rPr>
                <w:sz w:val="24"/>
              </w:rPr>
              <w:t>，并进行</w:t>
            </w:r>
            <w:r>
              <w:rPr>
                <w:rFonts w:hint="eastAsia"/>
                <w:sz w:val="24"/>
              </w:rPr>
              <w:t>重点</w:t>
            </w:r>
            <w:r>
              <w:rPr>
                <w:sz w:val="24"/>
              </w:rPr>
              <w:t>防渗处理</w:t>
            </w:r>
            <w:r>
              <w:rPr>
                <w:rFonts w:hint="eastAsia"/>
                <w:sz w:val="24"/>
              </w:rPr>
              <w:t>。</w:t>
            </w:r>
          </w:p>
          <w:p w14:paraId="11A83701">
            <w:pPr>
              <w:spacing w:line="360" w:lineRule="auto"/>
              <w:ind w:firstLine="480" w:firstLineChars="200"/>
              <w:rPr>
                <w:sz w:val="24"/>
              </w:rPr>
            </w:pPr>
            <w:r>
              <w:rPr>
                <w:sz w:val="24"/>
              </w:rPr>
              <w:t>综上所述，拟建项目产生的固废经分类收集、分类妥善处理、处置后，可以实现零排放，对周围环境及人体不会造成影响，亦不会对环境产生二次污染，所采取的处置措施是可行的。</w:t>
            </w:r>
          </w:p>
          <w:p w14:paraId="75453234">
            <w:pPr>
              <w:spacing w:line="360" w:lineRule="auto"/>
              <w:rPr>
                <w:b/>
                <w:sz w:val="24"/>
              </w:rPr>
            </w:pPr>
            <w:r>
              <w:rPr>
                <w:b/>
                <w:sz w:val="24"/>
              </w:rPr>
              <w:t>4.5地下水、土壤环境影响和保护措施</w:t>
            </w:r>
          </w:p>
          <w:p w14:paraId="379C5ACC">
            <w:pPr>
              <w:numPr>
                <w:ilvl w:val="0"/>
                <w:numId w:val="18"/>
              </w:numPr>
              <w:spacing w:line="360" w:lineRule="auto"/>
              <w:ind w:firstLine="480"/>
              <w:rPr>
                <w:rFonts w:hint="eastAsia" w:ascii="宋体" w:hAnsi="宋体" w:cs="宋体"/>
                <w:b/>
                <w:bCs/>
                <w:color w:val="000000"/>
                <w:sz w:val="24"/>
                <w:lang w:val="en-US" w:eastAsia="zh-CN"/>
              </w:rPr>
            </w:pPr>
            <w:r>
              <w:rPr>
                <w:rFonts w:hint="eastAsia" w:ascii="宋体" w:hAnsi="宋体" w:cs="宋体"/>
                <w:b/>
                <w:bCs/>
                <w:color w:val="000000"/>
                <w:sz w:val="24"/>
                <w:lang w:val="en-US" w:eastAsia="zh-CN"/>
              </w:rPr>
              <w:t>地下水</w:t>
            </w:r>
          </w:p>
          <w:p w14:paraId="1C8E83BF">
            <w:pPr>
              <w:numPr>
                <w:ilvl w:val="0"/>
                <w:numId w:val="0"/>
              </w:numPr>
              <w:spacing w:line="360" w:lineRule="auto"/>
              <w:ind w:firstLine="480" w:firstLineChars="200"/>
              <w:rPr>
                <w:color w:val="000000"/>
                <w:sz w:val="24"/>
              </w:rPr>
            </w:pPr>
            <w:r>
              <w:rPr>
                <w:rFonts w:hint="eastAsia" w:ascii="宋体" w:hAnsi="宋体" w:cs="宋体"/>
                <w:color w:val="000000"/>
                <w:sz w:val="24"/>
              </w:rPr>
              <w:t>项目产生的无组织有机废气可能会扩散至厂区外，通过影响地表径流进而对地下水产生一定影响；同时项目危废间的各类危险废物泄漏时也会对地下水造成影响，因此应做好防渗工作。</w:t>
            </w:r>
          </w:p>
          <w:p w14:paraId="4F1B3270">
            <w:pPr>
              <w:spacing w:line="360" w:lineRule="auto"/>
              <w:ind w:firstLine="480"/>
              <w:rPr>
                <w:color w:val="000000"/>
                <w:sz w:val="24"/>
              </w:rPr>
            </w:pPr>
            <w:r>
              <w:rPr>
                <w:rFonts w:hint="eastAsia" w:ascii="宋体" w:hAnsi="宋体" w:cs="宋体"/>
                <w:color w:val="000000"/>
                <w:sz w:val="24"/>
              </w:rPr>
              <w:t>针对可能发生的地下水污染，项目营运期地下水污染防治措施将按照</w:t>
            </w:r>
            <w:r>
              <w:rPr>
                <w:rFonts w:hint="eastAsia" w:ascii="宋体" w:hAnsi="宋体" w:cs="宋体"/>
                <w:color w:val="000000"/>
                <w:sz w:val="24"/>
                <w:lang w:eastAsia="zh-CN"/>
              </w:rPr>
              <w:t>“</w:t>
            </w:r>
            <w:r>
              <w:rPr>
                <w:rFonts w:hint="eastAsia" w:ascii="宋体" w:hAnsi="宋体" w:cs="宋体"/>
                <w:color w:val="000000"/>
                <w:sz w:val="24"/>
              </w:rPr>
              <w:t>源头控制、分区防治、污染监控、应急响应</w:t>
            </w:r>
            <w:r>
              <w:rPr>
                <w:rFonts w:hint="eastAsia" w:ascii="宋体" w:hAnsi="宋体" w:cs="宋体"/>
                <w:color w:val="000000"/>
                <w:sz w:val="24"/>
                <w:lang w:eastAsia="zh-CN"/>
              </w:rPr>
              <w:t>”</w:t>
            </w:r>
            <w:r>
              <w:rPr>
                <w:rFonts w:hint="eastAsia" w:ascii="宋体" w:hAnsi="宋体" w:cs="宋体"/>
                <w:color w:val="000000"/>
                <w:sz w:val="24"/>
              </w:rPr>
              <w:t>相结合的原则，从污染物的产生、入渗、扩散、应急响应全方位进行防控。</w:t>
            </w:r>
          </w:p>
          <w:p w14:paraId="5C67D8C2">
            <w:pPr>
              <w:spacing w:line="360" w:lineRule="auto"/>
              <w:ind w:left="420" w:leftChars="200"/>
              <w:rPr>
                <w:color w:val="000000"/>
                <w:sz w:val="24"/>
              </w:rPr>
            </w:pPr>
            <w:r>
              <w:rPr>
                <w:rFonts w:hint="eastAsia" w:ascii="宋体" w:hAnsi="宋体" w:cs="宋体"/>
                <w:color w:val="000000"/>
                <w:sz w:val="24"/>
              </w:rPr>
              <w:t>①源头控制措施</w:t>
            </w:r>
          </w:p>
          <w:p w14:paraId="52F991A3">
            <w:pPr>
              <w:spacing w:line="360" w:lineRule="auto"/>
              <w:ind w:firstLine="480"/>
              <w:rPr>
                <w:color w:val="000000"/>
                <w:sz w:val="24"/>
              </w:rPr>
            </w:pPr>
            <w:r>
              <w:rPr>
                <w:rFonts w:hint="eastAsia" w:ascii="宋体" w:hAnsi="宋体" w:cs="宋体"/>
                <w:color w:val="000000"/>
                <w:sz w:val="24"/>
              </w:rPr>
              <w:t>项目要选择先进、成熟、可靠的工艺技术和较清洁的原辅材料，并对产生的废物进行合理的回用和治理，以尽可能从源头上减少污染物排放；严格按照国家相关规范要求，对生产装置和车间、管道设备、固废存放库和危险废物临时贮存设施等采取相应措施，以防止和降低污染物的跑、冒、滴、漏，将污染物泄漏的环境风险事故降到最低程度；设备和管线尽量采用</w:t>
            </w:r>
            <w:r>
              <w:rPr>
                <w:color w:val="000000"/>
                <w:sz w:val="24"/>
              </w:rPr>
              <w:t>“</w:t>
            </w:r>
            <w:r>
              <w:rPr>
                <w:rFonts w:hint="eastAsia" w:ascii="宋体" w:hAnsi="宋体" w:cs="宋体"/>
                <w:color w:val="000000"/>
                <w:sz w:val="24"/>
              </w:rPr>
              <w:t>可视化</w:t>
            </w:r>
            <w:r>
              <w:rPr>
                <w:color w:val="000000"/>
                <w:sz w:val="24"/>
              </w:rPr>
              <w:t>”</w:t>
            </w:r>
            <w:r>
              <w:rPr>
                <w:rFonts w:hint="eastAsia" w:ascii="宋体" w:hAnsi="宋体" w:cs="宋体"/>
                <w:color w:val="000000"/>
                <w:sz w:val="24"/>
              </w:rPr>
              <w:t>原则，即尽可能地上敷设和放置，做到污染物</w:t>
            </w:r>
            <w:r>
              <w:rPr>
                <w:color w:val="000000"/>
                <w:sz w:val="24"/>
              </w:rPr>
              <w:t>“</w:t>
            </w:r>
            <w:r>
              <w:rPr>
                <w:rFonts w:hint="eastAsia" w:ascii="宋体" w:hAnsi="宋体" w:cs="宋体"/>
                <w:color w:val="000000"/>
                <w:sz w:val="24"/>
              </w:rPr>
              <w:t>早发现、早处理</w:t>
            </w:r>
            <w:r>
              <w:rPr>
                <w:color w:val="000000"/>
                <w:sz w:val="24"/>
              </w:rPr>
              <w:t>”</w:t>
            </w:r>
            <w:r>
              <w:rPr>
                <w:rFonts w:hint="eastAsia" w:ascii="宋体" w:hAnsi="宋体" w:cs="宋体"/>
                <w:color w:val="000000"/>
                <w:sz w:val="24"/>
              </w:rPr>
              <w:t>；堆放各种原辅材料、固体废物的堆放场地按照国家相关规范要求，采取防泄漏措施，尤其是危险废物临时贮存设施必须按照国家关于危险废物储存处置场的要求，采取防泄漏、防雨水、防腐蚀等措施，严格危险废物的管理，及时将危险废物回收或有资质的危险废物处置单位进行处理处置，严防污染物泄漏到地下水中。原料仓库必须严格按照相关规范，加强管理，做好防泄漏、防雨水、防腐蚀、防火灾、防爆炸等措施。</w:t>
            </w:r>
          </w:p>
          <w:p w14:paraId="57C4BCE0">
            <w:pPr>
              <w:spacing w:line="360" w:lineRule="auto"/>
              <w:ind w:firstLine="480"/>
              <w:rPr>
                <w:color w:val="000000"/>
                <w:sz w:val="24"/>
              </w:rPr>
            </w:pPr>
            <w:r>
              <w:rPr>
                <w:rFonts w:hint="eastAsia" w:ascii="宋体" w:hAnsi="宋体" w:cs="宋体"/>
                <w:color w:val="000000"/>
                <w:sz w:val="24"/>
              </w:rPr>
              <w:t>②根据项目各功能单元是否可能对地下水造成污染及其风险程度，将项目所在区域划分为重点</w:t>
            </w:r>
            <w:r>
              <w:rPr>
                <w:rFonts w:hint="eastAsia" w:ascii="宋体" w:hAnsi="宋体" w:cs="宋体"/>
                <w:color w:val="000000"/>
                <w:sz w:val="24"/>
                <w:lang w:val="en-US" w:eastAsia="zh-CN"/>
              </w:rPr>
              <w:t>防渗</w:t>
            </w:r>
            <w:r>
              <w:rPr>
                <w:rFonts w:hint="eastAsia" w:ascii="宋体" w:hAnsi="宋体" w:cs="宋体"/>
                <w:color w:val="000000"/>
                <w:sz w:val="24"/>
              </w:rPr>
              <w:t>区、一般</w:t>
            </w:r>
            <w:r>
              <w:rPr>
                <w:rFonts w:hint="eastAsia" w:ascii="宋体" w:hAnsi="宋体" w:cs="宋体"/>
                <w:color w:val="000000"/>
                <w:sz w:val="24"/>
                <w:lang w:val="en-US" w:eastAsia="zh-CN"/>
              </w:rPr>
              <w:t>防渗</w:t>
            </w:r>
            <w:r>
              <w:rPr>
                <w:rFonts w:hint="eastAsia" w:ascii="宋体" w:hAnsi="宋体" w:cs="宋体"/>
                <w:color w:val="000000"/>
                <w:sz w:val="24"/>
              </w:rPr>
              <w:t>区和</w:t>
            </w:r>
            <w:r>
              <w:rPr>
                <w:rFonts w:hint="eastAsia" w:ascii="宋体" w:hAnsi="宋体" w:cs="宋体"/>
                <w:color w:val="000000"/>
                <w:sz w:val="24"/>
                <w:lang w:val="en-US" w:eastAsia="zh-CN"/>
              </w:rPr>
              <w:t>简单防渗区</w:t>
            </w:r>
            <w:r>
              <w:rPr>
                <w:rFonts w:hint="eastAsia" w:ascii="宋体" w:hAnsi="宋体" w:cs="宋体"/>
                <w:color w:val="000000"/>
                <w:sz w:val="24"/>
              </w:rPr>
              <w:t>。重点</w:t>
            </w:r>
            <w:r>
              <w:rPr>
                <w:rFonts w:hint="eastAsia" w:ascii="宋体" w:hAnsi="宋体" w:cs="宋体"/>
                <w:color w:val="000000"/>
                <w:sz w:val="24"/>
                <w:lang w:val="en-US" w:eastAsia="zh-CN"/>
              </w:rPr>
              <w:t>防渗</w:t>
            </w:r>
            <w:r>
              <w:rPr>
                <w:rFonts w:hint="eastAsia" w:ascii="宋体" w:hAnsi="宋体" w:cs="宋体"/>
                <w:color w:val="000000"/>
                <w:sz w:val="24"/>
              </w:rPr>
              <w:t>区是可能会对地下水造成污染，风险程度较高或污染物浓度较高，需要重点防治或者需要重点保护的区域，一般</w:t>
            </w:r>
            <w:r>
              <w:rPr>
                <w:rFonts w:hint="eastAsia" w:ascii="宋体" w:hAnsi="宋体" w:cs="宋体"/>
                <w:color w:val="000000"/>
                <w:sz w:val="24"/>
                <w:lang w:val="en-US" w:eastAsia="zh-CN"/>
              </w:rPr>
              <w:t>防渗</w:t>
            </w:r>
            <w:r>
              <w:rPr>
                <w:rFonts w:hint="eastAsia" w:ascii="宋体" w:hAnsi="宋体" w:cs="宋体"/>
                <w:color w:val="000000"/>
                <w:sz w:val="24"/>
              </w:rPr>
              <w:t>区是可能会对地下水造成污染，但危害性或风险程度相对较低的区域，</w:t>
            </w:r>
            <w:r>
              <w:rPr>
                <w:rFonts w:hint="eastAsia" w:ascii="宋体" w:hAnsi="宋体" w:cs="宋体"/>
                <w:color w:val="000000"/>
                <w:sz w:val="24"/>
                <w:lang w:val="en-US" w:eastAsia="zh-CN"/>
              </w:rPr>
              <w:t>简单防渗区</w:t>
            </w:r>
            <w:r>
              <w:rPr>
                <w:rFonts w:hint="eastAsia" w:ascii="宋体" w:hAnsi="宋体" w:cs="宋体"/>
                <w:color w:val="000000"/>
                <w:sz w:val="24"/>
              </w:rPr>
              <w:t>为不会对地下水造成污染的区域。</w:t>
            </w:r>
          </w:p>
          <w:p w14:paraId="529FC56A">
            <w:pPr>
              <w:spacing w:line="360" w:lineRule="auto"/>
              <w:ind w:firstLine="480"/>
              <w:rPr>
                <w:rFonts w:ascii="宋体" w:hAnsi="宋体" w:cs="宋体"/>
                <w:color w:val="000000"/>
                <w:sz w:val="24"/>
              </w:rPr>
            </w:pPr>
            <w:r>
              <w:rPr>
                <w:rFonts w:hint="eastAsia" w:ascii="宋体" w:hAnsi="宋体" w:cs="宋体"/>
                <w:color w:val="000000"/>
                <w:sz w:val="24"/>
              </w:rPr>
              <w:t>项目区域分区防渗类别以及防渗具体要求如下：</w:t>
            </w:r>
          </w:p>
          <w:p w14:paraId="25349CE4">
            <w:pPr>
              <w:spacing w:line="360" w:lineRule="auto"/>
              <w:ind w:firstLine="480"/>
              <w:rPr>
                <w:color w:val="000000"/>
                <w:sz w:val="24"/>
              </w:rPr>
            </w:pPr>
            <w:r>
              <w:rPr>
                <w:rFonts w:hint="eastAsia" w:ascii="宋体" w:hAnsi="宋体" w:cs="宋体"/>
                <w:color w:val="000000"/>
                <w:sz w:val="24"/>
              </w:rPr>
              <w:t>重点</w:t>
            </w:r>
            <w:r>
              <w:rPr>
                <w:rFonts w:hint="eastAsia" w:ascii="宋体" w:hAnsi="宋体" w:cs="宋体"/>
                <w:color w:val="000000"/>
                <w:sz w:val="24"/>
                <w:lang w:val="en-US" w:eastAsia="zh-CN"/>
              </w:rPr>
              <w:t>防渗</w:t>
            </w:r>
            <w:r>
              <w:rPr>
                <w:rFonts w:hint="eastAsia" w:ascii="宋体" w:hAnsi="宋体" w:cs="宋体"/>
                <w:color w:val="000000"/>
                <w:sz w:val="24"/>
              </w:rPr>
              <w:t>区</w:t>
            </w:r>
            <w:r>
              <w:rPr>
                <w:color w:val="000000"/>
                <w:sz w:val="24"/>
              </w:rPr>
              <w:t>，主要包括危废间</w:t>
            </w:r>
            <w:r>
              <w:rPr>
                <w:rFonts w:hint="eastAsia"/>
                <w:color w:val="000000"/>
                <w:sz w:val="24"/>
              </w:rPr>
              <w:t>、化粪池</w:t>
            </w:r>
            <w:r>
              <w:rPr>
                <w:color w:val="000000"/>
                <w:sz w:val="24"/>
              </w:rPr>
              <w:t>等，其效黏土防渗层Mb≥6.0m，K≤1×10</w:t>
            </w:r>
            <w:r>
              <w:rPr>
                <w:color w:val="000000"/>
                <w:sz w:val="24"/>
                <w:vertAlign w:val="superscript"/>
              </w:rPr>
              <w:t>-</w:t>
            </w:r>
            <w:r>
              <w:rPr>
                <w:rFonts w:hint="eastAsia"/>
                <w:color w:val="000000"/>
                <w:sz w:val="24"/>
                <w:vertAlign w:val="superscript"/>
                <w:lang w:val="en-US" w:eastAsia="zh-CN"/>
              </w:rPr>
              <w:t>10</w:t>
            </w:r>
            <w:r>
              <w:rPr>
                <w:color w:val="000000"/>
                <w:sz w:val="24"/>
              </w:rPr>
              <w:t>cm/s；一般防渗区，主要包括</w:t>
            </w:r>
            <w:r>
              <w:rPr>
                <w:rFonts w:hint="eastAsia"/>
                <w:color w:val="000000"/>
                <w:sz w:val="24"/>
                <w:lang w:val="en-US" w:eastAsia="zh-CN"/>
              </w:rPr>
              <w:t>熔融挤出、吹膜、热封</w:t>
            </w:r>
            <w:r>
              <w:rPr>
                <w:rFonts w:hint="eastAsia"/>
                <w:color w:val="000000"/>
                <w:sz w:val="24"/>
              </w:rPr>
              <w:t>区域以及其他生产区域</w:t>
            </w:r>
            <w:r>
              <w:rPr>
                <w:color w:val="000000"/>
                <w:sz w:val="24"/>
              </w:rPr>
              <w:t>等，其等效黏土防渗层Mb≥1.5m，K≤1×10</w:t>
            </w:r>
            <w:r>
              <w:rPr>
                <w:color w:val="000000"/>
                <w:sz w:val="24"/>
                <w:vertAlign w:val="superscript"/>
              </w:rPr>
              <w:t>-7</w:t>
            </w:r>
            <w:r>
              <w:rPr>
                <w:color w:val="000000"/>
                <w:sz w:val="24"/>
              </w:rPr>
              <w:t>cm/s；简单防渗区，主要包括</w:t>
            </w:r>
            <w:r>
              <w:rPr>
                <w:rFonts w:hint="eastAsia"/>
                <w:color w:val="000000"/>
                <w:sz w:val="24"/>
                <w:lang w:val="en-US" w:eastAsia="zh-CN"/>
              </w:rPr>
              <w:t>厂区道路</w:t>
            </w:r>
            <w:r>
              <w:rPr>
                <w:color w:val="000000"/>
                <w:sz w:val="24"/>
                <w:lang w:val="zh-CN"/>
              </w:rPr>
              <w:t>等，采取一般地面硬化的措施。</w:t>
            </w:r>
          </w:p>
          <w:p w14:paraId="4A9600F3">
            <w:pPr>
              <w:widowControl/>
              <w:numPr>
                <w:ilvl w:val="0"/>
                <w:numId w:val="13"/>
              </w:numPr>
              <w:tabs>
                <w:tab w:val="left" w:pos="420"/>
                <w:tab w:val="clear" w:pos="0"/>
              </w:tabs>
              <w:spacing w:line="360" w:lineRule="auto"/>
              <w:ind w:left="0" w:leftChars="0" w:firstLine="0" w:firstLineChars="0"/>
              <w:jc w:val="center"/>
              <w:rPr>
                <w:rFonts w:hint="default" w:ascii="Times New Roman" w:hAnsi="Times New Roman" w:eastAsia="宋体" w:cs="Times New Roman"/>
                <w:b/>
                <w:bCs/>
                <w:color w:val="000000"/>
                <w:sz w:val="24"/>
                <w:lang w:val="en-US" w:eastAsia="zh-CN"/>
              </w:rPr>
            </w:pPr>
            <w:r>
              <w:rPr>
                <w:rFonts w:hint="default" w:ascii="Times New Roman" w:hAnsi="Times New Roman" w:cs="Times New Roman"/>
                <w:b/>
                <w:bCs/>
                <w:color w:val="000000"/>
                <w:sz w:val="24"/>
                <w:lang w:val="en-US" w:eastAsia="zh-CN"/>
              </w:rPr>
              <w:t>厂区分区防渗一览表</w:t>
            </w:r>
          </w:p>
          <w:tbl>
            <w:tblPr>
              <w:tblStyle w:val="34"/>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3676"/>
              <w:gridCol w:w="3474"/>
            </w:tblGrid>
            <w:tr w14:paraId="40A3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89" w:type="dxa"/>
                  <w:noWrap w:val="0"/>
                  <w:vAlign w:val="center"/>
                </w:tcPr>
                <w:p w14:paraId="2ACDB6B0">
                  <w:pPr>
                    <w:jc w:val="center"/>
                    <w:rPr>
                      <w:szCs w:val="21"/>
                    </w:rPr>
                  </w:pPr>
                  <w:r>
                    <w:rPr>
                      <w:rFonts w:hint="eastAsia"/>
                      <w:szCs w:val="21"/>
                    </w:rPr>
                    <w:t>防渗分区</w:t>
                  </w:r>
                </w:p>
              </w:tc>
              <w:tc>
                <w:tcPr>
                  <w:tcW w:w="3676" w:type="dxa"/>
                  <w:noWrap w:val="0"/>
                  <w:vAlign w:val="center"/>
                </w:tcPr>
                <w:p w14:paraId="57FB9906">
                  <w:pPr>
                    <w:jc w:val="center"/>
                    <w:rPr>
                      <w:rFonts w:hint="eastAsia"/>
                      <w:szCs w:val="21"/>
                    </w:rPr>
                  </w:pPr>
                  <w:r>
                    <w:rPr>
                      <w:rFonts w:hint="eastAsia"/>
                      <w:szCs w:val="21"/>
                    </w:rPr>
                    <w:t>本项目</w:t>
                  </w:r>
                </w:p>
              </w:tc>
              <w:tc>
                <w:tcPr>
                  <w:tcW w:w="3474" w:type="dxa"/>
                  <w:noWrap w:val="0"/>
                  <w:vAlign w:val="center"/>
                </w:tcPr>
                <w:p w14:paraId="6BDE3A29">
                  <w:pPr>
                    <w:jc w:val="center"/>
                    <w:rPr>
                      <w:rFonts w:hint="eastAsia"/>
                      <w:szCs w:val="21"/>
                    </w:rPr>
                  </w:pPr>
                  <w:r>
                    <w:rPr>
                      <w:rFonts w:hint="eastAsia"/>
                    </w:rPr>
                    <w:t>防渗技术要求</w:t>
                  </w:r>
                </w:p>
              </w:tc>
            </w:tr>
            <w:tr w14:paraId="202E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89" w:type="dxa"/>
                  <w:noWrap w:val="0"/>
                  <w:vAlign w:val="center"/>
                </w:tcPr>
                <w:p w14:paraId="692175AF">
                  <w:pPr>
                    <w:jc w:val="center"/>
                    <w:rPr>
                      <w:szCs w:val="21"/>
                    </w:rPr>
                  </w:pPr>
                  <w:r>
                    <w:rPr>
                      <w:rFonts w:hint="eastAsia"/>
                      <w:szCs w:val="21"/>
                    </w:rPr>
                    <w:t>重点防渗</w:t>
                  </w:r>
                </w:p>
              </w:tc>
              <w:tc>
                <w:tcPr>
                  <w:tcW w:w="3676" w:type="dxa"/>
                  <w:noWrap w:val="0"/>
                  <w:vAlign w:val="center"/>
                </w:tcPr>
                <w:p w14:paraId="68F665BE">
                  <w:pPr>
                    <w:jc w:val="center"/>
                    <w:rPr>
                      <w:szCs w:val="21"/>
                    </w:rPr>
                  </w:pPr>
                  <w:r>
                    <w:rPr>
                      <w:szCs w:val="21"/>
                    </w:rPr>
                    <w:t>危废暂存间</w:t>
                  </w:r>
                  <w:r>
                    <w:rPr>
                      <w:rFonts w:hint="eastAsia"/>
                      <w:szCs w:val="21"/>
                    </w:rPr>
                    <w:t>、</w:t>
                  </w:r>
                  <w:r>
                    <w:rPr>
                      <w:rFonts w:hint="eastAsia"/>
                      <w:szCs w:val="21"/>
                      <w:lang w:val="en-US" w:eastAsia="zh-CN"/>
                    </w:rPr>
                    <w:t>化粪池</w:t>
                  </w:r>
                  <w:r>
                    <w:rPr>
                      <w:rFonts w:hint="eastAsia"/>
                      <w:bCs/>
                      <w:spacing w:val="-8"/>
                      <w:szCs w:val="21"/>
                    </w:rPr>
                    <w:t>等</w:t>
                  </w:r>
                </w:p>
              </w:tc>
              <w:tc>
                <w:tcPr>
                  <w:tcW w:w="3474" w:type="dxa"/>
                  <w:noWrap w:val="0"/>
                  <w:vAlign w:val="center"/>
                </w:tcPr>
                <w:p w14:paraId="31372BA3">
                  <w:pPr>
                    <w:jc w:val="center"/>
                    <w:rPr>
                      <w:rFonts w:hint="eastAsia"/>
                      <w:bCs/>
                      <w:spacing w:val="-8"/>
                      <w:szCs w:val="21"/>
                    </w:rPr>
                  </w:pPr>
                  <w:r>
                    <w:t>等效黏土防渗层Mb≥6.0m，K≤1.0×10</w:t>
                  </w:r>
                  <w:r>
                    <w:rPr>
                      <w:vertAlign w:val="superscript"/>
                    </w:rPr>
                    <w:t>-</w:t>
                  </w:r>
                  <w:r>
                    <w:rPr>
                      <w:rFonts w:hint="eastAsia"/>
                      <w:vertAlign w:val="superscript"/>
                      <w:lang w:val="en-US" w:eastAsia="zh-CN"/>
                    </w:rPr>
                    <w:t>10</w:t>
                  </w:r>
                  <w:r>
                    <w:t>cm/s；或参照GB18598执行</w:t>
                  </w:r>
                </w:p>
              </w:tc>
            </w:tr>
            <w:tr w14:paraId="03A3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589" w:type="dxa"/>
                  <w:noWrap w:val="0"/>
                  <w:vAlign w:val="center"/>
                </w:tcPr>
                <w:p w14:paraId="0A3E397B">
                  <w:pPr>
                    <w:jc w:val="center"/>
                    <w:rPr>
                      <w:szCs w:val="21"/>
                    </w:rPr>
                  </w:pPr>
                  <w:r>
                    <w:rPr>
                      <w:rFonts w:hint="eastAsia"/>
                      <w:szCs w:val="21"/>
                    </w:rPr>
                    <w:t>一般防渗</w:t>
                  </w:r>
                </w:p>
              </w:tc>
              <w:tc>
                <w:tcPr>
                  <w:tcW w:w="3676" w:type="dxa"/>
                  <w:noWrap w:val="0"/>
                  <w:vAlign w:val="center"/>
                </w:tcPr>
                <w:p w14:paraId="3349BE12">
                  <w:pPr>
                    <w:jc w:val="center"/>
                    <w:rPr>
                      <w:rFonts w:hint="eastAsia"/>
                      <w:color w:val="000000"/>
                      <w:sz w:val="21"/>
                      <w:szCs w:val="21"/>
                    </w:rPr>
                  </w:pPr>
                  <w:r>
                    <w:rPr>
                      <w:rFonts w:hint="eastAsia"/>
                      <w:color w:val="000000"/>
                      <w:sz w:val="21"/>
                      <w:szCs w:val="21"/>
                      <w:lang w:val="en-US" w:eastAsia="zh-CN"/>
                    </w:rPr>
                    <w:t>熔融挤出、织网</w:t>
                  </w:r>
                  <w:r>
                    <w:rPr>
                      <w:rFonts w:hint="eastAsia"/>
                      <w:color w:val="000000"/>
                      <w:sz w:val="21"/>
                      <w:szCs w:val="21"/>
                    </w:rPr>
                    <w:t>区域</w:t>
                  </w:r>
                </w:p>
                <w:p w14:paraId="4493FB9D">
                  <w:pPr>
                    <w:jc w:val="center"/>
                    <w:rPr>
                      <w:rFonts w:hint="eastAsia"/>
                      <w:szCs w:val="21"/>
                    </w:rPr>
                  </w:pPr>
                  <w:r>
                    <w:rPr>
                      <w:rFonts w:hint="eastAsia"/>
                      <w:color w:val="000000"/>
                      <w:sz w:val="21"/>
                      <w:szCs w:val="21"/>
                    </w:rPr>
                    <w:t>以及其他生产区域</w:t>
                  </w:r>
                  <w:r>
                    <w:rPr>
                      <w:rFonts w:hint="eastAsia"/>
                      <w:sz w:val="21"/>
                      <w:szCs w:val="21"/>
                    </w:rPr>
                    <w:t>等</w:t>
                  </w:r>
                </w:p>
              </w:tc>
              <w:tc>
                <w:tcPr>
                  <w:tcW w:w="3474" w:type="dxa"/>
                  <w:noWrap w:val="0"/>
                  <w:vAlign w:val="center"/>
                </w:tcPr>
                <w:p w14:paraId="31EF643D">
                  <w:pPr>
                    <w:jc w:val="center"/>
                    <w:rPr>
                      <w:rFonts w:hint="eastAsia"/>
                      <w:szCs w:val="21"/>
                    </w:rPr>
                  </w:pPr>
                  <w:r>
                    <w:t>等效黏土防渗层Mb≥1.5m，K≤1.0×10</w:t>
                  </w:r>
                  <w:r>
                    <w:rPr>
                      <w:vertAlign w:val="superscript"/>
                    </w:rPr>
                    <w:t>-7</w:t>
                  </w:r>
                  <w:r>
                    <w:t>cm/s；或参照GB16889执行</w:t>
                  </w:r>
                </w:p>
              </w:tc>
            </w:tr>
            <w:tr w14:paraId="0C45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1589" w:type="dxa"/>
                  <w:noWrap w:val="0"/>
                  <w:vAlign w:val="center"/>
                </w:tcPr>
                <w:p w14:paraId="5308D81A">
                  <w:pPr>
                    <w:jc w:val="center"/>
                    <w:rPr>
                      <w:szCs w:val="21"/>
                    </w:rPr>
                  </w:pPr>
                  <w:r>
                    <w:rPr>
                      <w:rFonts w:hint="eastAsia"/>
                      <w:szCs w:val="21"/>
                    </w:rPr>
                    <w:t>简单防渗</w:t>
                  </w:r>
                </w:p>
              </w:tc>
              <w:tc>
                <w:tcPr>
                  <w:tcW w:w="3676" w:type="dxa"/>
                  <w:noWrap w:val="0"/>
                  <w:vAlign w:val="center"/>
                </w:tcPr>
                <w:p w14:paraId="7C379399">
                  <w:pPr>
                    <w:jc w:val="center"/>
                    <w:rPr>
                      <w:szCs w:val="21"/>
                    </w:rPr>
                  </w:pPr>
                  <w:r>
                    <w:rPr>
                      <w:szCs w:val="21"/>
                    </w:rPr>
                    <w:t>厂区道路等</w:t>
                  </w:r>
                </w:p>
              </w:tc>
              <w:tc>
                <w:tcPr>
                  <w:tcW w:w="3474" w:type="dxa"/>
                  <w:noWrap w:val="0"/>
                  <w:vAlign w:val="center"/>
                </w:tcPr>
                <w:p w14:paraId="087253FD">
                  <w:pPr>
                    <w:jc w:val="center"/>
                    <w:rPr>
                      <w:rFonts w:hint="eastAsia"/>
                      <w:szCs w:val="21"/>
                    </w:rPr>
                  </w:pPr>
                  <w:r>
                    <w:t>混凝土硬化</w:t>
                  </w:r>
                </w:p>
              </w:tc>
            </w:tr>
          </w:tbl>
          <w:p w14:paraId="208564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000000"/>
              </w:rPr>
            </w:pPr>
            <w:r>
              <w:rPr>
                <w:rFonts w:hint="eastAsia" w:ascii="宋体" w:hAnsi="宋体" w:cs="宋体"/>
                <w:color w:val="000000"/>
                <w:sz w:val="24"/>
              </w:rPr>
              <w:t>综上所述，在采取上述处理措施后，项目对地下水造成的影响较小。</w:t>
            </w:r>
          </w:p>
          <w:p w14:paraId="192819C9">
            <w:pPr>
              <w:snapToGrid w:val="0"/>
              <w:spacing w:line="360" w:lineRule="auto"/>
              <w:ind w:firstLine="482" w:firstLineChars="200"/>
              <w:rPr>
                <w:b/>
                <w:bCs/>
                <w:color w:val="000000"/>
                <w:sz w:val="24"/>
              </w:rPr>
            </w:pPr>
            <w:r>
              <w:rPr>
                <w:b/>
                <w:bCs/>
                <w:color w:val="000000"/>
                <w:sz w:val="24"/>
              </w:rPr>
              <w:t>2</w:t>
            </w:r>
            <w:r>
              <w:rPr>
                <w:rFonts w:hint="eastAsia" w:ascii="宋体" w:hAnsi="宋体" w:cs="宋体"/>
                <w:b/>
                <w:bCs/>
                <w:color w:val="000000"/>
                <w:sz w:val="24"/>
              </w:rPr>
              <w:t>、土壤</w:t>
            </w:r>
          </w:p>
          <w:p w14:paraId="68DCF082">
            <w:pPr>
              <w:autoSpaceDE w:val="0"/>
              <w:autoSpaceDN w:val="0"/>
              <w:adjustRightInd w:val="0"/>
              <w:spacing w:line="360" w:lineRule="auto"/>
              <w:ind w:firstLine="480" w:firstLineChars="200"/>
              <w:jc w:val="left"/>
              <w:rPr>
                <w:color w:val="000000"/>
                <w:kern w:val="0"/>
                <w:sz w:val="24"/>
              </w:rPr>
            </w:pPr>
            <w:r>
              <w:rPr>
                <w:rFonts w:hint="eastAsia" w:ascii="宋体" w:hAnsi="宋体" w:cs="宋体"/>
                <w:color w:val="000000"/>
                <w:kern w:val="0"/>
                <w:sz w:val="24"/>
              </w:rPr>
              <w:t>本项目存在的</w:t>
            </w:r>
            <w:r>
              <w:rPr>
                <w:rFonts w:hint="eastAsia" w:ascii="Calibri" w:hAnsi="Calibri" w:cs="Calibri"/>
                <w:color w:val="000000"/>
                <w:sz w:val="24"/>
              </w:rPr>
              <w:t>废</w:t>
            </w:r>
            <w:r>
              <w:rPr>
                <w:rFonts w:hint="eastAsia" w:ascii="Calibri" w:hAnsi="Calibri" w:cs="Calibri"/>
                <w:color w:val="000000"/>
                <w:sz w:val="24"/>
                <w:lang w:val="en-US" w:eastAsia="zh-CN"/>
              </w:rPr>
              <w:t>机油</w:t>
            </w:r>
            <w:r>
              <w:rPr>
                <w:color w:val="000000"/>
                <w:sz w:val="24"/>
              </w:rPr>
              <w:t>、</w:t>
            </w:r>
            <w:r>
              <w:rPr>
                <w:rFonts w:hint="eastAsia"/>
                <w:color w:val="000000"/>
                <w:sz w:val="24"/>
              </w:rPr>
              <w:t>废活性炭</w:t>
            </w:r>
            <w:r>
              <w:rPr>
                <w:rFonts w:hint="eastAsia" w:ascii="宋体" w:hAnsi="宋体" w:cs="宋体"/>
                <w:color w:val="000000"/>
                <w:kern w:val="0"/>
                <w:sz w:val="24"/>
              </w:rPr>
              <w:t>等危废可能会因为泄漏对土壤产生危害，本环评要求建设单位应做好相应措施防止其泄漏对土壤造成影响。</w:t>
            </w:r>
          </w:p>
          <w:p w14:paraId="42895770">
            <w:pPr>
              <w:autoSpaceDE w:val="0"/>
              <w:autoSpaceDN w:val="0"/>
              <w:adjustRightInd w:val="0"/>
              <w:spacing w:line="360" w:lineRule="auto"/>
              <w:ind w:firstLine="480" w:firstLineChars="200"/>
              <w:jc w:val="left"/>
              <w:rPr>
                <w:color w:val="000000"/>
                <w:kern w:val="0"/>
                <w:sz w:val="24"/>
              </w:rPr>
            </w:pPr>
            <w:r>
              <w:rPr>
                <w:rFonts w:hint="eastAsia" w:ascii="宋体" w:hAnsi="宋体" w:cs="宋体"/>
                <w:color w:val="000000"/>
                <w:kern w:val="0"/>
                <w:sz w:val="24"/>
              </w:rPr>
              <w:t>建设单位在项目营运期应充分重视其自身环保行为，将从源头控制、过程防控和跟踪监测方面进一步加强对土壤环境的保护措施。所有废气均处理达标排放，在物料输送和贮存过程中，加强跑冒滴漏管理，降低物质泄漏和污染土壤环境的隐患。企业应定期进行装置区、仓库区等区域动态监测，保证项目建设不对土壤造成污染。此外，企业还应加强对防渗地坪的维护，保证防渗效果。</w:t>
            </w:r>
          </w:p>
          <w:p w14:paraId="0925D196">
            <w:pPr>
              <w:adjustRightInd w:val="0"/>
              <w:snapToGrid w:val="0"/>
              <w:spacing w:line="360" w:lineRule="auto"/>
              <w:ind w:firstLine="480" w:firstLineChars="200"/>
              <w:rPr>
                <w:bCs/>
                <w:sz w:val="24"/>
              </w:rPr>
            </w:pPr>
            <w:r>
              <w:rPr>
                <w:rFonts w:hint="eastAsia" w:ascii="宋体" w:hAnsi="宋体" w:cs="宋体"/>
                <w:color w:val="000000"/>
                <w:kern w:val="0"/>
                <w:sz w:val="24"/>
              </w:rPr>
              <w:t>综上所述，项目不会对项目区域周边土壤造成较大影响</w:t>
            </w:r>
            <w:r>
              <w:rPr>
                <w:bCs/>
                <w:sz w:val="24"/>
              </w:rPr>
              <w:t>。</w:t>
            </w:r>
          </w:p>
          <w:p w14:paraId="385ED6C8">
            <w:pPr>
              <w:snapToGrid w:val="0"/>
              <w:spacing w:line="360" w:lineRule="auto"/>
              <w:ind w:firstLine="17" w:firstLineChars="7"/>
              <w:jc w:val="left"/>
              <w:rPr>
                <w:b/>
                <w:snapToGrid w:val="0"/>
                <w:kern w:val="0"/>
                <w:sz w:val="24"/>
              </w:rPr>
            </w:pPr>
            <w:r>
              <w:rPr>
                <w:b/>
                <w:snapToGrid w:val="0"/>
                <w:kern w:val="0"/>
                <w:sz w:val="24"/>
              </w:rPr>
              <w:t>4.6环境风险影响分析</w:t>
            </w:r>
          </w:p>
          <w:p w14:paraId="317CDF64">
            <w:pPr>
              <w:pStyle w:val="103"/>
              <w:ind w:firstLine="482"/>
              <w:rPr>
                <w:b/>
                <w:bCs w:val="0"/>
                <w:sz w:val="24"/>
                <w:szCs w:val="24"/>
              </w:rPr>
            </w:pPr>
            <w:r>
              <w:rPr>
                <w:b/>
                <w:bCs w:val="0"/>
                <w:sz w:val="24"/>
                <w:szCs w:val="24"/>
              </w:rPr>
              <w:t>1、</w:t>
            </w:r>
            <w:r>
              <w:rPr>
                <w:rFonts w:hint="eastAsia" w:cs="宋体"/>
                <w:b/>
                <w:color w:val="000000"/>
                <w:sz w:val="24"/>
              </w:rPr>
              <w:t>环境风险源调查及可能影响途径</w:t>
            </w:r>
          </w:p>
          <w:p w14:paraId="06C499F1">
            <w:pPr>
              <w:snapToGrid w:val="0"/>
              <w:spacing w:line="360" w:lineRule="auto"/>
              <w:ind w:firstLine="480" w:firstLineChars="200"/>
              <w:rPr>
                <w:color w:val="000000"/>
                <w:sz w:val="24"/>
              </w:rPr>
            </w:pPr>
            <w:r>
              <w:rPr>
                <w:rFonts w:hint="eastAsia"/>
                <w:color w:val="000000"/>
                <w:sz w:val="24"/>
              </w:rPr>
              <w:t>项目</w:t>
            </w:r>
            <w:r>
              <w:rPr>
                <w:rFonts w:hint="eastAsia" w:cs="宋体"/>
                <w:color w:val="000000"/>
                <w:sz w:val="24"/>
              </w:rPr>
              <w:t>环境风险源调以及</w:t>
            </w:r>
            <w:r>
              <w:rPr>
                <w:rFonts w:hint="eastAsia"/>
                <w:color w:val="000000"/>
                <w:sz w:val="24"/>
              </w:rPr>
              <w:t>可能污染环境的途径如下：</w:t>
            </w:r>
          </w:p>
          <w:p w14:paraId="26BCE8BF">
            <w:pPr>
              <w:widowControl/>
              <w:numPr>
                <w:ilvl w:val="0"/>
                <w:numId w:val="13"/>
              </w:numPr>
              <w:tabs>
                <w:tab w:val="left" w:pos="420"/>
                <w:tab w:val="clear" w:pos="0"/>
              </w:tabs>
              <w:spacing w:line="360" w:lineRule="auto"/>
              <w:ind w:left="0" w:leftChars="0" w:firstLine="0" w:firstLineChars="0"/>
              <w:jc w:val="center"/>
              <w:rPr>
                <w:b/>
                <w:bCs/>
                <w:color w:val="000000"/>
                <w:sz w:val="24"/>
              </w:rPr>
            </w:pPr>
            <w:r>
              <w:rPr>
                <w:rFonts w:hint="eastAsia"/>
                <w:b/>
                <w:bCs/>
                <w:color w:val="000000"/>
                <w:sz w:val="24"/>
              </w:rPr>
              <w:t>项目风险物质可能污染环境的影响途径</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359"/>
              <w:gridCol w:w="2373"/>
              <w:gridCol w:w="3090"/>
            </w:tblGrid>
            <w:tr w14:paraId="5C68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0B19FDBD">
                  <w:pPr>
                    <w:jc w:val="center"/>
                    <w:rPr>
                      <w:color w:val="000000"/>
                    </w:rPr>
                  </w:pPr>
                  <w:r>
                    <w:rPr>
                      <w:rFonts w:hint="eastAsia"/>
                      <w:color w:val="000000"/>
                    </w:rPr>
                    <w:t>风险源</w:t>
                  </w:r>
                </w:p>
              </w:tc>
              <w:tc>
                <w:tcPr>
                  <w:tcW w:w="1339" w:type="pct"/>
                  <w:noWrap w:val="0"/>
                  <w:vAlign w:val="center"/>
                </w:tcPr>
                <w:p w14:paraId="765F4695">
                  <w:pPr>
                    <w:jc w:val="center"/>
                    <w:rPr>
                      <w:color w:val="000000"/>
                    </w:rPr>
                  </w:pPr>
                  <w:r>
                    <w:rPr>
                      <w:rFonts w:hint="eastAsia"/>
                      <w:color w:val="000000"/>
                    </w:rPr>
                    <w:t>主要风险物质</w:t>
                  </w:r>
                </w:p>
              </w:tc>
              <w:tc>
                <w:tcPr>
                  <w:tcW w:w="1347" w:type="pct"/>
                  <w:noWrap w:val="0"/>
                  <w:vAlign w:val="center"/>
                </w:tcPr>
                <w:p w14:paraId="4BCDE80A">
                  <w:pPr>
                    <w:jc w:val="center"/>
                    <w:rPr>
                      <w:color w:val="000000"/>
                    </w:rPr>
                  </w:pPr>
                  <w:r>
                    <w:rPr>
                      <w:rFonts w:hint="eastAsia"/>
                      <w:color w:val="000000"/>
                    </w:rPr>
                    <w:t>可能影响途径</w:t>
                  </w:r>
                </w:p>
              </w:tc>
              <w:tc>
                <w:tcPr>
                  <w:tcW w:w="1754" w:type="pct"/>
                  <w:noWrap w:val="0"/>
                  <w:vAlign w:val="center"/>
                </w:tcPr>
                <w:p w14:paraId="4DD1BBC4">
                  <w:pPr>
                    <w:jc w:val="center"/>
                    <w:rPr>
                      <w:color w:val="000000"/>
                    </w:rPr>
                  </w:pPr>
                  <w:r>
                    <w:rPr>
                      <w:rFonts w:hint="eastAsia"/>
                      <w:color w:val="000000"/>
                    </w:rPr>
                    <w:t>污染类型</w:t>
                  </w:r>
                </w:p>
              </w:tc>
            </w:tr>
            <w:tr w14:paraId="5694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4D17F669">
                  <w:pPr>
                    <w:jc w:val="center"/>
                    <w:rPr>
                      <w:color w:val="000000"/>
                    </w:rPr>
                  </w:pPr>
                  <w:r>
                    <w:rPr>
                      <w:rFonts w:hint="eastAsia"/>
                      <w:color w:val="000000"/>
                    </w:rPr>
                    <w:t>危废间</w:t>
                  </w:r>
                </w:p>
              </w:tc>
              <w:tc>
                <w:tcPr>
                  <w:tcW w:w="1339" w:type="pct"/>
                  <w:noWrap w:val="0"/>
                  <w:vAlign w:val="center"/>
                </w:tcPr>
                <w:p w14:paraId="45171A65">
                  <w:pPr>
                    <w:jc w:val="center"/>
                    <w:rPr>
                      <w:color w:val="000000"/>
                    </w:rPr>
                  </w:pPr>
                  <w:r>
                    <w:rPr>
                      <w:rFonts w:hint="eastAsia" w:ascii="Calibri" w:hAnsi="Calibri" w:cs="Calibri"/>
                      <w:color w:val="000000"/>
                      <w:szCs w:val="21"/>
                    </w:rPr>
                    <w:t>废</w:t>
                  </w:r>
                  <w:r>
                    <w:rPr>
                      <w:rFonts w:hint="eastAsia" w:ascii="Calibri" w:hAnsi="Calibri" w:cs="Calibri"/>
                      <w:color w:val="000000"/>
                      <w:szCs w:val="21"/>
                      <w:lang w:val="en-US" w:eastAsia="zh-CN"/>
                    </w:rPr>
                    <w:t>机油</w:t>
                  </w:r>
                  <w:r>
                    <w:rPr>
                      <w:color w:val="000000"/>
                      <w:szCs w:val="21"/>
                    </w:rPr>
                    <w:t>、</w:t>
                  </w:r>
                  <w:r>
                    <w:rPr>
                      <w:rFonts w:hint="eastAsia"/>
                      <w:color w:val="000000"/>
                      <w:szCs w:val="21"/>
                    </w:rPr>
                    <w:t>废活性炭</w:t>
                  </w:r>
                  <w:r>
                    <w:rPr>
                      <w:rFonts w:hint="eastAsia" w:ascii="宋体" w:hAnsi="宋体" w:cs="宋体"/>
                      <w:color w:val="000000"/>
                      <w:kern w:val="0"/>
                      <w:szCs w:val="21"/>
                    </w:rPr>
                    <w:t>等</w:t>
                  </w:r>
                </w:p>
              </w:tc>
              <w:tc>
                <w:tcPr>
                  <w:tcW w:w="1347" w:type="pct"/>
                  <w:noWrap w:val="0"/>
                  <w:vAlign w:val="center"/>
                </w:tcPr>
                <w:p w14:paraId="02E2827B">
                  <w:pPr>
                    <w:jc w:val="center"/>
                    <w:rPr>
                      <w:color w:val="000000"/>
                    </w:rPr>
                  </w:pPr>
                  <w:r>
                    <w:rPr>
                      <w:rFonts w:hint="eastAsia"/>
                      <w:color w:val="000000"/>
                    </w:rPr>
                    <w:t>通过泄漏渗透污染</w:t>
                  </w:r>
                </w:p>
              </w:tc>
              <w:tc>
                <w:tcPr>
                  <w:tcW w:w="1754" w:type="pct"/>
                  <w:noWrap w:val="0"/>
                  <w:vAlign w:val="center"/>
                </w:tcPr>
                <w:p w14:paraId="38039BA0">
                  <w:pPr>
                    <w:jc w:val="center"/>
                    <w:rPr>
                      <w:color w:val="000000"/>
                    </w:rPr>
                  </w:pPr>
                  <w:r>
                    <w:rPr>
                      <w:rFonts w:hint="eastAsia"/>
                      <w:color w:val="000000"/>
                    </w:rPr>
                    <w:t>通过泄漏渗透污染污染大气、土壤、地下水</w:t>
                  </w:r>
                </w:p>
              </w:tc>
            </w:tr>
            <w:tr w14:paraId="3C3E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BA8A43E">
                  <w:pPr>
                    <w:jc w:val="center"/>
                    <w:rPr>
                      <w:color w:val="000000"/>
                    </w:rPr>
                  </w:pPr>
                  <w:r>
                    <w:rPr>
                      <w:rFonts w:hint="eastAsia"/>
                      <w:color w:val="000000"/>
                    </w:rPr>
                    <w:t>厂区火灾爆炸</w:t>
                  </w:r>
                </w:p>
              </w:tc>
              <w:tc>
                <w:tcPr>
                  <w:tcW w:w="1339" w:type="pct"/>
                  <w:noWrap w:val="0"/>
                  <w:vAlign w:val="center"/>
                </w:tcPr>
                <w:p w14:paraId="29B7DD41">
                  <w:pPr>
                    <w:jc w:val="center"/>
                    <w:rPr>
                      <w:color w:val="000000"/>
                    </w:rPr>
                  </w:pPr>
                  <w:r>
                    <w:rPr>
                      <w:rFonts w:hint="eastAsia"/>
                      <w:color w:val="000000"/>
                    </w:rPr>
                    <w:t>消防废水、火灾烟气</w:t>
                  </w:r>
                </w:p>
              </w:tc>
              <w:tc>
                <w:tcPr>
                  <w:tcW w:w="1347" w:type="pct"/>
                  <w:noWrap w:val="0"/>
                  <w:vAlign w:val="center"/>
                </w:tcPr>
                <w:p w14:paraId="7BC349EF">
                  <w:pPr>
                    <w:jc w:val="center"/>
                    <w:rPr>
                      <w:color w:val="000000"/>
                    </w:rPr>
                  </w:pPr>
                  <w:r>
                    <w:rPr>
                      <w:rFonts w:hint="eastAsia"/>
                      <w:color w:val="000000"/>
                    </w:rPr>
                    <w:t>通过泄漏渗透污染</w:t>
                  </w:r>
                </w:p>
              </w:tc>
              <w:tc>
                <w:tcPr>
                  <w:tcW w:w="1754" w:type="pct"/>
                  <w:noWrap w:val="0"/>
                  <w:vAlign w:val="center"/>
                </w:tcPr>
                <w:p w14:paraId="1C1014DF">
                  <w:pPr>
                    <w:jc w:val="center"/>
                    <w:rPr>
                      <w:color w:val="000000"/>
                    </w:rPr>
                  </w:pPr>
                  <w:r>
                    <w:rPr>
                      <w:rFonts w:hint="eastAsia"/>
                      <w:color w:val="000000"/>
                    </w:rPr>
                    <w:t>消防废水泄漏污染地表水、地下水、土壤；火灾烟气泄漏污染大气</w:t>
                  </w:r>
                </w:p>
              </w:tc>
            </w:tr>
            <w:tr w14:paraId="582A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0942F973">
                  <w:pPr>
                    <w:jc w:val="center"/>
                    <w:rPr>
                      <w:color w:val="000000"/>
                    </w:rPr>
                  </w:pPr>
                  <w:r>
                    <w:rPr>
                      <w:rFonts w:hint="eastAsia"/>
                      <w:color w:val="000000"/>
                    </w:rPr>
                    <w:t>废气处理设施</w:t>
                  </w:r>
                </w:p>
              </w:tc>
              <w:tc>
                <w:tcPr>
                  <w:tcW w:w="1339" w:type="pct"/>
                  <w:noWrap w:val="0"/>
                  <w:vAlign w:val="center"/>
                </w:tcPr>
                <w:p w14:paraId="0BA443DC">
                  <w:pPr>
                    <w:jc w:val="center"/>
                    <w:rPr>
                      <w:color w:val="000000"/>
                    </w:rPr>
                  </w:pPr>
                  <w:r>
                    <w:rPr>
                      <w:rFonts w:hint="eastAsia"/>
                      <w:color w:val="000000"/>
                    </w:rPr>
                    <w:t>非甲烷总烃</w:t>
                  </w:r>
                </w:p>
              </w:tc>
              <w:tc>
                <w:tcPr>
                  <w:tcW w:w="1347" w:type="pct"/>
                  <w:noWrap w:val="0"/>
                  <w:vAlign w:val="center"/>
                </w:tcPr>
                <w:p w14:paraId="746EA9D9">
                  <w:pPr>
                    <w:jc w:val="center"/>
                    <w:rPr>
                      <w:color w:val="000000"/>
                    </w:rPr>
                  </w:pPr>
                  <w:r>
                    <w:rPr>
                      <w:rFonts w:hint="eastAsia"/>
                      <w:color w:val="000000"/>
                    </w:rPr>
                    <w:t>废气处理装置故障导致废气泄漏造成污染</w:t>
                  </w:r>
                </w:p>
              </w:tc>
              <w:tc>
                <w:tcPr>
                  <w:tcW w:w="1754" w:type="pct"/>
                  <w:noWrap w:val="0"/>
                  <w:vAlign w:val="center"/>
                </w:tcPr>
                <w:p w14:paraId="70DB0639">
                  <w:pPr>
                    <w:jc w:val="center"/>
                    <w:rPr>
                      <w:color w:val="000000"/>
                    </w:rPr>
                  </w:pPr>
                  <w:r>
                    <w:rPr>
                      <w:rFonts w:hint="eastAsia"/>
                      <w:color w:val="000000"/>
                    </w:rPr>
                    <w:t>废气泄漏造成大气污染</w:t>
                  </w:r>
                </w:p>
              </w:tc>
            </w:tr>
          </w:tbl>
          <w:p w14:paraId="332B1D67">
            <w:pPr>
              <w:pStyle w:val="103"/>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rPr>
                <w:b/>
                <w:bCs w:val="0"/>
                <w:sz w:val="24"/>
                <w:szCs w:val="24"/>
              </w:rPr>
            </w:pPr>
            <w:r>
              <w:rPr>
                <w:b/>
                <w:bCs w:val="0"/>
                <w:sz w:val="24"/>
                <w:szCs w:val="24"/>
              </w:rPr>
              <w:t>2、</w:t>
            </w:r>
            <w:r>
              <w:rPr>
                <w:b/>
                <w:bCs/>
                <w:color w:val="000000"/>
                <w:sz w:val="24"/>
              </w:rPr>
              <w:t>环境风险潜势划分</w:t>
            </w:r>
          </w:p>
          <w:p w14:paraId="55E2578D">
            <w:pPr>
              <w:pStyle w:val="122"/>
              <w:keepNext w:val="0"/>
              <w:keepLines w:val="0"/>
              <w:pageBreakBefore w:val="0"/>
              <w:widowControl w:val="0"/>
              <w:kinsoku/>
              <w:wordWrap/>
              <w:overflowPunct/>
              <w:topLinePunct w:val="0"/>
              <w:autoSpaceDE/>
              <w:autoSpaceDN/>
              <w:bidi w:val="0"/>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建设项目环境风险潜势划分为Ⅰ、Ⅱ、Ⅲ、Ⅳ/Ⅳ+级。</w:t>
            </w:r>
          </w:p>
          <w:p w14:paraId="2634FA44">
            <w:pPr>
              <w:pStyle w:val="122"/>
              <w:keepNext w:val="0"/>
              <w:keepLines w:val="0"/>
              <w:pageBreakBefore w:val="0"/>
              <w:widowControl w:val="0"/>
              <w:kinsoku/>
              <w:wordWrap/>
              <w:overflowPunct/>
              <w:topLinePunct w:val="0"/>
              <w:autoSpaceDE/>
              <w:autoSpaceDN/>
              <w:bidi w:val="0"/>
              <w:adjustRightInd w:val="0"/>
              <w:snapToGrid w:val="0"/>
              <w:spacing w:line="360" w:lineRule="auto"/>
              <w:ind w:firstLine="480"/>
              <w:rPr>
                <w:rFonts w:ascii="Times New Roman" w:hAnsi="Times New Roman" w:cs="Times New Roman"/>
                <w:color w:val="000000"/>
              </w:rPr>
            </w:pPr>
            <w:r>
              <w:rPr>
                <w:rFonts w:ascii="Times New Roman" w:hAnsi="Times New Roman" w:cs="Times New Roman"/>
                <w:color w:val="000000"/>
              </w:rPr>
              <w:t>（1）临界量的比值（Q）的确定</w:t>
            </w:r>
          </w:p>
          <w:p w14:paraId="51A4D3BD">
            <w:pPr>
              <w:pStyle w:val="122"/>
              <w:keepNext w:val="0"/>
              <w:keepLines w:val="0"/>
              <w:pageBreakBefore w:val="0"/>
              <w:widowControl w:val="0"/>
              <w:kinsoku/>
              <w:wordWrap/>
              <w:overflowPunct/>
              <w:topLinePunct w:val="0"/>
              <w:autoSpaceDE/>
              <w:autoSpaceDN/>
              <w:bidi w:val="0"/>
              <w:adjustRightInd w:val="0"/>
              <w:snapToGrid w:val="0"/>
              <w:spacing w:line="360" w:lineRule="auto"/>
              <w:ind w:left="113" w:right="113" w:firstLine="482"/>
              <w:textAlignment w:val="baseline"/>
              <w:rPr>
                <w:rFonts w:ascii="Times New Roman" w:hAnsi="Times New Roman" w:cs="Times New Roman"/>
                <w:color w:val="000000"/>
              </w:rPr>
            </w:pPr>
            <w:r>
              <w:rPr>
                <w:rFonts w:ascii="Times New Roman" w:hAnsi="Times New Roman" w:cs="Times New Roman"/>
                <w:color w:val="000000"/>
              </w:rPr>
              <w:t>本项目涉及的</w:t>
            </w:r>
            <w:r>
              <w:rPr>
                <w:rFonts w:hint="eastAsia" w:ascii="Times New Roman" w:hAnsi="Times New Roman" w:cs="Times New Roman"/>
                <w:color w:val="000000"/>
              </w:rPr>
              <w:t>危险</w:t>
            </w:r>
            <w:r>
              <w:rPr>
                <w:rFonts w:ascii="Times New Roman" w:hAnsi="Times New Roman" w:cs="Times New Roman"/>
                <w:color w:val="000000"/>
              </w:rPr>
              <w:t>物质为</w:t>
            </w:r>
            <w:r>
              <w:rPr>
                <w:rFonts w:hint="eastAsia" w:ascii="Times New Roman" w:hAnsi="Times New Roman" w:cs="Times New Roman"/>
                <w:color w:val="000000"/>
                <w:lang w:val="en-US" w:eastAsia="zh-CN"/>
              </w:rPr>
              <w:t>废机油（</w:t>
            </w:r>
            <w:r>
              <w:rPr>
                <w:rFonts w:ascii="Times New Roman" w:hAnsi="Times New Roman" w:cs="Times New Roman"/>
                <w:color w:val="000000"/>
              </w:rPr>
              <w:t>临界量</w:t>
            </w:r>
            <w:r>
              <w:rPr>
                <w:rFonts w:hint="eastAsia" w:ascii="Times New Roman" w:hAnsi="Times New Roman" w:cs="Times New Roman"/>
                <w:color w:val="000000"/>
                <w:lang w:val="en-US" w:eastAsia="zh-CN"/>
              </w:rPr>
              <w:t>2500</w:t>
            </w:r>
            <w:r>
              <w:rPr>
                <w:rFonts w:ascii="Times New Roman" w:hAnsi="Times New Roman" w:cs="Times New Roman"/>
                <w:color w:val="000000"/>
              </w:rPr>
              <w:t>t</w:t>
            </w:r>
            <w:r>
              <w:rPr>
                <w:rFonts w:hint="eastAsia" w:ascii="Times New Roman" w:hAnsi="Times New Roman" w:cs="Times New Roman"/>
                <w:color w:val="000000"/>
                <w:lang w:val="en-US" w:eastAsia="zh-CN"/>
              </w:rPr>
              <w:t>）</w:t>
            </w:r>
            <w:r>
              <w:rPr>
                <w:rFonts w:ascii="Times New Roman" w:hAnsi="Times New Roman" w:cs="Times New Roman"/>
                <w:color w:val="000000"/>
              </w:rPr>
              <w:t>。依据《建设项目环境风险评价技术导则》（HJ169-2018）附录B及附录C，本项目危险物质数量与临界量比值（Q）计算如下：</w:t>
            </w:r>
          </w:p>
          <w:p w14:paraId="742BC3F2">
            <w:pPr>
              <w:widowControl/>
              <w:numPr>
                <w:ilvl w:val="0"/>
                <w:numId w:val="13"/>
              </w:numPr>
              <w:tabs>
                <w:tab w:val="left" w:pos="420"/>
                <w:tab w:val="clear" w:pos="0"/>
              </w:tabs>
              <w:spacing w:line="360" w:lineRule="auto"/>
              <w:ind w:left="0" w:leftChars="0" w:firstLine="0" w:firstLineChars="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危险物质数量与临界量比值（Q）计算</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990"/>
              <w:gridCol w:w="2268"/>
              <w:gridCol w:w="2159"/>
              <w:gridCol w:w="1675"/>
              <w:gridCol w:w="1712"/>
            </w:tblGrid>
            <w:tr w14:paraId="065CEA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562" w:type="pct"/>
                  <w:tcBorders>
                    <w:top w:val="single" w:color="auto" w:sz="4" w:space="0"/>
                    <w:left w:val="single" w:color="auto" w:sz="4" w:space="0"/>
                    <w:bottom w:val="single" w:color="auto" w:sz="6" w:space="0"/>
                    <w:right w:val="single" w:color="auto" w:sz="6" w:space="0"/>
                  </w:tcBorders>
                  <w:noWrap w:val="0"/>
                  <w:vAlign w:val="center"/>
                </w:tcPr>
                <w:p w14:paraId="08238EB7">
                  <w:pPr>
                    <w:pStyle w:val="142"/>
                    <w:rPr>
                      <w:rFonts w:ascii="Times New Roman" w:hAnsi="Times New Roman" w:cs="Times New Roman"/>
                      <w:color w:val="000000"/>
                      <w:lang w:val="zh-CN"/>
                    </w:rPr>
                  </w:pPr>
                  <w:r>
                    <w:rPr>
                      <w:rFonts w:ascii="Times New Roman" w:hAnsi="Times New Roman" w:cs="Times New Roman"/>
                      <w:color w:val="000000"/>
                      <w:lang w:val="zh-CN"/>
                    </w:rPr>
                    <w:t>序号</w:t>
                  </w:r>
                </w:p>
              </w:tc>
              <w:tc>
                <w:tcPr>
                  <w:tcW w:w="1288" w:type="pct"/>
                  <w:tcBorders>
                    <w:top w:val="single" w:color="auto" w:sz="4" w:space="0"/>
                    <w:left w:val="single" w:color="auto" w:sz="6" w:space="0"/>
                    <w:bottom w:val="single" w:color="auto" w:sz="6" w:space="0"/>
                    <w:right w:val="single" w:color="auto" w:sz="6" w:space="0"/>
                  </w:tcBorders>
                  <w:noWrap w:val="0"/>
                  <w:vAlign w:val="center"/>
                </w:tcPr>
                <w:p w14:paraId="5178F3A5">
                  <w:pPr>
                    <w:pStyle w:val="142"/>
                    <w:rPr>
                      <w:rFonts w:ascii="Times New Roman" w:hAnsi="Times New Roman" w:cs="Times New Roman"/>
                      <w:color w:val="000000"/>
                    </w:rPr>
                  </w:pPr>
                  <w:r>
                    <w:rPr>
                      <w:rFonts w:ascii="Times New Roman" w:hAnsi="Times New Roman" w:cs="Times New Roman"/>
                      <w:color w:val="000000"/>
                    </w:rPr>
                    <w:t>风险物质</w:t>
                  </w:r>
                </w:p>
              </w:tc>
              <w:tc>
                <w:tcPr>
                  <w:tcW w:w="1226" w:type="pct"/>
                  <w:tcBorders>
                    <w:top w:val="single" w:color="auto" w:sz="4" w:space="0"/>
                    <w:left w:val="single" w:color="auto" w:sz="6" w:space="0"/>
                    <w:bottom w:val="single" w:color="auto" w:sz="6" w:space="0"/>
                    <w:right w:val="single" w:color="auto" w:sz="6" w:space="0"/>
                  </w:tcBorders>
                  <w:noWrap w:val="0"/>
                  <w:vAlign w:val="center"/>
                </w:tcPr>
                <w:p w14:paraId="4B1C6F7B">
                  <w:pPr>
                    <w:pStyle w:val="142"/>
                    <w:rPr>
                      <w:rFonts w:ascii="Times New Roman" w:hAnsi="Times New Roman" w:cs="Times New Roman"/>
                      <w:color w:val="000000"/>
                    </w:rPr>
                  </w:pPr>
                  <w:r>
                    <w:rPr>
                      <w:rFonts w:ascii="Times New Roman" w:hAnsi="Times New Roman" w:cs="Times New Roman"/>
                      <w:color w:val="000000"/>
                    </w:rPr>
                    <w:t>最大存储量（t）</w:t>
                  </w:r>
                </w:p>
              </w:tc>
              <w:tc>
                <w:tcPr>
                  <w:tcW w:w="951" w:type="pct"/>
                  <w:tcBorders>
                    <w:top w:val="single" w:color="auto" w:sz="4" w:space="0"/>
                    <w:left w:val="single" w:color="auto" w:sz="6" w:space="0"/>
                    <w:bottom w:val="single" w:color="auto" w:sz="6" w:space="0"/>
                    <w:right w:val="single" w:color="auto" w:sz="4" w:space="0"/>
                  </w:tcBorders>
                  <w:noWrap w:val="0"/>
                  <w:vAlign w:val="center"/>
                </w:tcPr>
                <w:p w14:paraId="029D2DB7">
                  <w:pPr>
                    <w:pStyle w:val="142"/>
                    <w:rPr>
                      <w:rFonts w:ascii="Times New Roman" w:hAnsi="Times New Roman" w:cs="Times New Roman"/>
                      <w:color w:val="000000"/>
                    </w:rPr>
                  </w:pPr>
                  <w:r>
                    <w:rPr>
                      <w:rFonts w:ascii="Times New Roman" w:hAnsi="Times New Roman" w:cs="Times New Roman"/>
                      <w:color w:val="000000"/>
                    </w:rPr>
                    <w:t>临界量（t）</w:t>
                  </w:r>
                </w:p>
              </w:tc>
              <w:tc>
                <w:tcPr>
                  <w:tcW w:w="972" w:type="pct"/>
                  <w:tcBorders>
                    <w:top w:val="single" w:color="auto" w:sz="4" w:space="0"/>
                    <w:left w:val="single" w:color="auto" w:sz="4" w:space="0"/>
                    <w:bottom w:val="single" w:color="auto" w:sz="6" w:space="0"/>
                    <w:right w:val="single" w:color="auto" w:sz="4" w:space="0"/>
                  </w:tcBorders>
                  <w:noWrap w:val="0"/>
                  <w:vAlign w:val="center"/>
                </w:tcPr>
                <w:p w14:paraId="58EC6596">
                  <w:pPr>
                    <w:pStyle w:val="142"/>
                    <w:rPr>
                      <w:rFonts w:ascii="Times New Roman" w:hAnsi="Times New Roman" w:cs="Times New Roman"/>
                      <w:color w:val="000000"/>
                    </w:rPr>
                  </w:pPr>
                  <w:r>
                    <w:rPr>
                      <w:rFonts w:hint="eastAsia" w:ascii="Times New Roman" w:hAnsi="Times New Roman" w:cs="Times New Roman"/>
                      <w:color w:val="000000"/>
                      <w:lang w:val="en-US" w:eastAsia="zh-CN"/>
                    </w:rPr>
                    <w:t>q</w:t>
                  </w:r>
                  <w:r>
                    <w:rPr>
                      <w:rFonts w:ascii="Times New Roman" w:hAnsi="Times New Roman" w:cs="Times New Roman"/>
                      <w:color w:val="000000"/>
                    </w:rPr>
                    <w:t>值</w:t>
                  </w:r>
                </w:p>
              </w:tc>
            </w:tr>
            <w:tr w14:paraId="0B5B7B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2" w:hRule="atLeast"/>
                <w:jc w:val="center"/>
              </w:trPr>
              <w:tc>
                <w:tcPr>
                  <w:tcW w:w="562" w:type="pct"/>
                  <w:tcBorders>
                    <w:top w:val="single" w:color="auto" w:sz="6" w:space="0"/>
                    <w:left w:val="single" w:color="auto" w:sz="4" w:space="0"/>
                    <w:bottom w:val="single" w:color="auto" w:sz="6" w:space="0"/>
                    <w:right w:val="single" w:color="auto" w:sz="6" w:space="0"/>
                  </w:tcBorders>
                  <w:noWrap w:val="0"/>
                  <w:vAlign w:val="center"/>
                </w:tcPr>
                <w:p w14:paraId="78A00532">
                  <w:pPr>
                    <w:pStyle w:val="142"/>
                    <w:rPr>
                      <w:rFonts w:ascii="Times New Roman" w:hAnsi="Times New Roman" w:cs="Times New Roman"/>
                      <w:color w:val="000000"/>
                    </w:rPr>
                  </w:pPr>
                  <w:r>
                    <w:rPr>
                      <w:rFonts w:hint="eastAsia" w:ascii="Times New Roman" w:hAnsi="Times New Roman" w:cs="Times New Roman"/>
                      <w:color w:val="000000"/>
                    </w:rPr>
                    <w:t>1</w:t>
                  </w:r>
                </w:p>
              </w:tc>
              <w:tc>
                <w:tcPr>
                  <w:tcW w:w="1288" w:type="pct"/>
                  <w:tcBorders>
                    <w:top w:val="single" w:color="auto" w:sz="6" w:space="0"/>
                    <w:left w:val="single" w:color="auto" w:sz="6" w:space="0"/>
                    <w:bottom w:val="single" w:color="auto" w:sz="6" w:space="0"/>
                    <w:right w:val="single" w:color="auto" w:sz="6" w:space="0"/>
                  </w:tcBorders>
                  <w:noWrap w:val="0"/>
                  <w:vAlign w:val="center"/>
                </w:tcPr>
                <w:p w14:paraId="51DDD609">
                  <w:pPr>
                    <w:pStyle w:val="142"/>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废机油</w:t>
                  </w:r>
                </w:p>
              </w:tc>
              <w:tc>
                <w:tcPr>
                  <w:tcW w:w="1226" w:type="pct"/>
                  <w:tcBorders>
                    <w:top w:val="single" w:color="auto" w:sz="6" w:space="0"/>
                    <w:left w:val="single" w:color="auto" w:sz="6" w:space="0"/>
                    <w:bottom w:val="single" w:color="auto" w:sz="6" w:space="0"/>
                    <w:right w:val="single" w:color="auto" w:sz="6" w:space="0"/>
                  </w:tcBorders>
                  <w:noWrap w:val="0"/>
                  <w:vAlign w:val="center"/>
                </w:tcPr>
                <w:p w14:paraId="2BFE3EC2">
                  <w:pPr>
                    <w:pStyle w:val="142"/>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0.01</w:t>
                  </w:r>
                </w:p>
              </w:tc>
              <w:tc>
                <w:tcPr>
                  <w:tcW w:w="951" w:type="pct"/>
                  <w:tcBorders>
                    <w:top w:val="single" w:color="auto" w:sz="6" w:space="0"/>
                    <w:left w:val="single" w:color="auto" w:sz="6" w:space="0"/>
                    <w:bottom w:val="single" w:color="auto" w:sz="6" w:space="0"/>
                    <w:right w:val="single" w:color="auto" w:sz="4" w:space="0"/>
                  </w:tcBorders>
                  <w:noWrap w:val="0"/>
                  <w:vAlign w:val="center"/>
                </w:tcPr>
                <w:p w14:paraId="705E2944">
                  <w:pPr>
                    <w:pStyle w:val="142"/>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2500</w:t>
                  </w:r>
                </w:p>
              </w:tc>
              <w:tc>
                <w:tcPr>
                  <w:tcW w:w="972" w:type="pct"/>
                  <w:tcBorders>
                    <w:top w:val="single" w:color="auto" w:sz="6" w:space="0"/>
                    <w:left w:val="single" w:color="auto" w:sz="4" w:space="0"/>
                    <w:bottom w:val="single" w:color="auto" w:sz="6" w:space="0"/>
                    <w:right w:val="single" w:color="auto" w:sz="4" w:space="0"/>
                  </w:tcBorders>
                  <w:noWrap w:val="0"/>
                  <w:vAlign w:val="center"/>
                </w:tcPr>
                <w:p w14:paraId="0AEC3FB2">
                  <w:pPr>
                    <w:pStyle w:val="142"/>
                    <w:rPr>
                      <w:rFonts w:hint="default" w:ascii="Times New Roman" w:hAnsi="Times New Roman" w:eastAsia="宋体" w:cs="Times New Roman"/>
                      <w:color w:val="000000"/>
                      <w:lang w:val="en-US" w:eastAsia="zh-CN"/>
                    </w:rPr>
                  </w:pPr>
                  <w:r>
                    <w:rPr>
                      <w:rFonts w:ascii="Times New Roman" w:hAnsi="Times New Roman" w:cs="Times New Roman"/>
                      <w:color w:val="000000"/>
                    </w:rPr>
                    <w:t>0.</w:t>
                  </w:r>
                  <w:r>
                    <w:rPr>
                      <w:rFonts w:hint="eastAsia" w:ascii="Times New Roman" w:hAnsi="Times New Roman" w:cs="Times New Roman"/>
                      <w:color w:val="000000"/>
                      <w:lang w:val="en-US" w:eastAsia="zh-CN"/>
                    </w:rPr>
                    <w:t>000004</w:t>
                  </w:r>
                </w:p>
              </w:tc>
            </w:tr>
            <w:tr w14:paraId="5BBA94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62" w:hRule="atLeast"/>
                <w:jc w:val="center"/>
              </w:trPr>
              <w:tc>
                <w:tcPr>
                  <w:tcW w:w="4027" w:type="pct"/>
                  <w:gridSpan w:val="4"/>
                  <w:tcBorders>
                    <w:top w:val="single" w:color="auto" w:sz="6" w:space="0"/>
                    <w:left w:val="single" w:color="auto" w:sz="4" w:space="0"/>
                    <w:bottom w:val="single" w:color="auto" w:sz="6" w:space="0"/>
                    <w:right w:val="single" w:color="auto" w:sz="4" w:space="0"/>
                  </w:tcBorders>
                  <w:noWrap w:val="0"/>
                  <w:vAlign w:val="center"/>
                </w:tcPr>
                <w:p w14:paraId="507BA530">
                  <w:pPr>
                    <w:pStyle w:val="142"/>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项目Q值</w:t>
                  </w:r>
                </w:p>
              </w:tc>
              <w:tc>
                <w:tcPr>
                  <w:tcW w:w="972" w:type="pct"/>
                  <w:tcBorders>
                    <w:top w:val="single" w:color="auto" w:sz="6" w:space="0"/>
                    <w:left w:val="single" w:color="auto" w:sz="4" w:space="0"/>
                    <w:bottom w:val="single" w:color="auto" w:sz="6" w:space="0"/>
                    <w:right w:val="single" w:color="auto" w:sz="4" w:space="0"/>
                  </w:tcBorders>
                  <w:noWrap w:val="0"/>
                  <w:vAlign w:val="center"/>
                </w:tcPr>
                <w:p w14:paraId="746B773F">
                  <w:pPr>
                    <w:pStyle w:val="142"/>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0.000004</w:t>
                  </w:r>
                </w:p>
              </w:tc>
            </w:tr>
          </w:tbl>
          <w:p w14:paraId="22D4A262">
            <w:pPr>
              <w:pStyle w:val="122"/>
              <w:ind w:left="0" w:leftChars="0" w:firstLine="480" w:firstLineChars="200"/>
              <w:rPr>
                <w:rFonts w:ascii="Times New Roman" w:hAnsi="Times New Roman" w:cs="Times New Roman"/>
                <w:color w:val="000000"/>
              </w:rPr>
            </w:pPr>
            <w:r>
              <w:rPr>
                <w:rFonts w:ascii="Times New Roman" w:hAnsi="Times New Roman" w:cs="Times New Roman"/>
                <w:color w:val="000000"/>
              </w:rPr>
              <w:t>通过上表知道，本项目Q</w:t>
            </w:r>
            <w:r>
              <w:rPr>
                <w:rFonts w:hint="eastAsia" w:ascii="Times New Roman" w:hAnsi="Times New Roman" w:cs="Times New Roman"/>
                <w:color w:val="000000"/>
              </w:rPr>
              <w:t>=</w:t>
            </w:r>
            <w:r>
              <w:rPr>
                <w:rFonts w:hint="eastAsia" w:ascii="Times New Roman" w:hAnsi="Times New Roman" w:cs="Times New Roman"/>
                <w:color w:val="000000"/>
                <w:lang w:val="en-US" w:eastAsia="zh-CN"/>
              </w:rPr>
              <w:t>0.000004</w:t>
            </w:r>
            <w:r>
              <w:rPr>
                <w:rFonts w:ascii="Times New Roman" w:hAnsi="Times New Roman" w:cs="Times New Roman"/>
                <w:color w:val="000000"/>
              </w:rPr>
              <w:t>＜1，因此项目的环境风险潜势为Ⅰ。</w:t>
            </w:r>
          </w:p>
          <w:p w14:paraId="31D4BD9C">
            <w:pPr>
              <w:pStyle w:val="103"/>
              <w:ind w:firstLine="480"/>
              <w:rPr>
                <w:rFonts w:hint="eastAsia" w:eastAsia="宋体"/>
                <w:sz w:val="24"/>
                <w:szCs w:val="24"/>
                <w:lang w:val="en-US" w:eastAsia="zh-CN"/>
              </w:rPr>
            </w:pPr>
            <w:r>
              <w:rPr>
                <w:rFonts w:ascii="Times New Roman" w:hAnsi="Times New Roman" w:cs="Times New Roman"/>
                <w:color w:val="000000"/>
                <w:sz w:val="24"/>
                <w:szCs w:val="24"/>
              </w:rPr>
              <w:t>综上所述，根据建设项目环境风险评价工作等级划分，本项目环境风险潜势为Ⅰ，因此只需进行简单分析</w:t>
            </w:r>
            <w:r>
              <w:rPr>
                <w:rFonts w:hint="eastAsia" w:ascii="Times New Roman" w:hAnsi="Times New Roman" w:cs="Times New Roman"/>
                <w:color w:val="000000"/>
                <w:sz w:val="24"/>
                <w:szCs w:val="24"/>
                <w:lang w:eastAsia="zh-CN"/>
              </w:rPr>
              <w:t>。</w:t>
            </w:r>
          </w:p>
          <w:p w14:paraId="3CB76A62">
            <w:pPr>
              <w:pStyle w:val="103"/>
              <w:ind w:firstLine="482"/>
              <w:rPr>
                <w:b/>
                <w:bCs w:val="0"/>
                <w:sz w:val="24"/>
                <w:szCs w:val="24"/>
              </w:rPr>
            </w:pPr>
            <w:r>
              <w:rPr>
                <w:b/>
                <w:bCs w:val="0"/>
                <w:sz w:val="24"/>
                <w:szCs w:val="24"/>
              </w:rPr>
              <w:t>3、风险防范措施</w:t>
            </w:r>
          </w:p>
          <w:p w14:paraId="78B2198F">
            <w:pPr>
              <w:pStyle w:val="103"/>
              <w:ind w:firstLine="480"/>
              <w:rPr>
                <w:sz w:val="24"/>
                <w:szCs w:val="24"/>
              </w:rPr>
            </w:pPr>
            <w:r>
              <w:rPr>
                <w:sz w:val="24"/>
                <w:szCs w:val="24"/>
              </w:rPr>
              <w:t>（1）</w:t>
            </w:r>
            <w:r>
              <w:rPr>
                <w:rFonts w:hint="eastAsia"/>
                <w:color w:val="000000"/>
                <w:kern w:val="0"/>
                <w:sz w:val="24"/>
              </w:rPr>
              <w:t>危废间泄漏</w:t>
            </w:r>
            <w:r>
              <w:rPr>
                <w:color w:val="000000"/>
                <w:kern w:val="0"/>
                <w:sz w:val="24"/>
              </w:rPr>
              <w:t>防范措施</w:t>
            </w:r>
          </w:p>
          <w:p w14:paraId="31389914">
            <w:pPr>
              <w:autoSpaceDE w:val="0"/>
              <w:autoSpaceDN w:val="0"/>
              <w:adjustRightInd w:val="0"/>
              <w:spacing w:line="360" w:lineRule="auto"/>
              <w:ind w:firstLine="480" w:firstLineChars="200"/>
              <w:jc w:val="left"/>
              <w:rPr>
                <w:rFonts w:ascii="宋体" w:cs="宋体"/>
                <w:color w:val="000000"/>
                <w:kern w:val="0"/>
                <w:sz w:val="24"/>
              </w:rPr>
            </w:pPr>
            <w:r>
              <w:rPr>
                <w:rFonts w:hint="eastAsia" w:ascii="宋体" w:cs="宋体"/>
                <w:color w:val="000000"/>
                <w:kern w:val="0"/>
                <w:sz w:val="24"/>
              </w:rPr>
              <w:t>①危废的库房做好防腐、防渗、防漏、防雨；定期派人巡视，加强原料的运输、贮存、使用过程的管理。</w:t>
            </w:r>
          </w:p>
          <w:p w14:paraId="6CBF809B">
            <w:pPr>
              <w:autoSpaceDE w:val="0"/>
              <w:autoSpaceDN w:val="0"/>
              <w:adjustRightInd w:val="0"/>
              <w:spacing w:line="360" w:lineRule="auto"/>
              <w:ind w:firstLine="480" w:firstLineChars="200"/>
              <w:jc w:val="left"/>
              <w:rPr>
                <w:rFonts w:ascii="宋体" w:cs="宋体"/>
                <w:color w:val="000000"/>
                <w:kern w:val="0"/>
                <w:sz w:val="24"/>
              </w:rPr>
            </w:pPr>
            <w:r>
              <w:rPr>
                <w:rFonts w:hint="eastAsia" w:ascii="宋体" w:cs="宋体"/>
                <w:color w:val="000000"/>
                <w:kern w:val="0"/>
                <w:sz w:val="24"/>
              </w:rPr>
              <w:t>②原料仓库及危废间严禁火源进入，采用防爆型电气、电讯设施和通风设施；同时，原料的运输、贮存、使用过程的管理，设置专人进行管理，并进行台账记录。</w:t>
            </w:r>
          </w:p>
          <w:p w14:paraId="3278B196">
            <w:pPr>
              <w:pStyle w:val="103"/>
              <w:ind w:firstLine="480"/>
              <w:rPr>
                <w:sz w:val="24"/>
                <w:szCs w:val="24"/>
              </w:rPr>
            </w:pPr>
            <w:r>
              <w:rPr>
                <w:rFonts w:ascii="宋体" w:cs="宋体"/>
                <w:color w:val="000000"/>
                <w:kern w:val="0"/>
                <w:sz w:val="24"/>
              </w:rPr>
              <w:t>③</w:t>
            </w:r>
            <w:r>
              <w:rPr>
                <w:rFonts w:hint="eastAsia" w:ascii="宋体" w:cs="宋体"/>
                <w:color w:val="000000"/>
                <w:kern w:val="0"/>
                <w:sz w:val="24"/>
              </w:rPr>
              <w:t>定期做好仓库及危废间内各类设施检查，确保设施能正常使用</w:t>
            </w:r>
            <w:r>
              <w:rPr>
                <w:sz w:val="24"/>
                <w:szCs w:val="24"/>
              </w:rPr>
              <w:t>。</w:t>
            </w:r>
          </w:p>
          <w:p w14:paraId="3E8F49E9">
            <w:pPr>
              <w:pStyle w:val="103"/>
              <w:ind w:firstLine="480"/>
              <w:rPr>
                <w:sz w:val="24"/>
                <w:szCs w:val="24"/>
              </w:rPr>
            </w:pPr>
            <w:r>
              <w:rPr>
                <w:sz w:val="24"/>
                <w:szCs w:val="24"/>
              </w:rPr>
              <w:t>（</w:t>
            </w:r>
            <w:r>
              <w:rPr>
                <w:rFonts w:hint="eastAsia"/>
                <w:sz w:val="24"/>
                <w:szCs w:val="24"/>
              </w:rPr>
              <w:t>2</w:t>
            </w:r>
            <w:r>
              <w:rPr>
                <w:sz w:val="24"/>
                <w:szCs w:val="24"/>
              </w:rPr>
              <w:t>）</w:t>
            </w:r>
            <w:r>
              <w:rPr>
                <w:color w:val="000000"/>
                <w:kern w:val="0"/>
                <w:sz w:val="24"/>
              </w:rPr>
              <w:t>火灾风险</w:t>
            </w:r>
            <w:r>
              <w:rPr>
                <w:rFonts w:hint="eastAsia"/>
                <w:color w:val="000000"/>
                <w:kern w:val="0"/>
                <w:sz w:val="24"/>
              </w:rPr>
              <w:t>防范</w:t>
            </w:r>
            <w:r>
              <w:rPr>
                <w:color w:val="000000"/>
                <w:kern w:val="0"/>
                <w:sz w:val="24"/>
              </w:rPr>
              <w:t>措施</w:t>
            </w:r>
          </w:p>
          <w:p w14:paraId="116869C9">
            <w:pPr>
              <w:spacing w:line="360" w:lineRule="auto"/>
              <w:ind w:firstLine="480" w:firstLineChars="200"/>
              <w:rPr>
                <w:sz w:val="24"/>
              </w:rPr>
            </w:pPr>
            <w:r>
              <w:rPr>
                <w:sz w:val="24"/>
              </w:rPr>
              <w:t>生产车间、仓库、办公区均配备防火器材，厂房内加强通风换气，预留足够的安全距离，同时有利于火灾扑救和人员疏散；严禁吸烟、携带火种，需要提醒人员注意的地点均应按标准设置各种安全标志，车间与库房存放灭火器，一旦发生事故，随时取用灭火；宜用防爆型电气设备，不可接用临时电源；实行安全检查制度，进行各种日常的、定期的、专用的防火安全检查，便于及时发现问题并落实整改；对员工普及烧伤急救知识及防范急救知识，定期进行安全教育和安全生产培训，不断提高员工灭火操作技能和安全生产规程。</w:t>
            </w:r>
          </w:p>
          <w:p w14:paraId="5CADF722">
            <w:pPr>
              <w:pStyle w:val="103"/>
              <w:ind w:firstLine="480"/>
              <w:rPr>
                <w:sz w:val="24"/>
                <w:szCs w:val="24"/>
              </w:rPr>
            </w:pPr>
            <w:r>
              <w:rPr>
                <w:sz w:val="24"/>
                <w:szCs w:val="24"/>
              </w:rPr>
              <w:t>（</w:t>
            </w:r>
            <w:r>
              <w:rPr>
                <w:rFonts w:hint="eastAsia"/>
                <w:sz w:val="24"/>
                <w:szCs w:val="24"/>
              </w:rPr>
              <w:t>3</w:t>
            </w:r>
            <w:r>
              <w:rPr>
                <w:sz w:val="24"/>
                <w:szCs w:val="24"/>
              </w:rPr>
              <w:t>）</w:t>
            </w:r>
            <w:r>
              <w:rPr>
                <w:rFonts w:hint="eastAsia"/>
                <w:color w:val="000000"/>
                <w:kern w:val="0"/>
                <w:sz w:val="24"/>
              </w:rPr>
              <w:t>废气处理装置故障废气泄漏</w:t>
            </w:r>
            <w:r>
              <w:rPr>
                <w:color w:val="000000"/>
                <w:kern w:val="0"/>
                <w:sz w:val="24"/>
              </w:rPr>
              <w:t>防范措施</w:t>
            </w:r>
          </w:p>
          <w:p w14:paraId="7AB05C9E">
            <w:pPr>
              <w:autoSpaceDE w:val="0"/>
              <w:autoSpaceDN w:val="0"/>
              <w:adjustRightInd w:val="0"/>
              <w:spacing w:line="360" w:lineRule="auto"/>
              <w:ind w:firstLine="480" w:firstLineChars="200"/>
              <w:jc w:val="left"/>
              <w:rPr>
                <w:rFonts w:ascii="宋体" w:cs="宋体"/>
                <w:color w:val="000000"/>
                <w:kern w:val="0"/>
                <w:sz w:val="24"/>
              </w:rPr>
            </w:pPr>
            <w:r>
              <w:rPr>
                <w:rFonts w:hint="eastAsia" w:ascii="宋体" w:cs="宋体"/>
                <w:color w:val="000000"/>
                <w:kern w:val="0"/>
                <w:sz w:val="24"/>
              </w:rPr>
              <w:t>①安排专人对厂内废气处理设施定期检查，保证设施尽可能减少故障次数。</w:t>
            </w:r>
          </w:p>
          <w:p w14:paraId="15E52B69">
            <w:pPr>
              <w:pStyle w:val="103"/>
              <w:ind w:firstLine="480"/>
              <w:rPr>
                <w:sz w:val="24"/>
                <w:szCs w:val="24"/>
              </w:rPr>
            </w:pPr>
            <w:r>
              <w:rPr>
                <w:rFonts w:hint="eastAsia" w:ascii="宋体" w:cs="宋体"/>
                <w:color w:val="000000"/>
                <w:kern w:val="0"/>
                <w:sz w:val="24"/>
              </w:rPr>
              <w:t>②对废气处理做好相应保养，增加设备使用年限</w:t>
            </w:r>
            <w:r>
              <w:rPr>
                <w:sz w:val="24"/>
                <w:szCs w:val="24"/>
              </w:rPr>
              <w:t>。</w:t>
            </w:r>
          </w:p>
          <w:p w14:paraId="40042B34">
            <w:pPr>
              <w:pStyle w:val="103"/>
              <w:ind w:firstLine="480"/>
              <w:rPr>
                <w:rFonts w:hint="eastAsia" w:eastAsia="宋体"/>
                <w:color w:val="auto"/>
                <w:sz w:val="24"/>
                <w:szCs w:val="24"/>
                <w:lang w:val="en-US" w:eastAsia="zh-CN"/>
              </w:rPr>
            </w:pPr>
            <w:r>
              <w:rPr>
                <w:rFonts w:hint="eastAsia"/>
                <w:b/>
                <w:bCs w:val="0"/>
                <w:color w:val="auto"/>
                <w:sz w:val="24"/>
                <w:szCs w:val="24"/>
                <w:lang w:val="en-US" w:eastAsia="zh-CN"/>
              </w:rPr>
              <w:t>4、</w:t>
            </w:r>
            <w:r>
              <w:rPr>
                <w:rFonts w:hint="eastAsia" w:ascii="宋体" w:hAnsi="宋体"/>
                <w:b/>
                <w:bCs/>
                <w:color w:val="000000"/>
                <w:sz w:val="24"/>
              </w:rPr>
              <w:t>风险评价小结</w:t>
            </w:r>
          </w:p>
          <w:p w14:paraId="33691C03">
            <w:pPr>
              <w:pStyle w:val="9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建设项目位于</w:t>
            </w:r>
            <w:r>
              <w:rPr>
                <w:rFonts w:hint="eastAsia"/>
                <w:sz w:val="24"/>
                <w:lang w:val="en-US" w:eastAsia="zh-CN"/>
              </w:rPr>
              <w:t>安徽省宿州市桃园镇桃园村寨东组进矿路北侧</w:t>
            </w:r>
            <w:r>
              <w:rPr>
                <w:rFonts w:hint="default" w:ascii="Times New Roman" w:hAnsi="Times New Roman" w:cs="Times New Roman"/>
                <w:color w:val="000000"/>
                <w:sz w:val="24"/>
                <w:szCs w:val="24"/>
              </w:rPr>
              <w:t>，项目风险源主要为</w:t>
            </w:r>
            <w:r>
              <w:rPr>
                <w:rFonts w:hint="default" w:ascii="Times New Roman" w:hAnsi="Times New Roman" w:cs="Times New Roman"/>
                <w:bCs/>
                <w:color w:val="000000"/>
                <w:sz w:val="24"/>
                <w:szCs w:val="24"/>
              </w:rPr>
              <w:t>危废间泄漏污染大气、土壤、地下水；火灾</w:t>
            </w:r>
            <w:r>
              <w:rPr>
                <w:rFonts w:hint="default" w:ascii="Times New Roman" w:hAnsi="Times New Roman" w:cs="Times New Roman"/>
                <w:color w:val="000000"/>
                <w:sz w:val="24"/>
                <w:szCs w:val="24"/>
              </w:rPr>
              <w:t>消防废水泄漏污染地表水、地下水、土壤，火灾烟气泄漏污染大气；废气处理装置故障导致废气泄漏造成大气污染。本评价通过分析、评价可以得出以下的结论：</w:t>
            </w:r>
          </w:p>
          <w:p w14:paraId="33C847B3">
            <w:pPr>
              <w:pStyle w:val="9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①本项目无重大危险源。</w:t>
            </w:r>
          </w:p>
          <w:p w14:paraId="4FE5C6CF">
            <w:pPr>
              <w:pStyle w:val="103"/>
              <w:ind w:firstLine="480"/>
              <w:rPr>
                <w:rFonts w:hint="default" w:ascii="Times New Roman" w:hAnsi="Times New Roman" w:cs="Times New Roman"/>
                <w:sz w:val="24"/>
                <w:szCs w:val="24"/>
              </w:rPr>
            </w:pPr>
            <w:r>
              <w:rPr>
                <w:rFonts w:hint="default" w:ascii="Times New Roman" w:hAnsi="Times New Roman" w:cs="Times New Roman"/>
                <w:color w:val="000000"/>
                <w:sz w:val="24"/>
                <w:szCs w:val="24"/>
              </w:rPr>
              <w:t>②通过实施本报告中提出的污染防治措施，项目发生事故时会对事故区域产生一定的污染影响，但该影响基本位于厂区以内，环境风险水平可以接受</w:t>
            </w:r>
            <w:r>
              <w:rPr>
                <w:rFonts w:hint="default" w:ascii="Times New Roman" w:hAnsi="Times New Roman" w:cs="Times New Roman"/>
                <w:sz w:val="24"/>
                <w:szCs w:val="24"/>
              </w:rPr>
              <w:t>。</w:t>
            </w:r>
          </w:p>
          <w:p w14:paraId="10952AB2">
            <w:pPr>
              <w:tabs>
                <w:tab w:val="left" w:pos="0"/>
              </w:tabs>
              <w:spacing w:line="360" w:lineRule="auto"/>
              <w:rPr>
                <w:b/>
                <w:color w:val="auto"/>
                <w:spacing w:val="4"/>
                <w:sz w:val="24"/>
              </w:rPr>
            </w:pPr>
            <w:r>
              <w:rPr>
                <w:b/>
                <w:color w:val="auto"/>
                <w:spacing w:val="4"/>
                <w:sz w:val="24"/>
              </w:rPr>
              <w:t>4.7排污</w:t>
            </w:r>
            <w:r>
              <w:rPr>
                <w:rFonts w:hint="eastAsia"/>
                <w:b/>
                <w:color w:val="auto"/>
                <w:spacing w:val="4"/>
                <w:sz w:val="24"/>
              </w:rPr>
              <w:t>许可联动内容</w:t>
            </w:r>
          </w:p>
          <w:p w14:paraId="1F8B4485">
            <w:pPr>
              <w:spacing w:line="351" w:lineRule="auto"/>
              <w:ind w:firstLine="482" w:firstLineChars="200"/>
              <w:rPr>
                <w:b/>
                <w:color w:val="auto"/>
                <w:sz w:val="24"/>
              </w:rPr>
            </w:pPr>
            <w:r>
              <w:rPr>
                <w:rFonts w:hint="eastAsia"/>
                <w:b/>
                <w:color w:val="auto"/>
                <w:sz w:val="24"/>
              </w:rPr>
              <w:t>1、</w:t>
            </w:r>
            <w:r>
              <w:rPr>
                <w:b/>
                <w:color w:val="auto"/>
                <w:sz w:val="24"/>
              </w:rPr>
              <w:t>排污许可管理类别判定</w:t>
            </w:r>
          </w:p>
          <w:p w14:paraId="24852212">
            <w:pPr>
              <w:spacing w:line="351" w:lineRule="auto"/>
              <w:ind w:firstLine="480" w:firstLineChars="200"/>
              <w:rPr>
                <w:rFonts w:ascii="Times New Roman" w:hAnsi="Times New Roman" w:eastAsia="宋体" w:cs="Times New Roman"/>
                <w:bCs/>
                <w:color w:val="auto"/>
                <w:sz w:val="24"/>
              </w:rPr>
            </w:pPr>
            <w:r>
              <w:rPr>
                <w:rFonts w:ascii="Times New Roman" w:hAnsi="Times New Roman" w:eastAsia="宋体" w:cs="Times New Roman"/>
                <w:color w:val="auto"/>
                <w:sz w:val="24"/>
                <w:szCs w:val="24"/>
              </w:rPr>
              <w:t>对照《固定污染源排污许可分类管理名录（2019年版）》，属于该名录列明的应重点管理、简化管理的行业，或含其五十一条规定的通用工序的，应在调试前取得排污许可证。本项目</w:t>
            </w:r>
            <w:r>
              <w:rPr>
                <w:rFonts w:hint="eastAsia" w:ascii="Times New Roman" w:hAnsi="Times New Roman" w:eastAsia="宋体" w:cs="Times New Roman"/>
                <w:color w:val="auto"/>
                <w:sz w:val="24"/>
                <w:szCs w:val="24"/>
                <w:lang w:val="en-US" w:eastAsia="zh-CN"/>
              </w:rPr>
              <w:t>涉及</w:t>
            </w:r>
            <w:r>
              <w:rPr>
                <w:rFonts w:ascii="Times New Roman" w:hAnsi="Times New Roman" w:eastAsia="宋体" w:cs="Times New Roman"/>
                <w:color w:val="auto"/>
                <w:sz w:val="24"/>
                <w:szCs w:val="24"/>
              </w:rPr>
              <w:t>改性的塑料薄膜制造</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建成后能够</w:t>
            </w:r>
            <w:r>
              <w:rPr>
                <w:rFonts w:hint="eastAsia" w:ascii="Times New Roman" w:hAnsi="Times New Roman" w:eastAsia="宋体" w:cs="Times New Roman"/>
                <w:color w:val="auto"/>
                <w:sz w:val="24"/>
                <w:szCs w:val="24"/>
                <w:highlight w:val="none"/>
              </w:rPr>
              <w:t>实现</w:t>
            </w:r>
            <w:r>
              <w:rPr>
                <w:rFonts w:hint="eastAsia" w:ascii="Times New Roman" w:hAnsi="Times New Roman" w:eastAsia="宋体" w:cs="Times New Roman"/>
                <w:bCs/>
                <w:color w:val="auto"/>
                <w:sz w:val="24"/>
                <w:szCs w:val="24"/>
                <w:highlight w:val="none"/>
                <w:lang w:eastAsia="zh-CN"/>
              </w:rPr>
              <w:t>年产</w:t>
            </w:r>
            <w:r>
              <w:rPr>
                <w:rFonts w:hint="eastAsia" w:ascii="Times New Roman" w:hAnsi="Times New Roman" w:eastAsia="宋体"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eastAsia="zh-CN"/>
              </w:rPr>
              <w:t>000吨</w:t>
            </w:r>
            <w:r>
              <w:rPr>
                <w:rFonts w:hint="eastAsia" w:ascii="Times New Roman" w:hAnsi="Times New Roman" w:eastAsia="宋体" w:cs="Times New Roman"/>
                <w:bCs/>
                <w:color w:val="auto"/>
                <w:sz w:val="24"/>
                <w:szCs w:val="24"/>
                <w:highlight w:val="none"/>
                <w:lang w:val="en-US" w:eastAsia="zh-CN"/>
              </w:rPr>
              <w:t>秸秆捆草网</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总产量低于</w:t>
            </w:r>
            <w:r>
              <w:rPr>
                <w:rFonts w:hint="eastAsia" w:ascii="Times New Roman" w:hAnsi="Times New Roman" w:eastAsia="宋体" w:cs="Times New Roman"/>
                <w:color w:val="auto"/>
                <w:sz w:val="24"/>
                <w:szCs w:val="24"/>
                <w:highlight w:val="none"/>
                <w:lang w:val="en-US" w:eastAsia="zh-CN"/>
              </w:rPr>
              <w:t>1万吨，</w:t>
            </w:r>
            <w:r>
              <w:rPr>
                <w:rFonts w:hint="eastAsia" w:ascii="Times New Roman" w:hAnsi="Times New Roman" w:eastAsia="宋体" w:cs="Times New Roman"/>
                <w:color w:val="auto"/>
                <w:sz w:val="24"/>
                <w:szCs w:val="24"/>
                <w:highlight w:val="none"/>
              </w:rPr>
              <w:t>此</w:t>
            </w:r>
            <w:r>
              <w:rPr>
                <w:rFonts w:hint="eastAsia" w:ascii="Times New Roman" w:hAnsi="Times New Roman" w:eastAsia="宋体" w:cs="Times New Roman"/>
                <w:color w:val="auto"/>
                <w:sz w:val="24"/>
                <w:szCs w:val="24"/>
              </w:rPr>
              <w:t>外，</w:t>
            </w:r>
            <w:r>
              <w:rPr>
                <w:rFonts w:hint="eastAsia" w:ascii="Times New Roman" w:hAnsi="Times New Roman" w:eastAsia="宋体" w:cs="Times New Roman"/>
                <w:color w:val="auto"/>
                <w:sz w:val="24"/>
                <w:szCs w:val="24"/>
                <w:lang w:eastAsia="zh-CN"/>
              </w:rPr>
              <w:t>项目不涉及通用工序</w:t>
            </w:r>
            <w:r>
              <w:rPr>
                <w:rFonts w:hint="eastAsia" w:ascii="Times New Roman" w:hAnsi="Times New Roman" w:eastAsia="宋体" w:cs="Times New Roman"/>
                <w:color w:val="auto"/>
                <w:sz w:val="24"/>
                <w:szCs w:val="24"/>
              </w:rPr>
              <w:t>。根据分类管理名录，本项目排污许可管理类别为登记管理</w:t>
            </w:r>
            <w:r>
              <w:rPr>
                <w:rFonts w:ascii="Times New Roman" w:hAnsi="Times New Roman" w:eastAsia="宋体" w:cs="Times New Roman"/>
                <w:color w:val="auto"/>
                <w:sz w:val="24"/>
                <w:szCs w:val="24"/>
              </w:rPr>
              <w:t>。</w:t>
            </w:r>
            <w:r>
              <w:rPr>
                <w:rFonts w:ascii="Times New Roman" w:hAnsi="Times New Roman" w:eastAsia="宋体" w:cs="Times New Roman"/>
                <w:bCs/>
                <w:color w:val="auto"/>
                <w:sz w:val="24"/>
                <w:szCs w:val="24"/>
              </w:rPr>
              <w:t>具体</w:t>
            </w:r>
            <w:r>
              <w:rPr>
                <w:rFonts w:hint="eastAsia" w:ascii="Times New Roman" w:hAnsi="Times New Roman" w:eastAsia="宋体" w:cs="Times New Roman"/>
                <w:bCs/>
                <w:color w:val="auto"/>
                <w:sz w:val="24"/>
                <w:szCs w:val="24"/>
              </w:rPr>
              <w:t>判定情况</w:t>
            </w:r>
            <w:r>
              <w:rPr>
                <w:rFonts w:ascii="Times New Roman" w:hAnsi="Times New Roman" w:eastAsia="宋体" w:cs="Times New Roman"/>
                <w:bCs/>
                <w:color w:val="auto"/>
                <w:sz w:val="24"/>
                <w:szCs w:val="24"/>
              </w:rPr>
              <w:t>见下表。</w:t>
            </w:r>
          </w:p>
          <w:p w14:paraId="7EFAA401">
            <w:pPr>
              <w:widowControl/>
              <w:numPr>
                <w:ilvl w:val="0"/>
                <w:numId w:val="13"/>
              </w:numPr>
              <w:tabs>
                <w:tab w:val="left" w:pos="420"/>
                <w:tab w:val="clear" w:pos="0"/>
              </w:tabs>
              <w:ind w:left="0" w:leftChars="0" w:firstLine="0" w:firstLineChars="0"/>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排污许可分类管理判定</w:t>
            </w:r>
          </w:p>
          <w:tbl>
            <w:tblPr>
              <w:tblStyle w:val="34"/>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668"/>
              <w:gridCol w:w="1264"/>
              <w:gridCol w:w="4088"/>
              <w:gridCol w:w="1176"/>
            </w:tblGrid>
            <w:tr w14:paraId="53B9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88D864F">
                  <w:pPr>
                    <w:ind w:left="-42" w:leftChars="-20" w:right="-42" w:rightChars="-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950" w:type="pct"/>
                  <w:noWrap w:val="0"/>
                  <w:vAlign w:val="center"/>
                </w:tcPr>
                <w:p w14:paraId="67C0929F">
                  <w:pPr>
                    <w:ind w:left="-42" w:leftChars="-20" w:right="-42" w:rightChars="-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行业类别</w:t>
                  </w:r>
                </w:p>
              </w:tc>
              <w:tc>
                <w:tcPr>
                  <w:tcW w:w="720" w:type="pct"/>
                  <w:noWrap w:val="0"/>
                  <w:vAlign w:val="center"/>
                </w:tcPr>
                <w:p w14:paraId="72238F78">
                  <w:pPr>
                    <w:ind w:left="-42" w:leftChars="-20" w:right="-42" w:rightChars="-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重点管理</w:t>
                  </w:r>
                </w:p>
              </w:tc>
              <w:tc>
                <w:tcPr>
                  <w:tcW w:w="2328" w:type="pct"/>
                  <w:noWrap w:val="0"/>
                  <w:vAlign w:val="center"/>
                </w:tcPr>
                <w:p w14:paraId="2B7E13BB">
                  <w:pPr>
                    <w:ind w:left="-42" w:leftChars="-20" w:right="-42" w:rightChars="-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简化管理</w:t>
                  </w:r>
                </w:p>
              </w:tc>
              <w:tc>
                <w:tcPr>
                  <w:tcW w:w="666" w:type="pct"/>
                  <w:noWrap w:val="0"/>
                  <w:vAlign w:val="center"/>
                </w:tcPr>
                <w:p w14:paraId="32F4CE5C">
                  <w:pPr>
                    <w:ind w:left="-42" w:leftChars="-20" w:right="-42" w:rightChars="-2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登记管理</w:t>
                  </w:r>
                </w:p>
              </w:tc>
            </w:tr>
            <w:tr w14:paraId="776C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14:paraId="14145B73">
                  <w:pPr>
                    <w:jc w:val="left"/>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二十四、 橡胶和塑料制品业 29</w:t>
                  </w:r>
                </w:p>
              </w:tc>
            </w:tr>
            <w:tr w14:paraId="1397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shd w:val="clear" w:color="auto" w:fill="auto"/>
                  <w:noWrap w:val="0"/>
                  <w:vAlign w:val="center"/>
                </w:tcPr>
                <w:p w14:paraId="0DE426CD">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62</w:t>
                  </w:r>
                </w:p>
              </w:tc>
              <w:tc>
                <w:tcPr>
                  <w:tcW w:w="950" w:type="pct"/>
                  <w:shd w:val="clear" w:color="auto" w:fill="auto"/>
                  <w:noWrap w:val="0"/>
                  <w:vAlign w:val="center"/>
                </w:tcPr>
                <w:p w14:paraId="34EA8DE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eastAsia="zh-CN"/>
                    </w:rPr>
                    <w:t>塑料制品业</w:t>
                  </w:r>
                  <w:r>
                    <w:rPr>
                      <w:rFonts w:hint="eastAsia" w:ascii="Times New Roman" w:hAnsi="Times New Roman" w:eastAsia="宋体" w:cs="Times New Roman"/>
                      <w:bCs/>
                      <w:color w:val="auto"/>
                      <w:szCs w:val="21"/>
                      <w:lang w:val="en-US" w:eastAsia="zh-CN"/>
                    </w:rPr>
                    <w:t>292</w:t>
                  </w:r>
                </w:p>
              </w:tc>
              <w:tc>
                <w:tcPr>
                  <w:tcW w:w="720" w:type="pct"/>
                  <w:shd w:val="clear" w:color="auto" w:fill="auto"/>
                  <w:noWrap w:val="0"/>
                  <w:vAlign w:val="center"/>
                </w:tcPr>
                <w:p w14:paraId="1B089F9F">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塑料人造革、合成革制造 2925</w:t>
                  </w:r>
                </w:p>
              </w:tc>
              <w:tc>
                <w:tcPr>
                  <w:tcW w:w="2328" w:type="pct"/>
                  <w:shd w:val="clear" w:color="auto" w:fill="auto"/>
                  <w:noWrap w:val="0"/>
                  <w:vAlign w:val="center"/>
                </w:tcPr>
                <w:p w14:paraId="01022D3E">
                  <w:pPr>
                    <w:ind w:left="-42" w:leftChars="-20" w:right="-42" w:rightChars="-20"/>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年产1万吨及以上的泡沫塑料制造2924，年产1万吨及以上涉及改性的塑料薄膜制造2921、塑料板、管、型材制造</w:t>
                  </w:r>
                  <w:r>
                    <w:rPr>
                      <w:rFonts w:hint="eastAsia" w:ascii="Times New Roman" w:hAnsi="Times New Roman" w:eastAsia="宋体" w:cs="Times New Roman"/>
                      <w:b w:val="0"/>
                      <w:bCs/>
                      <w:color w:val="auto"/>
                      <w:szCs w:val="21"/>
                    </w:rPr>
                    <w:t>2922、塑料丝、绳和编织品制造</w:t>
                  </w:r>
                  <w:r>
                    <w:rPr>
                      <w:rFonts w:hint="eastAsia" w:ascii="Times New Roman" w:hAnsi="Times New Roman" w:eastAsia="宋体" w:cs="Times New Roman"/>
                      <w:bCs/>
                      <w:color w:val="auto"/>
                      <w:szCs w:val="21"/>
                    </w:rPr>
                    <w:t>2923、塑料包装箱及容器制造2926、日用塑料品制造2927、人造草坪制造2928、塑料零件及其他塑料制品制造2929</w:t>
                  </w:r>
                </w:p>
              </w:tc>
              <w:tc>
                <w:tcPr>
                  <w:tcW w:w="666" w:type="pct"/>
                  <w:shd w:val="clear" w:color="auto" w:fill="F1F1F1"/>
                  <w:noWrap w:val="0"/>
                  <w:vAlign w:val="center"/>
                </w:tcPr>
                <w:p w14:paraId="0B83258E">
                  <w:pPr>
                    <w:ind w:left="-42" w:leftChars="-20" w:right="-42" w:rightChars="-20"/>
                    <w:jc w:val="center"/>
                    <w:rPr>
                      <w:rFonts w:ascii="Times New Roman" w:hAnsi="Times New Roman" w:eastAsia="宋体" w:cs="Times New Roman"/>
                      <w:bCs/>
                      <w:color w:val="auto"/>
                      <w:szCs w:val="21"/>
                    </w:rPr>
                  </w:pPr>
                  <w:r>
                    <w:rPr>
                      <w:rFonts w:ascii="Times New Roman" w:hAnsi="Times New Roman" w:eastAsia="宋体" w:cs="Times New Roman"/>
                      <w:bCs/>
                      <w:color w:val="auto"/>
                      <w:szCs w:val="21"/>
                    </w:rPr>
                    <w:t>其他</w:t>
                  </w:r>
                  <w:r>
                    <w:rPr>
                      <w:rFonts w:ascii="Times New Roman" w:hAnsi="Times New Roman" w:eastAsia="宋体_x0017_.伀.伀." w:cs="Times New Roman"/>
                      <w:color w:val="auto"/>
                      <w:szCs w:val="21"/>
                    </w:rPr>
                    <w:t>*</w:t>
                  </w:r>
                </w:p>
              </w:tc>
            </w:tr>
            <w:tr w14:paraId="02EE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noWrap w:val="0"/>
                  <w:vAlign w:val="center"/>
                </w:tcPr>
                <w:p w14:paraId="73E27FC2">
                  <w:pPr>
                    <w:ind w:left="-42" w:leftChars="-20" w:right="-42" w:rightChars="-2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rPr>
                    <w:t>注1.表格中标“*”号者，是指在工业建筑中生产的排污单位。工业建筑的定义参见《工程结构设计基本术语标准》（GB/T50083-2014），是指提供生产用的各种建筑物，如车间、厂前区建筑、生活间、动力站、库房和运输设施等。</w:t>
                  </w:r>
                </w:p>
              </w:tc>
            </w:tr>
          </w:tbl>
          <w:p w14:paraId="206D6952">
            <w:pPr>
              <w:spacing w:line="351" w:lineRule="auto"/>
              <w:ind w:firstLine="482" w:firstLineChars="200"/>
              <w:rPr>
                <w:rFonts w:ascii="Times New Roman" w:hAnsi="Times New Roman" w:eastAsia="宋体" w:cs="Times New Roman"/>
                <w:b/>
                <w:color w:val="auto"/>
                <w:sz w:val="24"/>
              </w:rPr>
            </w:pPr>
            <w:r>
              <w:rPr>
                <w:rFonts w:hint="eastAsia" w:ascii="Times New Roman" w:hAnsi="Times New Roman" w:eastAsia="宋体" w:cs="Times New Roman"/>
                <w:b/>
                <w:color w:val="auto"/>
                <w:sz w:val="24"/>
              </w:rPr>
              <w:t>2</w:t>
            </w:r>
            <w:r>
              <w:rPr>
                <w:rFonts w:ascii="Times New Roman" w:hAnsi="Times New Roman" w:eastAsia="宋体" w:cs="Times New Roman"/>
                <w:b/>
                <w:color w:val="auto"/>
                <w:sz w:val="24"/>
              </w:rPr>
              <w:t>、</w:t>
            </w:r>
            <w:r>
              <w:rPr>
                <w:rFonts w:hint="eastAsia" w:ascii="Times New Roman" w:hAnsi="Times New Roman" w:eastAsia="宋体" w:cs="Times New Roman"/>
                <w:b/>
                <w:color w:val="auto"/>
                <w:sz w:val="24"/>
              </w:rPr>
              <w:t>排污许可</w:t>
            </w:r>
            <w:r>
              <w:rPr>
                <w:rFonts w:ascii="Times New Roman" w:hAnsi="Times New Roman" w:eastAsia="宋体" w:cs="Times New Roman"/>
                <w:b/>
                <w:color w:val="auto"/>
                <w:sz w:val="24"/>
              </w:rPr>
              <w:t>适用技术规范</w:t>
            </w:r>
          </w:p>
          <w:p w14:paraId="5AC56795">
            <w:pPr>
              <w:spacing w:line="351"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rPr>
              <w:t>适用的</w:t>
            </w:r>
            <w:r>
              <w:rPr>
                <w:rFonts w:ascii="Times New Roman" w:hAnsi="Times New Roman" w:eastAsia="宋体" w:cs="Times New Roman"/>
                <w:color w:val="auto"/>
                <w:sz w:val="24"/>
              </w:rPr>
              <w:t>排污许可技术规范为《排污许可证申请与核发技术规范 总则》（HJ942-2018）</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《排污许可证申请与核发技术规范 橡胶和塑料制品业》（HJ1122-2020）</w:t>
            </w:r>
            <w:r>
              <w:rPr>
                <w:rFonts w:ascii="Times New Roman" w:hAnsi="Times New Roman" w:eastAsia="宋体" w:cs="Times New Roman"/>
                <w:color w:val="auto"/>
                <w:sz w:val="24"/>
              </w:rPr>
              <w:t>。环评要求本次建设完成后有排污活动之前，</w:t>
            </w:r>
            <w:r>
              <w:rPr>
                <w:rFonts w:ascii="Times New Roman" w:hAnsi="Times New Roman" w:eastAsia="宋体" w:cs="Times New Roman"/>
                <w:color w:val="auto"/>
                <w:sz w:val="24"/>
                <w:highlight w:val="none"/>
              </w:rPr>
              <w:t>及时</w:t>
            </w:r>
            <w:r>
              <w:rPr>
                <w:rFonts w:hint="eastAsia" w:ascii="Times New Roman" w:hAnsi="Times New Roman" w:eastAsia="宋体" w:cs="Times New Roman"/>
                <w:color w:val="auto"/>
                <w:sz w:val="24"/>
                <w:highlight w:val="none"/>
              </w:rPr>
              <w:t>进行排污许可登记</w:t>
            </w:r>
            <w:r>
              <w:rPr>
                <w:rFonts w:ascii="Times New Roman" w:hAnsi="Times New Roman" w:eastAsia="宋体" w:cs="Times New Roman"/>
                <w:color w:val="auto"/>
                <w:sz w:val="24"/>
                <w:highlight w:val="none"/>
              </w:rPr>
              <w:t>。</w:t>
            </w:r>
          </w:p>
          <w:p w14:paraId="7138AF64">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安徽省生态环境厅关于统筹做好固定污染源排污许可日常监管工作的通知》（皖环发[2021]7号），“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和《建设项目排污许可申请与填报信息表》，生态环境部门在环评文件受理和审批过程中同步审核。”</w:t>
            </w:r>
            <w:r>
              <w:rPr>
                <w:rFonts w:hint="eastAsia" w:ascii="Times New Roman" w:hAnsi="Times New Roman" w:eastAsia="宋体" w:cs="Times New Roman"/>
                <w:color w:val="auto"/>
                <w:sz w:val="24"/>
                <w:highlight w:val="none"/>
              </w:rPr>
              <w:t>本项目属于排污许可登记管理项目，无需在环评中明确排污许可联动</w:t>
            </w:r>
            <w:r>
              <w:rPr>
                <w:rFonts w:hint="eastAsia" w:ascii="Times New Roman" w:hAnsi="Times New Roman" w:eastAsia="宋体" w:cs="Times New Roman"/>
                <w:color w:val="auto"/>
                <w:sz w:val="24"/>
                <w:highlight w:val="none"/>
                <w:lang w:val="en-US" w:eastAsia="zh-CN"/>
              </w:rPr>
              <w:t>相关</w:t>
            </w:r>
            <w:r>
              <w:rPr>
                <w:rFonts w:hint="eastAsia" w:ascii="Times New Roman" w:hAnsi="Times New Roman" w:eastAsia="宋体" w:cs="Times New Roman"/>
                <w:color w:val="auto"/>
                <w:sz w:val="24"/>
                <w:highlight w:val="none"/>
              </w:rPr>
              <w:t>内容</w:t>
            </w:r>
            <w:r>
              <w:rPr>
                <w:rFonts w:ascii="Times New Roman" w:hAnsi="Times New Roman" w:eastAsia="宋体" w:cs="Times New Roman"/>
                <w:color w:val="auto"/>
                <w:sz w:val="24"/>
                <w:highlight w:val="none"/>
              </w:rPr>
              <w:t>。</w:t>
            </w:r>
          </w:p>
          <w:p w14:paraId="0B88DBF7">
            <w:pPr>
              <w:spacing w:line="360" w:lineRule="auto"/>
              <w:ind w:firstLine="482"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rPr>
              <w:t>3</w:t>
            </w:r>
            <w:r>
              <w:rPr>
                <w:rFonts w:ascii="Times New Roman" w:hAnsi="Times New Roman" w:eastAsia="宋体" w:cs="Times New Roman"/>
                <w:b/>
                <w:bCs/>
                <w:color w:val="auto"/>
                <w:sz w:val="24"/>
              </w:rPr>
              <w:t>、</w:t>
            </w:r>
            <w:r>
              <w:rPr>
                <w:rFonts w:hint="eastAsia" w:ascii="Times New Roman" w:hAnsi="Times New Roman" w:eastAsia="宋体" w:cs="Times New Roman"/>
                <w:b/>
                <w:bCs/>
                <w:color w:val="auto"/>
                <w:sz w:val="24"/>
              </w:rPr>
              <w:t>污染物</w:t>
            </w:r>
            <w:r>
              <w:rPr>
                <w:rFonts w:ascii="Times New Roman" w:hAnsi="Times New Roman" w:eastAsia="宋体" w:cs="Times New Roman"/>
                <w:b/>
                <w:bCs/>
                <w:color w:val="auto"/>
                <w:sz w:val="24"/>
              </w:rPr>
              <w:t>排放监测计划</w:t>
            </w:r>
          </w:p>
          <w:p w14:paraId="2B22CF8E">
            <w:pPr>
              <w:widowControl w:val="0"/>
              <w:numPr>
                <w:ilvl w:val="0"/>
                <w:numId w:val="19"/>
              </w:numPr>
              <w:adjustRightInd w:val="0"/>
              <w:snapToGrid w:val="0"/>
              <w:spacing w:line="360" w:lineRule="auto"/>
              <w:ind w:firstLine="480" w:firstLineChars="200"/>
              <w:jc w:val="left"/>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地下水及土壤环境</w:t>
            </w:r>
          </w:p>
          <w:p w14:paraId="4CCD23BA">
            <w:pPr>
              <w:widowControl w:val="0"/>
              <w:tabs>
                <w:tab w:val="left" w:pos="0"/>
              </w:tabs>
              <w:adjustRightInd w:val="0"/>
              <w:snapToGrid w:val="0"/>
              <w:spacing w:line="360" w:lineRule="auto"/>
              <w:ind w:firstLine="480" w:firstLineChars="200"/>
              <w:jc w:val="left"/>
              <w:rPr>
                <w:rFonts w:hint="eastAsia" w:ascii="Times New Roman" w:hAnsi="Times New Roman" w:eastAsia="宋体" w:cs="Times New Roman"/>
                <w:bCs/>
                <w:color w:val="auto"/>
                <w:kern w:val="28"/>
                <w:sz w:val="24"/>
                <w:szCs w:val="21"/>
                <w:lang w:val="en-US" w:eastAsia="zh-CN" w:bidi="ar-SA"/>
              </w:rPr>
            </w:pPr>
            <w:r>
              <w:rPr>
                <w:rFonts w:ascii="Times New Roman" w:hAnsi="Times New Roman" w:eastAsia="宋体" w:cs="Times New Roman"/>
                <w:bCs/>
                <w:color w:val="auto"/>
                <w:kern w:val="28"/>
                <w:sz w:val="24"/>
                <w:szCs w:val="21"/>
                <w:lang w:val="en-US" w:eastAsia="zh-CN" w:bidi="ar-SA"/>
              </w:rPr>
              <w:t>对照《环境影响评价技术导则 地下水环境》（HJ610-2016），本项目属于“</w:t>
            </w:r>
            <w:r>
              <w:rPr>
                <w:rFonts w:hint="eastAsia" w:ascii="Times New Roman" w:hAnsi="Times New Roman" w:eastAsia="宋体" w:cs="Times New Roman"/>
                <w:bCs/>
                <w:color w:val="auto"/>
                <w:kern w:val="28"/>
                <w:sz w:val="24"/>
                <w:szCs w:val="21"/>
                <w:lang w:val="en-US" w:eastAsia="zh-CN" w:bidi="ar-SA"/>
              </w:rPr>
              <w:t>N轻工</w:t>
            </w:r>
            <w:r>
              <w:rPr>
                <w:rFonts w:ascii="Times New Roman" w:hAnsi="Times New Roman" w:eastAsia="宋体" w:cs="Times New Roman"/>
                <w:bCs/>
                <w:color w:val="auto"/>
                <w:kern w:val="28"/>
                <w:sz w:val="24"/>
                <w:szCs w:val="21"/>
                <w:lang w:val="en-US" w:eastAsia="zh-CN" w:bidi="ar-SA"/>
              </w:rPr>
              <w:t>——</w:t>
            </w:r>
            <w:r>
              <w:rPr>
                <w:rFonts w:hint="eastAsia" w:ascii="Times New Roman" w:hAnsi="Times New Roman" w:eastAsia="宋体" w:cs="Times New Roman"/>
                <w:bCs/>
                <w:color w:val="auto"/>
                <w:kern w:val="28"/>
                <w:sz w:val="24"/>
                <w:szCs w:val="21"/>
                <w:lang w:val="en-US" w:eastAsia="zh-CN" w:bidi="ar-SA"/>
              </w:rPr>
              <w:t>116、塑料制品制造</w:t>
            </w:r>
            <w:r>
              <w:rPr>
                <w:rFonts w:ascii="Times New Roman" w:hAnsi="Times New Roman" w:eastAsia="宋体" w:cs="Times New Roman"/>
                <w:bCs/>
                <w:color w:val="auto"/>
                <w:kern w:val="28"/>
                <w:sz w:val="24"/>
                <w:szCs w:val="21"/>
                <w:lang w:val="en-US" w:eastAsia="zh-CN" w:bidi="ar-SA"/>
              </w:rPr>
              <w:t>——报告表”</w:t>
            </w:r>
            <w:r>
              <w:rPr>
                <w:rFonts w:hint="eastAsia" w:ascii="Times New Roman" w:hAnsi="Times New Roman" w:eastAsia="宋体" w:cs="Times New Roman"/>
                <w:bCs/>
                <w:color w:val="auto"/>
                <w:kern w:val="28"/>
                <w:sz w:val="24"/>
                <w:szCs w:val="21"/>
                <w:lang w:val="en-US" w:eastAsia="zh-CN" w:bidi="ar-SA"/>
              </w:rPr>
              <w:t>，</w:t>
            </w:r>
            <w:r>
              <w:rPr>
                <w:rFonts w:ascii="Times New Roman" w:hAnsi="Times New Roman" w:eastAsia="宋体" w:cs="Times New Roman"/>
                <w:bCs/>
                <w:color w:val="auto"/>
                <w:kern w:val="28"/>
                <w:sz w:val="24"/>
                <w:szCs w:val="21"/>
                <w:lang w:val="en-US" w:eastAsia="zh-CN" w:bidi="ar-SA"/>
              </w:rPr>
              <w:t>为Ⅳ类项目，可不开展地下水环境影响评价工作</w:t>
            </w:r>
            <w:r>
              <w:rPr>
                <w:rFonts w:hint="eastAsia" w:ascii="Times New Roman" w:hAnsi="Times New Roman" w:eastAsia="宋体" w:cs="Times New Roman"/>
                <w:bCs/>
                <w:color w:val="auto"/>
                <w:kern w:val="28"/>
                <w:sz w:val="24"/>
                <w:szCs w:val="21"/>
                <w:lang w:val="en-US" w:eastAsia="zh-CN" w:bidi="ar-SA"/>
              </w:rPr>
              <w:t>。</w:t>
            </w:r>
          </w:p>
          <w:p w14:paraId="1DB3E985">
            <w:pPr>
              <w:widowControl w:val="0"/>
              <w:tabs>
                <w:tab w:val="left" w:pos="0"/>
              </w:tabs>
              <w:adjustRightInd w:val="0"/>
              <w:snapToGrid w:val="0"/>
              <w:spacing w:line="360" w:lineRule="auto"/>
              <w:ind w:firstLine="480" w:firstLineChars="200"/>
              <w:jc w:val="both"/>
              <w:rPr>
                <w:rFonts w:ascii="Times New Roman" w:hAnsi="Times New Roman" w:eastAsia="宋体" w:cs="Times New Roman"/>
                <w:bCs/>
                <w:color w:val="auto"/>
                <w:kern w:val="28"/>
                <w:sz w:val="24"/>
                <w:szCs w:val="21"/>
                <w:lang w:val="en-US" w:eastAsia="zh-CN" w:bidi="ar-SA"/>
              </w:rPr>
            </w:pPr>
            <w:r>
              <w:rPr>
                <w:rFonts w:ascii="Times New Roman" w:hAnsi="Times New Roman" w:eastAsia="宋体" w:cs="Times New Roman"/>
                <w:bCs/>
                <w:color w:val="auto"/>
                <w:kern w:val="28"/>
                <w:sz w:val="24"/>
                <w:szCs w:val="21"/>
                <w:lang w:val="en-US" w:eastAsia="zh-CN" w:bidi="ar-SA"/>
              </w:rPr>
              <w:t>根据《环境影响评价技术导则 土壤环境（试行）》（HJ964-2018），本项目</w:t>
            </w:r>
            <w:r>
              <w:rPr>
                <w:rFonts w:hint="eastAsia" w:ascii="Times New Roman" w:hAnsi="Times New Roman" w:eastAsia="宋体" w:cs="Times New Roman"/>
                <w:bCs/>
                <w:color w:val="auto"/>
                <w:kern w:val="28"/>
                <w:sz w:val="24"/>
                <w:szCs w:val="21"/>
                <w:lang w:val="en-US" w:eastAsia="zh-CN" w:bidi="ar-SA"/>
              </w:rPr>
              <w:t>胶合板生产属于“制造业——其他用品制造——其他”，为Ⅲ类项目。项目占地规模为&lt;5hm</w:t>
            </w:r>
            <w:r>
              <w:rPr>
                <w:rFonts w:hint="eastAsia" w:ascii="Times New Roman" w:hAnsi="Times New Roman" w:eastAsia="宋体" w:cs="Times New Roman"/>
                <w:bCs/>
                <w:color w:val="auto"/>
                <w:kern w:val="28"/>
                <w:sz w:val="24"/>
                <w:szCs w:val="21"/>
                <w:vertAlign w:val="superscript"/>
                <w:lang w:val="en-US" w:eastAsia="zh-CN" w:bidi="ar-SA"/>
              </w:rPr>
              <w:t>2</w:t>
            </w:r>
            <w:r>
              <w:rPr>
                <w:rFonts w:hint="eastAsia" w:ascii="Times New Roman" w:hAnsi="Times New Roman" w:eastAsia="宋体" w:cs="Times New Roman"/>
                <w:bCs/>
                <w:color w:val="auto"/>
                <w:kern w:val="28"/>
                <w:sz w:val="24"/>
                <w:szCs w:val="21"/>
                <w:lang w:val="en-US" w:eastAsia="zh-CN" w:bidi="ar-SA"/>
              </w:rPr>
              <w:t>，属于小型；所在区域土壤环境属于不敏感，可不开展土壤环境影响评价工作</w:t>
            </w:r>
            <w:r>
              <w:rPr>
                <w:rFonts w:hint="eastAsia" w:ascii="Times New Roman" w:hAnsi="宋体" w:eastAsia="宋体" w:cs="宋体"/>
                <w:bCs/>
                <w:color w:val="auto"/>
                <w:kern w:val="2"/>
                <w:sz w:val="24"/>
                <w:szCs w:val="21"/>
                <w:lang w:val="en-US" w:eastAsia="zh-CN" w:bidi="ar-SA"/>
              </w:rPr>
              <w:t>。</w:t>
            </w:r>
          </w:p>
          <w:p w14:paraId="2850EE40">
            <w:pPr>
              <w:widowControl w:val="0"/>
              <w:numPr>
                <w:ilvl w:val="0"/>
                <w:numId w:val="19"/>
              </w:numPr>
              <w:adjustRightInd w:val="0"/>
              <w:snapToGrid w:val="0"/>
              <w:spacing w:line="360" w:lineRule="auto"/>
              <w:ind w:firstLine="480" w:firstLineChars="200"/>
              <w:jc w:val="left"/>
              <w:rPr>
                <w:rFonts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监测计划汇总</w:t>
            </w:r>
          </w:p>
          <w:p w14:paraId="465B04CF">
            <w:pPr>
              <w:widowControl w:val="0"/>
              <w:adjustRightInd w:val="0"/>
              <w:snapToGrid w:val="0"/>
              <w:spacing w:line="360" w:lineRule="auto"/>
              <w:ind w:firstLine="480" w:firstLineChars="200"/>
              <w:jc w:val="both"/>
              <w:rPr>
                <w:rFonts w:hint="eastAsia" w:ascii="Times New Roman" w:hAnsi="Times New Roman" w:eastAsia="宋体" w:cs="Times New Roman"/>
                <w:bCs/>
                <w:color w:val="auto"/>
                <w:kern w:val="2"/>
                <w:sz w:val="24"/>
                <w:szCs w:val="21"/>
                <w:lang w:val="en-US" w:eastAsia="zh-CN" w:bidi="ar-SA"/>
              </w:rPr>
            </w:pPr>
            <w:r>
              <w:rPr>
                <w:rFonts w:ascii="Times New Roman" w:hAnsi="Times New Roman" w:eastAsia="宋体" w:cs="Times New Roman"/>
                <w:bCs/>
                <w:color w:val="auto"/>
                <w:kern w:val="2"/>
                <w:sz w:val="24"/>
                <w:szCs w:val="21"/>
                <w:lang w:val="en-US" w:eastAsia="zh-CN" w:bidi="ar-SA"/>
              </w:rPr>
              <w:t>根据《排污单位自行监测技术指南 总则》（HJ 819-2017）</w:t>
            </w:r>
            <w:r>
              <w:rPr>
                <w:rFonts w:hint="eastAsia" w:ascii="Times New Roman" w:hAnsi="Times New Roman" w:eastAsia="宋体" w:cs="Times New Roman"/>
                <w:bCs/>
                <w:color w:val="auto"/>
                <w:kern w:val="2"/>
                <w:sz w:val="24"/>
                <w:szCs w:val="21"/>
                <w:lang w:val="en-US" w:eastAsia="zh-CN" w:bidi="ar-SA"/>
              </w:rPr>
              <w:t>、《</w:t>
            </w:r>
            <w:r>
              <w:rPr>
                <w:rFonts w:hint="eastAsia" w:ascii="Times New Roman" w:hAnsi="Times New Roman" w:eastAsia="宋体" w:cs="Times New Roman"/>
                <w:bCs/>
                <w:color w:val="auto"/>
                <w:kern w:val="2"/>
                <w:sz w:val="24"/>
                <w:szCs w:val="24"/>
                <w:lang w:val="en-US" w:eastAsia="zh-CN" w:bidi="ar-SA"/>
              </w:rPr>
              <w:t>排污单位自行监测技术指南 橡胶和塑料制品》（HJ 1207-2021）</w:t>
            </w:r>
            <w:r>
              <w:rPr>
                <w:rFonts w:hint="eastAsia" w:ascii="Times New Roman" w:hAnsi="Times New Roman" w:eastAsia="宋体" w:cs="Times New Roman"/>
                <w:bCs/>
                <w:color w:val="auto"/>
                <w:kern w:val="2"/>
                <w:sz w:val="24"/>
                <w:szCs w:val="21"/>
                <w:lang w:val="en-US" w:eastAsia="zh-CN" w:bidi="ar-SA"/>
              </w:rPr>
              <w:t>，汇总</w:t>
            </w:r>
            <w:r>
              <w:rPr>
                <w:rFonts w:ascii="Times New Roman" w:hAnsi="Times New Roman" w:eastAsia="宋体" w:cs="Times New Roman"/>
                <w:bCs/>
                <w:color w:val="auto"/>
                <w:kern w:val="2"/>
                <w:sz w:val="24"/>
                <w:szCs w:val="21"/>
                <w:lang w:val="en-US" w:eastAsia="zh-CN" w:bidi="ar-SA"/>
              </w:rPr>
              <w:t>自行监测计划如下</w:t>
            </w:r>
            <w:r>
              <w:rPr>
                <w:rFonts w:hint="eastAsia" w:ascii="Times New Roman" w:hAnsi="Times New Roman" w:eastAsia="宋体" w:cs="Times New Roman"/>
                <w:bCs/>
                <w:color w:val="auto"/>
                <w:kern w:val="2"/>
                <w:sz w:val="24"/>
                <w:szCs w:val="21"/>
                <w:lang w:val="en-US" w:eastAsia="zh-CN" w:bidi="ar-SA"/>
              </w:rPr>
              <w:t>。</w:t>
            </w:r>
          </w:p>
          <w:p w14:paraId="018D4D26">
            <w:pPr>
              <w:widowControl/>
              <w:numPr>
                <w:ilvl w:val="0"/>
                <w:numId w:val="13"/>
              </w:numPr>
              <w:tabs>
                <w:tab w:val="left" w:pos="420"/>
                <w:tab w:val="clear" w:pos="0"/>
              </w:tabs>
              <w:ind w:left="0" w:leftChars="0" w:firstLine="0" w:firstLineChars="0"/>
              <w:jc w:val="center"/>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rPr>
              <w:t>企业自行</w:t>
            </w:r>
            <w:r>
              <w:rPr>
                <w:rFonts w:ascii="Times New Roman" w:hAnsi="Times New Roman" w:eastAsia="宋体" w:cs="Times New Roman"/>
                <w:b/>
                <w:color w:val="auto"/>
                <w:sz w:val="24"/>
                <w:highlight w:val="none"/>
              </w:rPr>
              <w:t>监测计划</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95"/>
              <w:gridCol w:w="1694"/>
              <w:gridCol w:w="2043"/>
              <w:gridCol w:w="1066"/>
              <w:gridCol w:w="3404"/>
            </w:tblGrid>
            <w:tr w14:paraId="4C72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jc w:val="center"/>
              </w:trPr>
              <w:tc>
                <w:tcPr>
                  <w:tcW w:w="338" w:type="pct"/>
                  <w:noWrap w:val="0"/>
                  <w:vAlign w:val="center"/>
                </w:tcPr>
                <w:p w14:paraId="33508F61">
                  <w:pPr>
                    <w:widowControl/>
                    <w:adjustRightInd w:val="0"/>
                    <w:snapToGrid w:val="0"/>
                    <w:jc w:val="center"/>
                    <w:textAlignment w:val="baseline"/>
                    <w:rPr>
                      <w:rFonts w:ascii="Times New Roman" w:hAnsi="Times New Roman" w:eastAsia="宋体" w:cs="Times New Roman"/>
                      <w:bCs/>
                      <w:color w:val="auto"/>
                      <w:spacing w:val="4"/>
                      <w:kern w:val="0"/>
                      <w:szCs w:val="21"/>
                    </w:rPr>
                  </w:pPr>
                  <w:r>
                    <w:rPr>
                      <w:rFonts w:ascii="Times New Roman" w:hAnsi="Times New Roman" w:eastAsia="宋体" w:cs="Times New Roman"/>
                      <w:bCs/>
                      <w:color w:val="auto"/>
                      <w:spacing w:val="4"/>
                      <w:kern w:val="0"/>
                      <w:szCs w:val="21"/>
                    </w:rPr>
                    <w:t>项目</w:t>
                  </w:r>
                </w:p>
              </w:tc>
              <w:tc>
                <w:tcPr>
                  <w:tcW w:w="962" w:type="pct"/>
                  <w:noWrap w:val="0"/>
                  <w:vAlign w:val="center"/>
                </w:tcPr>
                <w:p w14:paraId="4EC0DA78">
                  <w:pPr>
                    <w:adjustRightInd w:val="0"/>
                    <w:snapToGrid w:val="0"/>
                    <w:jc w:val="center"/>
                    <w:textAlignment w:val="baseline"/>
                    <w:rPr>
                      <w:rFonts w:ascii="Times New Roman" w:hAnsi="Times New Roman" w:eastAsia="宋体" w:cs="Times New Roman"/>
                      <w:bCs/>
                      <w:color w:val="auto"/>
                      <w:spacing w:val="4"/>
                      <w:kern w:val="0"/>
                      <w:szCs w:val="21"/>
                    </w:rPr>
                  </w:pPr>
                  <w:r>
                    <w:rPr>
                      <w:rFonts w:ascii="Times New Roman" w:hAnsi="Times New Roman" w:eastAsia="宋体" w:cs="Times New Roman"/>
                      <w:bCs/>
                      <w:color w:val="auto"/>
                      <w:spacing w:val="4"/>
                      <w:kern w:val="0"/>
                      <w:szCs w:val="21"/>
                    </w:rPr>
                    <w:t>监测点位</w:t>
                  </w:r>
                </w:p>
              </w:tc>
              <w:tc>
                <w:tcPr>
                  <w:tcW w:w="1160" w:type="pct"/>
                  <w:noWrap w:val="0"/>
                  <w:vAlign w:val="center"/>
                </w:tcPr>
                <w:p w14:paraId="4EB3ABDE">
                  <w:pPr>
                    <w:widowControl/>
                    <w:adjustRightInd w:val="0"/>
                    <w:snapToGrid w:val="0"/>
                    <w:jc w:val="center"/>
                    <w:textAlignment w:val="baseline"/>
                    <w:rPr>
                      <w:rFonts w:ascii="Times New Roman" w:hAnsi="Times New Roman" w:eastAsia="宋体" w:cs="Times New Roman"/>
                      <w:bCs/>
                      <w:color w:val="auto"/>
                      <w:spacing w:val="4"/>
                      <w:kern w:val="0"/>
                      <w:szCs w:val="21"/>
                    </w:rPr>
                  </w:pPr>
                  <w:r>
                    <w:rPr>
                      <w:rFonts w:ascii="Times New Roman" w:hAnsi="Times New Roman" w:eastAsia="宋体" w:cs="Times New Roman"/>
                      <w:bCs/>
                      <w:color w:val="auto"/>
                      <w:spacing w:val="4"/>
                      <w:kern w:val="0"/>
                      <w:szCs w:val="21"/>
                    </w:rPr>
                    <w:t>监测指标</w:t>
                  </w:r>
                </w:p>
              </w:tc>
              <w:tc>
                <w:tcPr>
                  <w:tcW w:w="605" w:type="pct"/>
                  <w:noWrap w:val="0"/>
                  <w:vAlign w:val="center"/>
                </w:tcPr>
                <w:p w14:paraId="1A6E9828">
                  <w:pPr>
                    <w:widowControl/>
                    <w:adjustRightInd w:val="0"/>
                    <w:snapToGrid w:val="0"/>
                    <w:jc w:val="center"/>
                    <w:textAlignment w:val="baseline"/>
                    <w:rPr>
                      <w:rFonts w:ascii="Times New Roman" w:hAnsi="Times New Roman" w:eastAsia="宋体" w:cs="Times New Roman"/>
                      <w:bCs/>
                      <w:color w:val="auto"/>
                      <w:spacing w:val="4"/>
                      <w:kern w:val="0"/>
                      <w:szCs w:val="21"/>
                    </w:rPr>
                  </w:pPr>
                  <w:r>
                    <w:rPr>
                      <w:rFonts w:ascii="Times New Roman" w:hAnsi="Times New Roman" w:eastAsia="宋体" w:cs="Times New Roman"/>
                      <w:bCs/>
                      <w:color w:val="auto"/>
                      <w:spacing w:val="4"/>
                      <w:kern w:val="0"/>
                      <w:szCs w:val="21"/>
                    </w:rPr>
                    <w:t>监测频次</w:t>
                  </w:r>
                </w:p>
              </w:tc>
              <w:tc>
                <w:tcPr>
                  <w:tcW w:w="1933" w:type="pct"/>
                  <w:noWrap w:val="0"/>
                  <w:vAlign w:val="center"/>
                </w:tcPr>
                <w:p w14:paraId="7DB0C46E">
                  <w:pPr>
                    <w:widowControl/>
                    <w:adjustRightInd w:val="0"/>
                    <w:snapToGrid w:val="0"/>
                    <w:jc w:val="center"/>
                    <w:textAlignment w:val="baseline"/>
                    <w:rPr>
                      <w:rFonts w:ascii="Times New Roman" w:hAnsi="Times New Roman" w:eastAsia="宋体" w:cs="Times New Roman"/>
                      <w:bCs/>
                      <w:color w:val="auto"/>
                      <w:spacing w:val="4"/>
                      <w:kern w:val="0"/>
                      <w:szCs w:val="21"/>
                    </w:rPr>
                  </w:pPr>
                  <w:r>
                    <w:rPr>
                      <w:rFonts w:ascii="Times New Roman" w:hAnsi="Times New Roman" w:eastAsia="宋体" w:cs="Times New Roman"/>
                      <w:bCs/>
                      <w:color w:val="auto"/>
                      <w:spacing w:val="4"/>
                      <w:kern w:val="0"/>
                      <w:szCs w:val="21"/>
                    </w:rPr>
                    <w:t>执行排放标准</w:t>
                  </w:r>
                </w:p>
              </w:tc>
            </w:tr>
            <w:tr w14:paraId="78FB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38" w:type="pct"/>
                  <w:vMerge w:val="restart"/>
                  <w:noWrap w:val="0"/>
                  <w:vAlign w:val="center"/>
                </w:tcPr>
                <w:p w14:paraId="33A55B06">
                  <w:pPr>
                    <w:adjustRightInd w:val="0"/>
                    <w:snapToGrid w:val="0"/>
                    <w:jc w:val="center"/>
                    <w:textAlignment w:val="baseline"/>
                    <w:rPr>
                      <w:rFonts w:ascii="Times New Roman" w:hAnsi="Times New Roman" w:eastAsia="宋体" w:cs="Times New Roman"/>
                      <w:color w:val="auto"/>
                      <w:spacing w:val="4"/>
                      <w:kern w:val="0"/>
                      <w:szCs w:val="21"/>
                    </w:rPr>
                  </w:pPr>
                  <w:r>
                    <w:rPr>
                      <w:rFonts w:ascii="Times New Roman" w:hAnsi="Times New Roman" w:eastAsia="宋体" w:cs="Times New Roman"/>
                      <w:color w:val="auto"/>
                      <w:spacing w:val="4"/>
                      <w:kern w:val="0"/>
                      <w:szCs w:val="21"/>
                    </w:rPr>
                    <w:t>废气</w:t>
                  </w:r>
                </w:p>
              </w:tc>
              <w:tc>
                <w:tcPr>
                  <w:tcW w:w="962" w:type="pct"/>
                  <w:noWrap w:val="0"/>
                  <w:vAlign w:val="center"/>
                </w:tcPr>
                <w:p w14:paraId="4760313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DA001</w:t>
                  </w:r>
                </w:p>
              </w:tc>
              <w:tc>
                <w:tcPr>
                  <w:tcW w:w="1160" w:type="pct"/>
                  <w:noWrap w:val="0"/>
                  <w:vAlign w:val="center"/>
                </w:tcPr>
                <w:p w14:paraId="7B755F42">
                  <w:pPr>
                    <w:widowControl/>
                    <w:adjustRightInd w:val="0"/>
                    <w:snapToGrid w:val="0"/>
                    <w:jc w:val="center"/>
                    <w:textAlignment w:val="baseline"/>
                    <w:rPr>
                      <w:rFonts w:hint="default" w:ascii="Times New Roman" w:hAnsi="Times New Roman" w:eastAsia="宋体" w:cs="Times New Roman"/>
                      <w:color w:val="auto"/>
                      <w:spacing w:val="4"/>
                      <w:kern w:val="0"/>
                      <w:szCs w:val="21"/>
                      <w:lang w:val="en-US" w:eastAsia="zh-CN"/>
                    </w:rPr>
                  </w:pPr>
                  <w:r>
                    <w:rPr>
                      <w:rFonts w:hint="eastAsia" w:ascii="Times New Roman" w:hAnsi="Times New Roman" w:eastAsia="宋体" w:cs="Times New Roman"/>
                      <w:color w:val="auto"/>
                      <w:spacing w:val="4"/>
                      <w:kern w:val="0"/>
                      <w:szCs w:val="21"/>
                      <w:lang w:val="en-US" w:eastAsia="zh-CN"/>
                    </w:rPr>
                    <w:t>非甲烷总烃</w:t>
                  </w:r>
                </w:p>
              </w:tc>
              <w:tc>
                <w:tcPr>
                  <w:tcW w:w="605" w:type="pct"/>
                  <w:noWrap w:val="0"/>
                  <w:vAlign w:val="center"/>
                </w:tcPr>
                <w:p w14:paraId="7271EA3F">
                  <w:pPr>
                    <w:adjustRightInd w:val="0"/>
                    <w:snapToGrid w:val="0"/>
                    <w:jc w:val="center"/>
                    <w:textAlignment w:val="baseline"/>
                    <w:rPr>
                      <w:rFonts w:ascii="Times New Roman" w:hAnsi="Times New Roman" w:eastAsia="宋体" w:cs="Times New Roman"/>
                      <w:color w:val="auto"/>
                      <w:spacing w:val="4"/>
                      <w:kern w:val="0"/>
                      <w:szCs w:val="21"/>
                    </w:rPr>
                  </w:pPr>
                  <w:r>
                    <w:rPr>
                      <w:rFonts w:hint="eastAsia" w:ascii="Times New Roman" w:hAnsi="Times New Roman" w:eastAsia="宋体" w:cs="Times New Roman"/>
                      <w:color w:val="auto"/>
                      <w:spacing w:val="4"/>
                      <w:kern w:val="0"/>
                      <w:szCs w:val="21"/>
                    </w:rPr>
                    <w:t>1次/</w:t>
                  </w:r>
                  <w:r>
                    <w:rPr>
                      <w:rFonts w:hint="eastAsia" w:ascii="Times New Roman" w:hAnsi="Times New Roman" w:eastAsia="宋体" w:cs="Times New Roman"/>
                      <w:color w:val="auto"/>
                      <w:spacing w:val="4"/>
                      <w:kern w:val="0"/>
                      <w:szCs w:val="21"/>
                      <w:lang w:val="en-US" w:eastAsia="zh-CN"/>
                    </w:rPr>
                    <w:t>半</w:t>
                  </w:r>
                  <w:r>
                    <w:rPr>
                      <w:rFonts w:hint="eastAsia" w:ascii="Times New Roman" w:hAnsi="Times New Roman" w:eastAsia="宋体" w:cs="Times New Roman"/>
                      <w:color w:val="auto"/>
                      <w:spacing w:val="4"/>
                      <w:kern w:val="0"/>
                      <w:szCs w:val="21"/>
                    </w:rPr>
                    <w:t>年</w:t>
                  </w:r>
                </w:p>
              </w:tc>
              <w:tc>
                <w:tcPr>
                  <w:tcW w:w="1933" w:type="pct"/>
                  <w:noWrap w:val="0"/>
                  <w:vAlign w:val="center"/>
                </w:tcPr>
                <w:p w14:paraId="09A66843">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《固定源挥发性有机物综合排放标准，第6部分：其他行业》（DB34/4812.6-2024）表1中挥发性有机物排放限值</w:t>
                  </w:r>
                </w:p>
              </w:tc>
            </w:tr>
            <w:tr w14:paraId="263C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2" w:hRule="atLeast"/>
                <w:jc w:val="center"/>
              </w:trPr>
              <w:tc>
                <w:tcPr>
                  <w:tcW w:w="338" w:type="pct"/>
                  <w:vMerge w:val="continue"/>
                  <w:noWrap w:val="0"/>
                  <w:vAlign w:val="center"/>
                </w:tcPr>
                <w:p w14:paraId="1AF05DC5">
                  <w:pPr>
                    <w:adjustRightInd w:val="0"/>
                    <w:snapToGrid w:val="0"/>
                    <w:jc w:val="center"/>
                    <w:textAlignment w:val="baseline"/>
                    <w:rPr>
                      <w:rFonts w:ascii="Times New Roman" w:hAnsi="Times New Roman" w:eastAsia="宋体" w:cs="Times New Roman"/>
                      <w:color w:val="auto"/>
                      <w:spacing w:val="4"/>
                      <w:kern w:val="0"/>
                      <w:szCs w:val="21"/>
                    </w:rPr>
                  </w:pPr>
                </w:p>
              </w:tc>
              <w:tc>
                <w:tcPr>
                  <w:tcW w:w="962" w:type="pct"/>
                  <w:noWrap w:val="0"/>
                  <w:vAlign w:val="center"/>
                </w:tcPr>
                <w:p w14:paraId="0B408967">
                  <w:pPr>
                    <w:adjustRightInd w:val="0"/>
                    <w:snapToGrid w:val="0"/>
                    <w:jc w:val="center"/>
                    <w:textAlignment w:val="baseline"/>
                    <w:rPr>
                      <w:rFonts w:hint="default" w:ascii="Times New Roman" w:hAnsi="Times New Roman" w:eastAsia="宋体" w:cs="Times New Roman"/>
                      <w:color w:val="auto"/>
                      <w:spacing w:val="4"/>
                      <w:kern w:val="0"/>
                      <w:sz w:val="21"/>
                      <w:szCs w:val="21"/>
                      <w:lang w:val="en-US" w:eastAsia="zh-CN" w:bidi="ar-SA"/>
                    </w:rPr>
                  </w:pPr>
                  <w:r>
                    <w:rPr>
                      <w:rFonts w:hint="eastAsia" w:ascii="Times New Roman" w:hAnsi="Times New Roman" w:eastAsia="宋体" w:cs="Times New Roman"/>
                      <w:color w:val="auto"/>
                      <w:szCs w:val="21"/>
                    </w:rPr>
                    <w:t>厂区内</w:t>
                  </w:r>
                </w:p>
              </w:tc>
              <w:tc>
                <w:tcPr>
                  <w:tcW w:w="1160" w:type="pct"/>
                  <w:noWrap w:val="0"/>
                  <w:vAlign w:val="center"/>
                </w:tcPr>
                <w:p w14:paraId="4DE45D58">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rPr>
                    <w:t>非甲烷总烃</w:t>
                  </w:r>
                </w:p>
              </w:tc>
              <w:tc>
                <w:tcPr>
                  <w:tcW w:w="605" w:type="pct"/>
                  <w:noWrap w:val="0"/>
                  <w:vAlign w:val="center"/>
                </w:tcPr>
                <w:p w14:paraId="42AAE9F2">
                  <w:pPr>
                    <w:adjustRightInd w:val="0"/>
                    <w:snapToGrid w:val="0"/>
                    <w:jc w:val="center"/>
                    <w:textAlignment w:val="baseline"/>
                    <w:rPr>
                      <w:rFonts w:ascii="Times New Roman" w:hAnsi="Times New Roman" w:eastAsia="宋体" w:cs="Times New Roman"/>
                      <w:color w:val="auto"/>
                      <w:spacing w:val="4"/>
                      <w:kern w:val="0"/>
                      <w:sz w:val="21"/>
                      <w:szCs w:val="21"/>
                      <w:lang w:val="en-US" w:eastAsia="zh-CN" w:bidi="ar-SA"/>
                    </w:rPr>
                  </w:pPr>
                  <w:r>
                    <w:rPr>
                      <w:rFonts w:ascii="Times New Roman" w:hAnsi="Times New Roman" w:eastAsia="宋体" w:cs="Times New Roman"/>
                      <w:color w:val="auto"/>
                      <w:spacing w:val="4"/>
                      <w:kern w:val="0"/>
                    </w:rPr>
                    <w:t>1次/年</w:t>
                  </w:r>
                </w:p>
              </w:tc>
              <w:tc>
                <w:tcPr>
                  <w:tcW w:w="1933" w:type="pct"/>
                  <w:noWrap w:val="0"/>
                  <w:vAlign w:val="center"/>
                </w:tcPr>
                <w:p w14:paraId="3CD90A7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《固定源挥发性有机物综合排放标准，第6部分：其他行业》（DB34/4812.6-2024）表4中无组织排放限值</w:t>
                  </w:r>
                </w:p>
              </w:tc>
            </w:tr>
            <w:tr w14:paraId="591D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2" w:hRule="atLeast"/>
                <w:jc w:val="center"/>
              </w:trPr>
              <w:tc>
                <w:tcPr>
                  <w:tcW w:w="338" w:type="pct"/>
                  <w:vMerge w:val="continue"/>
                  <w:noWrap w:val="0"/>
                  <w:vAlign w:val="center"/>
                </w:tcPr>
                <w:p w14:paraId="720DEB0A">
                  <w:pPr>
                    <w:adjustRightInd w:val="0"/>
                    <w:snapToGrid w:val="0"/>
                    <w:jc w:val="center"/>
                    <w:textAlignment w:val="baseline"/>
                    <w:rPr>
                      <w:rFonts w:ascii="Times New Roman" w:hAnsi="Times New Roman" w:eastAsia="宋体" w:cs="Times New Roman"/>
                      <w:color w:val="auto"/>
                      <w:spacing w:val="4"/>
                      <w:kern w:val="0"/>
                      <w:szCs w:val="21"/>
                    </w:rPr>
                  </w:pPr>
                </w:p>
              </w:tc>
              <w:tc>
                <w:tcPr>
                  <w:tcW w:w="962" w:type="pct"/>
                  <w:noWrap w:val="0"/>
                  <w:vAlign w:val="center"/>
                </w:tcPr>
                <w:p w14:paraId="4EF3A23A">
                  <w:pPr>
                    <w:adjustRightInd w:val="0"/>
                    <w:snapToGrid w:val="0"/>
                    <w:jc w:val="center"/>
                    <w:textAlignment w:val="baseline"/>
                    <w:rPr>
                      <w:rFonts w:ascii="Times New Roman" w:hAnsi="Times New Roman" w:eastAsia="宋体" w:cs="Times New Roman"/>
                      <w:color w:val="auto"/>
                      <w:spacing w:val="4"/>
                      <w:kern w:val="0"/>
                      <w:szCs w:val="21"/>
                    </w:rPr>
                  </w:pPr>
                  <w:r>
                    <w:rPr>
                      <w:rFonts w:ascii="Times New Roman" w:hAnsi="Times New Roman" w:eastAsia="宋体" w:cs="Times New Roman"/>
                      <w:color w:val="auto"/>
                      <w:spacing w:val="4"/>
                      <w:kern w:val="0"/>
                      <w:szCs w:val="21"/>
                    </w:rPr>
                    <w:t>厂界</w:t>
                  </w:r>
                </w:p>
              </w:tc>
              <w:tc>
                <w:tcPr>
                  <w:tcW w:w="1160" w:type="pct"/>
                  <w:noWrap w:val="0"/>
                  <w:vAlign w:val="center"/>
                </w:tcPr>
                <w:p w14:paraId="6988F80C">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非甲烷总烃</w:t>
                  </w:r>
                </w:p>
              </w:tc>
              <w:tc>
                <w:tcPr>
                  <w:tcW w:w="605" w:type="pct"/>
                  <w:noWrap w:val="0"/>
                  <w:vAlign w:val="center"/>
                </w:tcPr>
                <w:p w14:paraId="04EAEC9E">
                  <w:pPr>
                    <w:adjustRightInd w:val="0"/>
                    <w:snapToGrid w:val="0"/>
                    <w:jc w:val="center"/>
                    <w:textAlignment w:val="baseline"/>
                    <w:rPr>
                      <w:rFonts w:ascii="Times New Roman" w:hAnsi="Times New Roman" w:eastAsia="宋体" w:cs="Times New Roman"/>
                      <w:color w:val="auto"/>
                      <w:spacing w:val="4"/>
                      <w:kern w:val="0"/>
                      <w:szCs w:val="21"/>
                    </w:rPr>
                  </w:pPr>
                  <w:r>
                    <w:rPr>
                      <w:rFonts w:ascii="Times New Roman" w:hAnsi="Times New Roman" w:eastAsia="宋体" w:cs="Times New Roman"/>
                      <w:color w:val="auto"/>
                      <w:spacing w:val="4"/>
                      <w:kern w:val="0"/>
                      <w:szCs w:val="21"/>
                    </w:rPr>
                    <w:t>1次/年</w:t>
                  </w:r>
                </w:p>
              </w:tc>
              <w:tc>
                <w:tcPr>
                  <w:tcW w:w="1933" w:type="pct"/>
                  <w:noWrap w:val="0"/>
                  <w:vAlign w:val="center"/>
                </w:tcPr>
                <w:p w14:paraId="20FA848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highlight w:val="none"/>
                    </w:rPr>
                    <w:t>《合成树脂工业污染物排放标准》（GB31572-2015）表</w:t>
                  </w:r>
                  <w:r>
                    <w:rPr>
                      <w:rFonts w:hint="eastAsia" w:ascii="Times New Roman" w:hAnsi="Times New Roman" w:eastAsia="宋体" w:cs="Times New Roman"/>
                      <w:color w:val="auto"/>
                      <w:sz w:val="21"/>
                      <w:szCs w:val="21"/>
                      <w:highlight w:val="none"/>
                      <w:lang w:val="en-US" w:eastAsia="zh-CN"/>
                    </w:rPr>
                    <w:t>9中标准</w:t>
                  </w:r>
                </w:p>
              </w:tc>
            </w:tr>
            <w:tr w14:paraId="63CC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338" w:type="pct"/>
                  <w:noWrap w:val="0"/>
                  <w:vAlign w:val="center"/>
                </w:tcPr>
                <w:p w14:paraId="6FE5DA73">
                  <w:pPr>
                    <w:adjustRightInd w:val="0"/>
                    <w:snapToGrid w:val="0"/>
                    <w:jc w:val="center"/>
                    <w:textAlignment w:val="baseline"/>
                    <w:rPr>
                      <w:rFonts w:hint="eastAsia" w:ascii="Times New Roman" w:hAnsi="Times New Roman" w:eastAsia="宋体" w:cs="Times New Roman"/>
                      <w:color w:val="auto"/>
                      <w:spacing w:val="4"/>
                      <w:kern w:val="0"/>
                      <w:szCs w:val="21"/>
                    </w:rPr>
                  </w:pPr>
                  <w:r>
                    <w:rPr>
                      <w:rFonts w:hint="eastAsia" w:ascii="Times New Roman" w:hAnsi="Times New Roman" w:eastAsia="宋体" w:cs="Times New Roman"/>
                      <w:color w:val="auto"/>
                      <w:spacing w:val="4"/>
                      <w:kern w:val="0"/>
                      <w:szCs w:val="21"/>
                    </w:rPr>
                    <w:t>噪声</w:t>
                  </w:r>
                </w:p>
              </w:tc>
              <w:tc>
                <w:tcPr>
                  <w:tcW w:w="962" w:type="pct"/>
                  <w:noWrap w:val="0"/>
                  <w:vAlign w:val="center"/>
                </w:tcPr>
                <w:p w14:paraId="64D0C251">
                  <w:pPr>
                    <w:adjustRightInd w:val="0"/>
                    <w:snapToGrid w:val="0"/>
                    <w:jc w:val="center"/>
                    <w:textAlignment w:val="baseline"/>
                    <w:rPr>
                      <w:rFonts w:ascii="Times New Roman" w:hAnsi="Times New Roman" w:eastAsia="宋体" w:cs="Times New Roman"/>
                      <w:color w:val="auto"/>
                      <w:spacing w:val="4"/>
                      <w:kern w:val="0"/>
                      <w:szCs w:val="21"/>
                    </w:rPr>
                  </w:pPr>
                  <w:r>
                    <w:rPr>
                      <w:rStyle w:val="40"/>
                      <w:rFonts w:ascii="Times New Roman" w:hAnsi="Times New Roman" w:eastAsia="宋体" w:cs="Times New Roman"/>
                      <w:color w:val="auto"/>
                    </w:rPr>
                    <w:t>厂区四周，东南西北各一个监测点</w:t>
                  </w:r>
                </w:p>
              </w:tc>
              <w:tc>
                <w:tcPr>
                  <w:tcW w:w="1160" w:type="pct"/>
                  <w:noWrap w:val="0"/>
                  <w:vAlign w:val="center"/>
                </w:tcPr>
                <w:p w14:paraId="5EB5AFE7">
                  <w:pPr>
                    <w:widowControl/>
                    <w:adjustRightInd w:val="0"/>
                    <w:snapToGrid w:val="0"/>
                    <w:jc w:val="center"/>
                    <w:textAlignment w:val="baseline"/>
                    <w:rPr>
                      <w:rFonts w:ascii="Times New Roman" w:hAnsi="Times New Roman" w:eastAsia="宋体" w:cs="Times New Roman"/>
                      <w:color w:val="auto"/>
                    </w:rPr>
                  </w:pPr>
                  <w:r>
                    <w:rPr>
                      <w:rFonts w:ascii="Times New Roman" w:hAnsi="Times New Roman" w:eastAsia="宋体" w:cs="Times New Roman"/>
                      <w:bCs/>
                      <w:color w:val="auto"/>
                    </w:rPr>
                    <w:t>昼间厂界噪声</w:t>
                  </w:r>
                </w:p>
              </w:tc>
              <w:tc>
                <w:tcPr>
                  <w:tcW w:w="605" w:type="pct"/>
                  <w:noWrap w:val="0"/>
                  <w:vAlign w:val="center"/>
                </w:tcPr>
                <w:p w14:paraId="11D0CB6C">
                  <w:pPr>
                    <w:adjustRightInd w:val="0"/>
                    <w:snapToGrid w:val="0"/>
                    <w:jc w:val="center"/>
                    <w:textAlignment w:val="baseline"/>
                    <w:rPr>
                      <w:rFonts w:ascii="Times New Roman" w:hAnsi="Times New Roman" w:eastAsia="宋体" w:cs="Times New Roman"/>
                      <w:color w:val="auto"/>
                      <w:spacing w:val="4"/>
                      <w:kern w:val="0"/>
                      <w:szCs w:val="21"/>
                    </w:rPr>
                  </w:pPr>
                  <w:r>
                    <w:rPr>
                      <w:rFonts w:ascii="Times New Roman" w:hAnsi="Times New Roman" w:eastAsia="宋体" w:cs="Times New Roman"/>
                      <w:bCs/>
                      <w:color w:val="auto"/>
                    </w:rPr>
                    <w:t>1次/季</w:t>
                  </w:r>
                </w:p>
              </w:tc>
              <w:tc>
                <w:tcPr>
                  <w:tcW w:w="1933" w:type="pct"/>
                  <w:noWrap w:val="0"/>
                  <w:vAlign w:val="center"/>
                </w:tcPr>
                <w:p w14:paraId="7E8ECE91">
                  <w:pPr>
                    <w:adjustRightInd w:val="0"/>
                    <w:snapToGrid w:val="0"/>
                    <w:jc w:val="center"/>
                    <w:textAlignment w:val="baseline"/>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rPr>
                    <w:t>《工业企业厂界环境噪声排放标准》（GB</w:t>
                  </w:r>
                  <w:r>
                    <w:rPr>
                      <w:rFonts w:hint="eastAsia" w:ascii="Times New Roman" w:hAnsi="Times New Roman" w:eastAsia="宋体" w:cs="Times New Roman"/>
                      <w:color w:val="auto"/>
                      <w:lang w:val="en-US" w:eastAsia="zh-CN"/>
                    </w:rPr>
                    <w:t>12348</w:t>
                  </w:r>
                  <w:r>
                    <w:rPr>
                      <w:rFonts w:ascii="Times New Roman" w:hAnsi="Times New Roman" w:eastAsia="宋体" w:cs="Times New Roman"/>
                      <w:color w:val="auto"/>
                    </w:rPr>
                    <w:t>-2008）</w:t>
                  </w:r>
                  <w:r>
                    <w:rPr>
                      <w:rFonts w:hint="eastAsia" w:ascii="Times New Roman" w:hAnsi="Times New Roman" w:eastAsia="宋体" w:cs="Times New Roman"/>
                      <w:color w:val="auto"/>
                    </w:rPr>
                    <w:t>2</w:t>
                  </w:r>
                  <w:r>
                    <w:rPr>
                      <w:rFonts w:ascii="Times New Roman" w:hAnsi="Times New Roman" w:eastAsia="宋体" w:cs="Times New Roman"/>
                      <w:color w:val="auto"/>
                    </w:rPr>
                    <w:t>类</w:t>
                  </w:r>
                  <w:r>
                    <w:rPr>
                      <w:rFonts w:hint="eastAsia" w:cs="Times New Roman"/>
                      <w:color w:val="auto"/>
                      <w:lang w:val="en-US" w:eastAsia="zh-CN"/>
                    </w:rPr>
                    <w:t>标准</w:t>
                  </w:r>
                </w:p>
              </w:tc>
            </w:tr>
          </w:tbl>
          <w:p w14:paraId="030E4E5E">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4、环境管理及信息公开</w:t>
            </w:r>
          </w:p>
          <w:p w14:paraId="686838F5">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企业应设置环境管理机构，</w:t>
            </w:r>
            <w:r>
              <w:rPr>
                <w:rFonts w:hint="default" w:ascii="Times New Roman" w:hAnsi="Times New Roman" w:eastAsia="宋体" w:cs="Times New Roman"/>
                <w:color w:val="auto"/>
                <w:sz w:val="24"/>
                <w:highlight w:val="none"/>
              </w:rPr>
              <w:t>定期向当地环保部门报告污染治理设施运行情况、污染物排放情况以及污染事故、污染纠纷等情况。若企业排污发生重大变化、污染治理设施改变或企业改、扩建等都必须向当地环保部门申报</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建成后，必须确保污染治理设施长期、稳定、有效地运行，不得擅自拆除或者闲置废气和废水处理设备，不得故意不正常使用污染治理设施。污染治理设施的管理必须与公司的生产经营活动一起纳入到公司日常管理工作的范畴，落实责任人、操作人员、维修人员、运行经费、设备的备品备件和其它原辅材料。同时要建立健全岗位责任制，制定正确的操作规程、建立污染治理设施的管理台帐。各级管理人员都应树立保护环境的思想，企业也应设置环境保护奖惩条例。</w:t>
            </w:r>
          </w:p>
          <w:p w14:paraId="1A325379">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此外，</w:t>
            </w:r>
            <w:r>
              <w:rPr>
                <w:rFonts w:hint="default" w:ascii="Times New Roman" w:hAnsi="Times New Roman" w:eastAsia="宋体" w:cs="Times New Roman"/>
                <w:color w:val="auto"/>
                <w:sz w:val="24"/>
                <w:highlight w:val="none"/>
              </w:rPr>
              <w:t>公司需向社会公开</w:t>
            </w:r>
            <w:r>
              <w:rPr>
                <w:rFonts w:hint="eastAsia" w:ascii="Times New Roman" w:hAnsi="Times New Roman" w:eastAsia="宋体" w:cs="Times New Roman"/>
                <w:color w:val="auto"/>
                <w:sz w:val="24"/>
                <w:highlight w:val="none"/>
                <w:lang w:val="en-US" w:eastAsia="zh-CN"/>
              </w:rPr>
              <w:t>相关</w:t>
            </w:r>
            <w:r>
              <w:rPr>
                <w:rFonts w:hint="default" w:ascii="Times New Roman" w:hAnsi="Times New Roman" w:eastAsia="宋体" w:cs="Times New Roman"/>
                <w:color w:val="auto"/>
                <w:sz w:val="24"/>
                <w:highlight w:val="none"/>
              </w:rPr>
              <w:t>信息</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rPr>
              <w:t>包括：</w:t>
            </w:r>
          </w:p>
          <w:p w14:paraId="0956C1A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（一）基础信息，包括单位名称、组织机构代码、法定代表人、生产地址、联系方式，以及生产经营和管理服务的主要内容、产品及规模；</w:t>
            </w:r>
          </w:p>
          <w:p w14:paraId="588A1C7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（二）排污信息，包括主要污染物及特征污染物的名称、排放方式、排放口数量和分布情况、排放浓度和总量、超标情况，以及执行的污染物排放标准、核定的排放总量；</w:t>
            </w:r>
          </w:p>
          <w:p w14:paraId="0415B0D0">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（三）防治污染设施的建设和运行情况；</w:t>
            </w:r>
          </w:p>
          <w:p w14:paraId="3CB5199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（四）建设项目环境影响评价及其他环境保护行政许可情况；</w:t>
            </w:r>
          </w:p>
          <w:p w14:paraId="4E0553E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（五）项目污染源及环境监测计划及监测结果，包含建设项目所在场地及其影响区地下水环境跟踪监测数据，包括排放污染物的种类、数量、浓度，项目土壤跟踪监测数据等；</w:t>
            </w:r>
          </w:p>
          <w:p w14:paraId="5764217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（六）其他应当公开的环境信息。</w:t>
            </w:r>
          </w:p>
          <w:p w14:paraId="2029DD7D">
            <w:pPr>
              <w:spacing w:line="360" w:lineRule="auto"/>
              <w:textAlignment w:val="baseline"/>
              <w:rPr>
                <w:rFonts w:hint="default" w:ascii="Times New Roman" w:hAnsi="Times New Roman" w:eastAsia="宋体" w:cs="Times New Roman"/>
                <w:b/>
                <w:color w:val="auto"/>
                <w:spacing w:val="4"/>
                <w:sz w:val="24"/>
                <w:lang w:val="en-US" w:eastAsia="zh-CN"/>
              </w:rPr>
            </w:pPr>
            <w:r>
              <w:rPr>
                <w:rFonts w:ascii="Times New Roman" w:hAnsi="Times New Roman" w:eastAsia="宋体" w:cs="Times New Roman"/>
                <w:b/>
                <w:color w:val="auto"/>
                <w:spacing w:val="4"/>
                <w:sz w:val="24"/>
              </w:rPr>
              <w:t>4.</w:t>
            </w:r>
            <w:r>
              <w:rPr>
                <w:rFonts w:hint="eastAsia" w:ascii="Times New Roman" w:hAnsi="Times New Roman" w:eastAsia="宋体" w:cs="Times New Roman"/>
                <w:b/>
                <w:color w:val="auto"/>
                <w:spacing w:val="4"/>
                <w:sz w:val="24"/>
              </w:rPr>
              <w:t>8</w:t>
            </w:r>
            <w:r>
              <w:rPr>
                <w:rFonts w:ascii="Times New Roman" w:hAnsi="Times New Roman" w:eastAsia="宋体" w:cs="Times New Roman"/>
                <w:b/>
                <w:color w:val="auto"/>
                <w:spacing w:val="4"/>
                <w:sz w:val="24"/>
              </w:rPr>
              <w:t>环保投资</w:t>
            </w:r>
            <w:r>
              <w:rPr>
                <w:rFonts w:hint="eastAsia" w:ascii="Times New Roman" w:hAnsi="Times New Roman" w:eastAsia="宋体" w:cs="Times New Roman"/>
                <w:b/>
                <w:color w:val="auto"/>
                <w:spacing w:val="4"/>
                <w:sz w:val="24"/>
                <w:lang w:val="en-US" w:eastAsia="zh-CN"/>
              </w:rPr>
              <w:t>及三同时</w:t>
            </w:r>
          </w:p>
          <w:p w14:paraId="21796660">
            <w:pPr>
              <w:spacing w:line="480" w:lineRule="exact"/>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项目投资</w:t>
            </w:r>
            <w:r>
              <w:rPr>
                <w:rFonts w:hint="eastAsia" w:ascii="Times New Roman" w:hAnsi="Times New Roman" w:eastAsia="宋体" w:cs="Times New Roman"/>
                <w:color w:val="auto"/>
                <w:sz w:val="24"/>
                <w:lang w:eastAsia="zh-CN"/>
              </w:rPr>
              <w:t>16</w:t>
            </w:r>
            <w:r>
              <w:rPr>
                <w:rFonts w:hint="eastAsia" w:ascii="Times New Roman" w:hAnsi="Times New Roman" w:eastAsia="宋体" w:cs="Times New Roman"/>
                <w:color w:val="auto"/>
                <w:sz w:val="24"/>
                <w:lang w:val="en-US" w:eastAsia="zh-CN"/>
              </w:rPr>
              <w:t>0</w:t>
            </w:r>
            <w:r>
              <w:rPr>
                <w:rFonts w:hint="eastAsia" w:ascii="Times New Roman" w:hAnsi="Times New Roman" w:eastAsia="宋体" w:cs="Times New Roman"/>
                <w:color w:val="auto"/>
                <w:sz w:val="24"/>
                <w:lang w:eastAsia="zh-CN"/>
              </w:rPr>
              <w:t>0</w:t>
            </w:r>
            <w:r>
              <w:rPr>
                <w:rFonts w:ascii="Times New Roman" w:hAnsi="Times New Roman" w:eastAsia="宋体" w:cs="Times New Roman"/>
                <w:color w:val="auto"/>
                <w:sz w:val="24"/>
              </w:rPr>
              <w:t>万元，其中环保投资</w:t>
            </w:r>
            <w:r>
              <w:rPr>
                <w:rFonts w:hint="eastAsia" w:ascii="Times New Roman" w:hAnsi="Times New Roman" w:eastAsia="宋体" w:cs="Times New Roman"/>
                <w:color w:val="auto"/>
                <w:sz w:val="24"/>
                <w:lang w:val="en-US" w:eastAsia="zh-CN"/>
              </w:rPr>
              <w:t>44</w:t>
            </w:r>
            <w:r>
              <w:rPr>
                <w:rFonts w:ascii="Times New Roman" w:hAnsi="Times New Roman" w:eastAsia="宋体" w:cs="Times New Roman"/>
                <w:color w:val="auto"/>
                <w:sz w:val="24"/>
              </w:rPr>
              <w:t>万元，占总投资的</w:t>
            </w:r>
            <w:r>
              <w:rPr>
                <w:rFonts w:hint="eastAsia" w:ascii="Times New Roman" w:hAnsi="Times New Roman" w:eastAsia="宋体" w:cs="Times New Roman"/>
                <w:color w:val="auto"/>
                <w:sz w:val="24"/>
                <w:lang w:val="en-US" w:eastAsia="zh-CN"/>
              </w:rPr>
              <w:t>2.75</w:t>
            </w:r>
            <w:r>
              <w:rPr>
                <w:rFonts w:ascii="Times New Roman" w:hAnsi="Times New Roman" w:eastAsia="宋体" w:cs="Times New Roman"/>
                <w:color w:val="auto"/>
                <w:sz w:val="24"/>
              </w:rPr>
              <w:t>%，主要用于废气、固体废物和噪声污染的治理。</w:t>
            </w:r>
          </w:p>
          <w:p w14:paraId="2AFEDCC5">
            <w:pPr>
              <w:widowControl/>
              <w:numPr>
                <w:ilvl w:val="0"/>
                <w:numId w:val="13"/>
              </w:numPr>
              <w:tabs>
                <w:tab w:val="left" w:pos="420"/>
                <w:tab w:val="clear" w:pos="0"/>
              </w:tabs>
              <w:ind w:left="0" w:leftChars="0" w:firstLine="0" w:firstLineChars="0"/>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本项目环保投资</w:t>
            </w:r>
            <w:r>
              <w:rPr>
                <w:rFonts w:hint="eastAsia" w:ascii="Times New Roman" w:hAnsi="Times New Roman" w:eastAsia="宋体" w:cs="Times New Roman"/>
                <w:b/>
                <w:bCs/>
                <w:color w:val="auto"/>
                <w:sz w:val="24"/>
                <w:highlight w:val="none"/>
                <w:lang w:val="en-US" w:eastAsia="zh-CN"/>
              </w:rPr>
              <w:t>及三同时验收一览表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902"/>
              <w:gridCol w:w="1086"/>
              <w:gridCol w:w="2497"/>
              <w:gridCol w:w="2742"/>
              <w:gridCol w:w="958"/>
            </w:tblGrid>
            <w:tr w14:paraId="3291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51" w:type="pct"/>
                  <w:noWrap w:val="0"/>
                  <w:vAlign w:val="center"/>
                </w:tcPr>
                <w:p w14:paraId="2CA3D531">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512" w:type="pct"/>
                  <w:noWrap w:val="0"/>
                  <w:vAlign w:val="center"/>
                </w:tcPr>
                <w:p w14:paraId="39A4EBD2">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污染源</w:t>
                  </w:r>
                </w:p>
              </w:tc>
              <w:tc>
                <w:tcPr>
                  <w:tcW w:w="616" w:type="pct"/>
                  <w:noWrap w:val="0"/>
                  <w:vAlign w:val="center"/>
                </w:tcPr>
                <w:p w14:paraId="786C7B12">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污染物</w:t>
                  </w:r>
                </w:p>
              </w:tc>
              <w:tc>
                <w:tcPr>
                  <w:tcW w:w="1418" w:type="pct"/>
                  <w:noWrap w:val="0"/>
                  <w:vAlign w:val="center"/>
                </w:tcPr>
                <w:p w14:paraId="2D2AF115">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治理方案</w:t>
                  </w:r>
                </w:p>
              </w:tc>
              <w:tc>
                <w:tcPr>
                  <w:tcW w:w="1556" w:type="pct"/>
                  <w:noWrap w:val="0"/>
                  <w:vAlign w:val="center"/>
                </w:tcPr>
                <w:p w14:paraId="05497200">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执行标准</w:t>
                  </w:r>
                </w:p>
              </w:tc>
              <w:tc>
                <w:tcPr>
                  <w:tcW w:w="544" w:type="pct"/>
                  <w:noWrap w:val="0"/>
                  <w:vAlign w:val="center"/>
                </w:tcPr>
                <w:p w14:paraId="76FD5217">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环保投资(万元)</w:t>
                  </w:r>
                </w:p>
              </w:tc>
            </w:tr>
            <w:tr w14:paraId="66D4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noWrap w:val="0"/>
                  <w:vAlign w:val="center"/>
                </w:tcPr>
                <w:p w14:paraId="71970EE2">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废气治理</w:t>
                  </w:r>
                </w:p>
              </w:tc>
              <w:tc>
                <w:tcPr>
                  <w:tcW w:w="512" w:type="pct"/>
                  <w:shd w:val="clear" w:color="auto" w:fill="auto"/>
                  <w:noWrap w:val="0"/>
                  <w:vAlign w:val="center"/>
                </w:tcPr>
                <w:p w14:paraId="2EEED4F2">
                  <w:pPr>
                    <w:keepNext w:val="0"/>
                    <w:keepLines w:val="0"/>
                    <w:pageBreakBefore w:val="0"/>
                    <w:kinsoku/>
                    <w:wordWrap/>
                    <w:overflowPunct/>
                    <w:topLinePunct w:val="0"/>
                    <w:bidi w:val="0"/>
                    <w:spacing w:line="320" w:lineRule="exact"/>
                    <w:ind w:left="-63" w:leftChars="-30" w:right="-63" w:rightChars="-3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熔融</w:t>
                  </w:r>
                  <w:r>
                    <w:rPr>
                      <w:rFonts w:hint="default" w:ascii="Times New Roman" w:hAnsi="Times New Roman" w:eastAsia="宋体" w:cs="Times New Roman"/>
                      <w:color w:val="auto"/>
                      <w:kern w:val="0"/>
                      <w:sz w:val="21"/>
                      <w:szCs w:val="21"/>
                      <w:highlight w:val="none"/>
                      <w:lang w:eastAsia="zh-CN"/>
                    </w:rPr>
                    <w:t>挤出废气</w:t>
                  </w:r>
                </w:p>
              </w:tc>
              <w:tc>
                <w:tcPr>
                  <w:tcW w:w="616" w:type="pct"/>
                  <w:shd w:val="clear" w:color="auto" w:fill="auto"/>
                  <w:noWrap w:val="0"/>
                  <w:vAlign w:val="center"/>
                </w:tcPr>
                <w:p w14:paraId="15F6C9EB">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非甲烷总烃</w:t>
                  </w:r>
                </w:p>
              </w:tc>
              <w:tc>
                <w:tcPr>
                  <w:tcW w:w="1418" w:type="pct"/>
                  <w:shd w:val="clear" w:color="auto" w:fill="auto"/>
                  <w:noWrap w:val="0"/>
                  <w:vAlign w:val="center"/>
                </w:tcPr>
                <w:p w14:paraId="62CF6B14">
                  <w:pPr>
                    <w:keepNext w:val="0"/>
                    <w:keepLines w:val="0"/>
                    <w:pageBreakBefore w:val="0"/>
                    <w:widowControl w:val="0"/>
                    <w:kinsoku/>
                    <w:wordWrap/>
                    <w:overflowPunct/>
                    <w:topLinePunct w:val="0"/>
                    <w:autoSpaceDE w:val="0"/>
                    <w:autoSpaceDN w:val="0"/>
                    <w:bidi w:val="0"/>
                    <w:adjustRightInd w:val="0"/>
                    <w:ind w:left="-63" w:leftChars="-30" w:right="-63" w:rightChars="-3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集气罩+</w:t>
                  </w:r>
                  <w:r>
                    <w:rPr>
                      <w:rFonts w:hint="eastAsia" w:cs="Times New Roman"/>
                      <w:color w:val="auto"/>
                      <w:kern w:val="2"/>
                      <w:sz w:val="21"/>
                      <w:szCs w:val="21"/>
                      <w:highlight w:val="none"/>
                      <w:lang w:val="en-US" w:eastAsia="zh-CN" w:bidi="ar-SA"/>
                    </w:rPr>
                    <w:t>二</w:t>
                  </w:r>
                  <w:r>
                    <w:rPr>
                      <w:rFonts w:hint="eastAsia" w:ascii="Times New Roman" w:hAnsi="Times New Roman" w:eastAsia="宋体" w:cs="Times New Roman"/>
                      <w:color w:val="auto"/>
                      <w:kern w:val="2"/>
                      <w:sz w:val="21"/>
                      <w:szCs w:val="21"/>
                      <w:highlight w:val="none"/>
                      <w:lang w:val="en-US" w:eastAsia="zh-CN" w:bidi="ar-SA"/>
                    </w:rPr>
                    <w:t>级活性炭吸附装置</w:t>
                  </w:r>
                  <w:r>
                    <w:rPr>
                      <w:rFonts w:hint="default" w:ascii="Times New Roman" w:hAnsi="Times New Roman" w:eastAsia="宋体" w:cs="Times New Roman"/>
                      <w:color w:val="auto"/>
                      <w:kern w:val="2"/>
                      <w:sz w:val="21"/>
                      <w:szCs w:val="21"/>
                      <w:highlight w:val="none"/>
                      <w:lang w:val="en-US" w:eastAsia="zh-CN" w:bidi="ar-SA"/>
                    </w:rPr>
                    <w:t>+1根1</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m高排气筒</w:t>
                  </w:r>
                </w:p>
              </w:tc>
              <w:tc>
                <w:tcPr>
                  <w:tcW w:w="1556" w:type="pct"/>
                  <w:shd w:val="clear" w:color="auto" w:fill="auto"/>
                  <w:noWrap w:val="0"/>
                  <w:vAlign w:val="center"/>
                </w:tcPr>
                <w:p w14:paraId="7B3C1F63">
                  <w:pPr>
                    <w:keepNext w:val="0"/>
                    <w:keepLines w:val="0"/>
                    <w:pageBreakBefore w:val="0"/>
                    <w:widowControl w:val="0"/>
                    <w:kinsoku/>
                    <w:wordWrap/>
                    <w:overflowPunct/>
                    <w:topLinePunct w:val="0"/>
                    <w:autoSpaceDE w:val="0"/>
                    <w:autoSpaceDN w:val="0"/>
                    <w:bidi w:val="0"/>
                    <w:adjustRightInd w:val="0"/>
                    <w:ind w:left="-63" w:leftChars="-30" w:right="-63" w:rightChars="-3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《固定源挥发性有机物综合排放标准，第6部分：其他行业》（DB34/4812.6-2024）</w:t>
                  </w:r>
                </w:p>
              </w:tc>
              <w:tc>
                <w:tcPr>
                  <w:tcW w:w="544" w:type="pct"/>
                  <w:noWrap w:val="0"/>
                  <w:vAlign w:val="center"/>
                </w:tcPr>
                <w:p w14:paraId="020B1F40">
                  <w:pPr>
                    <w:keepNext w:val="0"/>
                    <w:keepLines w:val="0"/>
                    <w:pageBreakBefore w:val="0"/>
                    <w:kinsoku/>
                    <w:wordWrap/>
                    <w:overflowPunct/>
                    <w:topLinePunct w:val="0"/>
                    <w:bidi w:val="0"/>
                    <w:ind w:left="-63" w:leftChars="-30" w:right="-63" w:rightChars="-3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w:t>
                  </w:r>
                </w:p>
              </w:tc>
            </w:tr>
            <w:tr w14:paraId="19D7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51" w:type="pct"/>
                  <w:noWrap w:val="0"/>
                  <w:vAlign w:val="center"/>
                </w:tcPr>
                <w:p w14:paraId="731185F4">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废水治理</w:t>
                  </w:r>
                </w:p>
              </w:tc>
              <w:tc>
                <w:tcPr>
                  <w:tcW w:w="1129" w:type="pct"/>
                  <w:gridSpan w:val="2"/>
                  <w:noWrap w:val="0"/>
                  <w:vAlign w:val="center"/>
                </w:tcPr>
                <w:p w14:paraId="7E17161D">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生活污水</w:t>
                  </w:r>
                </w:p>
              </w:tc>
              <w:tc>
                <w:tcPr>
                  <w:tcW w:w="1418" w:type="pct"/>
                  <w:noWrap w:val="0"/>
                  <w:vAlign w:val="center"/>
                </w:tcPr>
                <w:p w14:paraId="4F91D6C9">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生活污水经化粪池预处理后</w:t>
                  </w:r>
                  <w:r>
                    <w:rPr>
                      <w:rFonts w:hint="default" w:ascii="Times New Roman" w:hAnsi="Times New Roman" w:eastAsia="宋体" w:cs="Times New Roman"/>
                      <w:color w:val="auto"/>
                      <w:kern w:val="0"/>
                      <w:sz w:val="21"/>
                      <w:szCs w:val="21"/>
                      <w:lang w:val="en-US" w:eastAsia="zh-CN"/>
                    </w:rPr>
                    <w:t>委托环卫部门清运处置。</w:t>
                  </w:r>
                </w:p>
              </w:tc>
              <w:tc>
                <w:tcPr>
                  <w:tcW w:w="1556" w:type="pct"/>
                  <w:noWrap w:val="0"/>
                  <w:vAlign w:val="center"/>
                </w:tcPr>
                <w:p w14:paraId="230FFC66">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项目无外排废水，不执行相关标准</w:t>
                  </w:r>
                </w:p>
              </w:tc>
              <w:tc>
                <w:tcPr>
                  <w:tcW w:w="544" w:type="pct"/>
                  <w:noWrap w:val="0"/>
                  <w:vAlign w:val="center"/>
                </w:tcPr>
                <w:p w14:paraId="1036F3A5">
                  <w:pPr>
                    <w:keepNext w:val="0"/>
                    <w:keepLines w:val="0"/>
                    <w:pageBreakBefore w:val="0"/>
                    <w:widowControl/>
                    <w:kinsoku/>
                    <w:wordWrap/>
                    <w:overflowPunct/>
                    <w:topLinePunct w:val="0"/>
                    <w:bidi w:val="0"/>
                    <w:ind w:left="-63" w:leftChars="-30" w:right="-63" w:rightChars="-30"/>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w:t>
                  </w:r>
                </w:p>
              </w:tc>
            </w:tr>
            <w:tr w14:paraId="5D8F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 w:type="pct"/>
                  <w:noWrap w:val="0"/>
                  <w:vAlign w:val="center"/>
                </w:tcPr>
                <w:p w14:paraId="23989A4D">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噪声治理</w:t>
                  </w:r>
                </w:p>
              </w:tc>
              <w:tc>
                <w:tcPr>
                  <w:tcW w:w="1129" w:type="pct"/>
                  <w:gridSpan w:val="2"/>
                  <w:noWrap w:val="0"/>
                  <w:vAlign w:val="center"/>
                </w:tcPr>
                <w:p w14:paraId="11D3591B">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设备运转噪声</w:t>
                  </w:r>
                </w:p>
              </w:tc>
              <w:tc>
                <w:tcPr>
                  <w:tcW w:w="1418" w:type="pct"/>
                  <w:noWrap w:val="0"/>
                  <w:vAlign w:val="center"/>
                </w:tcPr>
                <w:p w14:paraId="7346A3CB">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减振、隔声、距离衰减</w:t>
                  </w:r>
                </w:p>
              </w:tc>
              <w:tc>
                <w:tcPr>
                  <w:tcW w:w="1556" w:type="pct"/>
                  <w:noWrap w:val="0"/>
                  <w:vAlign w:val="center"/>
                </w:tcPr>
                <w:p w14:paraId="2C2CB18F">
                  <w:pPr>
                    <w:keepNext w:val="0"/>
                    <w:keepLines w:val="0"/>
                    <w:pageBreakBefore w:val="0"/>
                    <w:widowControl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color w:val="auto"/>
                      <w:sz w:val="21"/>
                      <w:szCs w:val="21"/>
                    </w:rPr>
                    <w:t>《工业企业厂界环境噪声排放标准》（GB</w:t>
                  </w:r>
                  <w:r>
                    <w:rPr>
                      <w:rFonts w:hint="default" w:ascii="Times New Roman" w:hAnsi="Times New Roman" w:eastAsia="宋体" w:cs="Times New Roman"/>
                      <w:b w:val="0"/>
                      <w:color w:val="auto"/>
                      <w:sz w:val="21"/>
                      <w:szCs w:val="21"/>
                      <w:lang w:val="en-US" w:eastAsia="zh-CN"/>
                    </w:rPr>
                    <w:t>12348</w:t>
                  </w:r>
                  <w:r>
                    <w:rPr>
                      <w:rFonts w:hint="default" w:ascii="Times New Roman" w:hAnsi="Times New Roman" w:eastAsia="宋体" w:cs="Times New Roman"/>
                      <w:b w:val="0"/>
                      <w:color w:val="auto"/>
                      <w:sz w:val="21"/>
                      <w:szCs w:val="21"/>
                    </w:rPr>
                    <w:t>-2008）2类</w:t>
                  </w:r>
                  <w:r>
                    <w:rPr>
                      <w:rFonts w:hint="eastAsia" w:cs="Times New Roman"/>
                      <w:b w:val="0"/>
                      <w:color w:val="auto"/>
                      <w:sz w:val="21"/>
                      <w:szCs w:val="21"/>
                      <w:lang w:val="en-US" w:eastAsia="zh-CN"/>
                    </w:rPr>
                    <w:t>标准</w:t>
                  </w:r>
                </w:p>
              </w:tc>
              <w:tc>
                <w:tcPr>
                  <w:tcW w:w="544" w:type="pct"/>
                  <w:noWrap w:val="0"/>
                  <w:vAlign w:val="center"/>
                </w:tcPr>
                <w:p w14:paraId="659BC86B">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6</w:t>
                  </w:r>
                </w:p>
              </w:tc>
            </w:tr>
            <w:tr w14:paraId="3A5C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vMerge w:val="restart"/>
                  <w:noWrap w:val="0"/>
                  <w:vAlign w:val="center"/>
                </w:tcPr>
                <w:p w14:paraId="3854814C">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固废治理</w:t>
                  </w:r>
                </w:p>
              </w:tc>
              <w:tc>
                <w:tcPr>
                  <w:tcW w:w="1129" w:type="pct"/>
                  <w:gridSpan w:val="2"/>
                  <w:noWrap w:val="0"/>
                  <w:vAlign w:val="center"/>
                </w:tcPr>
                <w:p w14:paraId="6FA29A41">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1418" w:type="pct"/>
                  <w:noWrap w:val="0"/>
                  <w:vAlign w:val="center"/>
                </w:tcPr>
                <w:p w14:paraId="0D8D3B2E">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垃圾桶若干</w:t>
                  </w: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szCs w:val="21"/>
                      <w:highlight w:val="none"/>
                    </w:rPr>
                    <w:t>生活垃圾由环卫部门清运</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边角料、不合格品</w:t>
                  </w:r>
                  <w:r>
                    <w:rPr>
                      <w:rFonts w:hint="default" w:ascii="Times New Roman" w:hAnsi="Times New Roman" w:eastAsia="宋体" w:cs="Times New Roman"/>
                      <w:color w:val="auto"/>
                      <w:kern w:val="0"/>
                      <w:szCs w:val="21"/>
                      <w:highlight w:val="none"/>
                    </w:rPr>
                    <w:t>、</w:t>
                  </w:r>
                  <w:r>
                    <w:rPr>
                      <w:rFonts w:hint="eastAsia" w:cs="Times New Roman"/>
                      <w:color w:val="auto"/>
                      <w:kern w:val="0"/>
                      <w:szCs w:val="21"/>
                      <w:highlight w:val="none"/>
                      <w:lang w:val="en-US" w:eastAsia="zh-CN"/>
                    </w:rPr>
                    <w:t>熔融残渣、</w:t>
                  </w:r>
                  <w:r>
                    <w:rPr>
                      <w:rFonts w:hint="default" w:ascii="Times New Roman" w:hAnsi="Times New Roman" w:eastAsia="宋体" w:cs="Times New Roman"/>
                      <w:color w:val="auto"/>
                      <w:kern w:val="0"/>
                      <w:szCs w:val="21"/>
                      <w:highlight w:val="none"/>
                      <w:lang w:eastAsia="zh-CN"/>
                    </w:rPr>
                    <w:t>废包装物</w:t>
                  </w:r>
                  <w:r>
                    <w:rPr>
                      <w:rFonts w:hint="default" w:ascii="Times New Roman" w:hAnsi="Times New Roman" w:eastAsia="宋体" w:cs="Times New Roman"/>
                      <w:color w:val="auto"/>
                      <w:kern w:val="0"/>
                      <w:szCs w:val="21"/>
                      <w:highlight w:val="none"/>
                    </w:rPr>
                    <w:t>收集后外售</w:t>
                  </w:r>
                </w:p>
              </w:tc>
              <w:tc>
                <w:tcPr>
                  <w:tcW w:w="1556" w:type="pct"/>
                  <w:noWrap w:val="0"/>
                  <w:vAlign w:val="center"/>
                </w:tcPr>
                <w:p w14:paraId="732646CB">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《一般工业固体废物贮存和填埋污染控制标准》（GB18599-2020）</w:t>
                  </w:r>
                </w:p>
              </w:tc>
              <w:tc>
                <w:tcPr>
                  <w:tcW w:w="544" w:type="pct"/>
                  <w:noWrap w:val="0"/>
                  <w:vAlign w:val="center"/>
                </w:tcPr>
                <w:p w14:paraId="4D9B9270">
                  <w:pPr>
                    <w:keepNext w:val="0"/>
                    <w:keepLines w:val="0"/>
                    <w:pageBreakBefore w:val="0"/>
                    <w:widowControl/>
                    <w:kinsoku/>
                    <w:wordWrap/>
                    <w:overflowPunct/>
                    <w:topLinePunct w:val="0"/>
                    <w:bidi w:val="0"/>
                    <w:ind w:left="-63" w:leftChars="-30" w:right="-63" w:rightChars="-30"/>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2</w:t>
                  </w:r>
                </w:p>
              </w:tc>
            </w:tr>
            <w:tr w14:paraId="6C00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351" w:type="pct"/>
                  <w:vMerge w:val="continue"/>
                  <w:noWrap w:val="0"/>
                  <w:vAlign w:val="center"/>
                </w:tcPr>
                <w:p w14:paraId="0ADF45F3">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p>
              </w:tc>
              <w:tc>
                <w:tcPr>
                  <w:tcW w:w="1129" w:type="pct"/>
                  <w:gridSpan w:val="2"/>
                  <w:noWrap w:val="0"/>
                  <w:vAlign w:val="center"/>
                </w:tcPr>
                <w:p w14:paraId="10444717">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危险固废</w:t>
                  </w:r>
                </w:p>
              </w:tc>
              <w:tc>
                <w:tcPr>
                  <w:tcW w:w="1418" w:type="pct"/>
                  <w:noWrap w:val="0"/>
                  <w:vAlign w:val="center"/>
                </w:tcPr>
                <w:p w14:paraId="36F8E637">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设置</w:t>
                  </w:r>
                  <w:r>
                    <w:rPr>
                      <w:rFonts w:hint="eastAsia"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危废暂存间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szCs w:val="21"/>
                      <w:highlight w:val="none"/>
                    </w:rPr>
                    <w:t>废活性炭、废机油暂存后交由有资质的单位处理处置</w:t>
                  </w:r>
                </w:p>
              </w:tc>
              <w:tc>
                <w:tcPr>
                  <w:tcW w:w="1556" w:type="pct"/>
                  <w:noWrap w:val="0"/>
                  <w:vAlign w:val="center"/>
                </w:tcPr>
                <w:p w14:paraId="7BB0253D">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《危险废物贮存污染控制标准》（GB18597-2023）</w:t>
                  </w:r>
                </w:p>
              </w:tc>
              <w:tc>
                <w:tcPr>
                  <w:tcW w:w="544" w:type="pct"/>
                  <w:noWrap w:val="0"/>
                  <w:vAlign w:val="center"/>
                </w:tcPr>
                <w:p w14:paraId="4C659117">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w:t>
                  </w:r>
                </w:p>
              </w:tc>
            </w:tr>
            <w:tr w14:paraId="4809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0" w:type="pct"/>
                  <w:gridSpan w:val="3"/>
                  <w:noWrap w:val="0"/>
                  <w:vAlign w:val="center"/>
                </w:tcPr>
                <w:p w14:paraId="658B1688">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土壤和地下水治理/环境风险</w:t>
                  </w:r>
                </w:p>
              </w:tc>
              <w:tc>
                <w:tcPr>
                  <w:tcW w:w="2975" w:type="pct"/>
                  <w:gridSpan w:val="2"/>
                  <w:noWrap w:val="0"/>
                  <w:vAlign w:val="center"/>
                </w:tcPr>
                <w:p w14:paraId="7DDD1898">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危废暂存间、化粪池等区域进行重点防渗，厂</w:t>
                  </w:r>
                  <w:r>
                    <w:rPr>
                      <w:rFonts w:hint="default" w:ascii="Times New Roman" w:hAnsi="Times New Roman" w:eastAsia="宋体" w:cs="Times New Roman"/>
                      <w:color w:val="auto"/>
                      <w:sz w:val="21"/>
                      <w:szCs w:val="21"/>
                      <w:lang w:eastAsia="zh-CN"/>
                    </w:rPr>
                    <w:t>房</w:t>
                  </w:r>
                  <w:r>
                    <w:rPr>
                      <w:rFonts w:hint="default" w:ascii="Times New Roman" w:hAnsi="Times New Roman" w:eastAsia="宋体" w:cs="Times New Roman"/>
                      <w:color w:val="auto"/>
                      <w:sz w:val="21"/>
                      <w:szCs w:val="21"/>
                    </w:rPr>
                    <w:t>内的其他生产区域进行一般防渗</w:t>
                  </w:r>
                  <w:r>
                    <w:rPr>
                      <w:rFonts w:hint="default" w:ascii="Times New Roman" w:hAnsi="Times New Roman" w:eastAsia="宋体" w:cs="Times New Roman"/>
                      <w:color w:val="auto"/>
                      <w:sz w:val="21"/>
                      <w:szCs w:val="21"/>
                      <w:lang w:eastAsia="zh-CN"/>
                    </w:rPr>
                    <w:t>，厂区道路、绿化区等区域进行简单防渗；</w:t>
                  </w:r>
                  <w:r>
                    <w:rPr>
                      <w:rFonts w:hint="default" w:ascii="Times New Roman" w:hAnsi="Times New Roman" w:eastAsia="宋体" w:cs="Times New Roman"/>
                      <w:color w:val="auto"/>
                      <w:sz w:val="21"/>
                      <w:szCs w:val="21"/>
                      <w:lang w:val="en-US" w:eastAsia="zh-CN"/>
                    </w:rPr>
                    <w:t>设置消防系统</w:t>
                  </w:r>
                </w:p>
              </w:tc>
              <w:tc>
                <w:tcPr>
                  <w:tcW w:w="544" w:type="pct"/>
                  <w:noWrap w:val="0"/>
                  <w:vAlign w:val="center"/>
                </w:tcPr>
                <w:p w14:paraId="2A61563E">
                  <w:pPr>
                    <w:keepNext w:val="0"/>
                    <w:keepLines w:val="0"/>
                    <w:pageBreakBefore w:val="0"/>
                    <w:widowControl/>
                    <w:kinsoku/>
                    <w:wordWrap/>
                    <w:overflowPunct/>
                    <w:topLinePunct w:val="0"/>
                    <w:bidi w:val="0"/>
                    <w:ind w:left="-63" w:leftChars="-30" w:right="-63" w:rightChars="-30"/>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8</w:t>
                  </w:r>
                </w:p>
              </w:tc>
            </w:tr>
            <w:tr w14:paraId="5A86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5" w:type="pct"/>
                  <w:gridSpan w:val="5"/>
                  <w:noWrap w:val="0"/>
                  <w:vAlign w:val="center"/>
                </w:tcPr>
                <w:p w14:paraId="765F6168">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合计</w:t>
                  </w:r>
                </w:p>
              </w:tc>
              <w:tc>
                <w:tcPr>
                  <w:tcW w:w="544" w:type="pct"/>
                  <w:noWrap w:val="0"/>
                  <w:vAlign w:val="center"/>
                </w:tcPr>
                <w:p w14:paraId="1FFCA081">
                  <w:pPr>
                    <w:keepNext w:val="0"/>
                    <w:keepLines w:val="0"/>
                    <w:pageBreakBefore w:val="0"/>
                    <w:widowControl/>
                    <w:kinsoku/>
                    <w:wordWrap/>
                    <w:overflowPunct/>
                    <w:topLinePunct w:val="0"/>
                    <w:bidi w:val="0"/>
                    <w:ind w:left="-63" w:leftChars="-30" w:right="-63" w:rightChars="-3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44</w:t>
                  </w:r>
                </w:p>
              </w:tc>
            </w:tr>
          </w:tbl>
          <w:p w14:paraId="1B05E936">
            <w:pPr>
              <w:spacing w:line="360" w:lineRule="auto"/>
              <w:rPr>
                <w:b/>
                <w:bCs/>
                <w:sz w:val="24"/>
                <w:szCs w:val="24"/>
              </w:rPr>
            </w:pPr>
            <w:r>
              <w:rPr>
                <w:rFonts w:hint="eastAsia"/>
                <w:b/>
                <w:sz w:val="24"/>
                <w:lang w:val="en-US" w:eastAsia="zh-CN"/>
              </w:rPr>
              <w:t xml:space="preserve">4.9 </w:t>
            </w:r>
            <w:r>
              <w:rPr>
                <w:b/>
                <w:bCs/>
                <w:sz w:val="24"/>
                <w:szCs w:val="24"/>
              </w:rPr>
              <w:t>排污口规范化措施</w:t>
            </w:r>
          </w:p>
          <w:p w14:paraId="1453535E">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安徽省污染源排放口规范化整治管理办法》（环法函[2005]114号），排污口规范化整治应遵循便于采集样品，便于计量监测，便于日常现场监督检查的原则，建设项目按有关规定对排污口施行规范化管理，在各排污口和污染物排放点源竖立标志牌，建立管理档案。</w:t>
            </w:r>
          </w:p>
          <w:p w14:paraId="0FAAC45C">
            <w:pPr>
              <w:numPr>
                <w:ilvl w:val="0"/>
                <w:numId w:val="20"/>
              </w:num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企业应设置便于采样的明渠，并在附近树立废水排口图形标志牌，确保厂区废水达标排放。</w:t>
            </w:r>
          </w:p>
          <w:p w14:paraId="65F1B17E">
            <w:pPr>
              <w:numPr>
                <w:ilvl w:val="0"/>
                <w:numId w:val="20"/>
              </w:numPr>
              <w:spacing w:line="360" w:lineRule="auto"/>
              <w:ind w:left="0" w:lef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废气排放口必须符合规定的高度和按照《污染源监测技术规范》便于采样、监测的要求，设置直径不大于75mm的采样口。如无法满足要求的，其采样口与环境监测</w:t>
            </w:r>
            <w:r>
              <w:rPr>
                <w:rFonts w:hint="default" w:ascii="Times New Roman" w:hAnsi="Times New Roman" w:eastAsia="宋体" w:cs="Times New Roman"/>
                <w:color w:val="auto"/>
                <w:sz w:val="24"/>
                <w:highlight w:val="none"/>
                <w:lang w:eastAsia="zh-CN"/>
              </w:rPr>
              <w:t>单位</w:t>
            </w:r>
            <w:r>
              <w:rPr>
                <w:rFonts w:hint="default" w:ascii="Times New Roman" w:hAnsi="Times New Roman" w:eastAsia="宋体" w:cs="Times New Roman"/>
                <w:color w:val="auto"/>
                <w:sz w:val="24"/>
                <w:highlight w:val="none"/>
              </w:rPr>
              <w:t>共同确认。</w:t>
            </w:r>
          </w:p>
          <w:p w14:paraId="1FE80128">
            <w:pPr>
              <w:numPr>
                <w:ilvl w:val="0"/>
                <w:numId w:val="20"/>
              </w:numPr>
              <w:spacing w:line="360" w:lineRule="auto"/>
              <w:ind w:left="0" w:lef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对于一般固体废物应设置专用贮存、堆放场地。对于危险废物应设置专用储存容器，并须有防挥发、防流失、防漏防渗措施。各类</w:t>
            </w:r>
            <w:r>
              <w:rPr>
                <w:rFonts w:hint="default" w:ascii="Times New Roman" w:hAnsi="Times New Roman" w:eastAsia="宋体" w:cs="Times New Roman"/>
                <w:color w:val="auto"/>
                <w:sz w:val="24"/>
                <w:highlight w:val="none"/>
                <w:lang w:eastAsia="zh-CN"/>
              </w:rPr>
              <w:t>固体</w:t>
            </w:r>
            <w:r>
              <w:rPr>
                <w:rFonts w:hint="default" w:ascii="Times New Roman" w:hAnsi="Times New Roman" w:eastAsia="宋体" w:cs="Times New Roman"/>
                <w:color w:val="auto"/>
                <w:sz w:val="24"/>
                <w:highlight w:val="none"/>
              </w:rPr>
              <w:t>废物贮存场所均应设置醒目的标志牌。</w:t>
            </w:r>
          </w:p>
          <w:p w14:paraId="6A321AE5">
            <w:pPr>
              <w:numPr>
                <w:ilvl w:val="0"/>
                <w:numId w:val="20"/>
              </w:numPr>
              <w:spacing w:line="360" w:lineRule="auto"/>
              <w:ind w:left="0" w:lef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环境保护图形标志</w:t>
            </w:r>
          </w:p>
          <w:p w14:paraId="0BCF8F1B">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在厂区的废气排放源、</w:t>
            </w:r>
            <w:r>
              <w:rPr>
                <w:rFonts w:hint="default" w:ascii="Times New Roman" w:hAnsi="Times New Roman" w:eastAsia="宋体" w:cs="Times New Roman"/>
                <w:color w:val="auto"/>
                <w:sz w:val="24"/>
                <w:lang w:val="en-US" w:eastAsia="zh-CN"/>
              </w:rPr>
              <w:t>噪声排放源、</w:t>
            </w:r>
            <w:r>
              <w:rPr>
                <w:rFonts w:hint="default" w:ascii="Times New Roman" w:hAnsi="Times New Roman" w:eastAsia="宋体" w:cs="Times New Roman"/>
                <w:color w:val="auto"/>
                <w:sz w:val="24"/>
              </w:rPr>
              <w:t>固体废物贮存处置场应设置环境保护图形标志，图形符号分为提示图形和警告图形符号两种，按《环境保护图形标志——排放口(源)》（GB15562.1-1995）、《环境保护图形标志——固体废物贮存（处置）场》（GB15562.2-1995）及修改单执行。</w:t>
            </w:r>
            <w:r>
              <w:rPr>
                <w:rFonts w:hint="default" w:ascii="Times New Roman" w:hAnsi="Times New Roman" w:eastAsia="宋体" w:cs="Times New Roman"/>
                <w:color w:val="auto"/>
                <w:sz w:val="24"/>
                <w:lang w:val="en-US" w:eastAsia="zh-CN"/>
              </w:rPr>
              <w:t>此外，应按照</w:t>
            </w:r>
            <w:r>
              <w:rPr>
                <w:rFonts w:hint="default" w:ascii="Times New Roman" w:hAnsi="Times New Roman" w:eastAsia="宋体" w:cs="Times New Roman"/>
                <w:color w:val="auto"/>
                <w:sz w:val="24"/>
              </w:rPr>
              <w:t>《危险废物识别标志设置技术规范》（HJ1276-2022）要求设置危险废物贮存设施或场所标志、危险废物贮存分区标志和危险废物标签等危险废物识别标志。</w:t>
            </w:r>
          </w:p>
          <w:p w14:paraId="676896BC">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环境保护图形符号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环境保护图形标志的形状及颜色见</w:t>
            </w:r>
            <w:r>
              <w:rPr>
                <w:rFonts w:hint="default"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0DBFAA98">
            <w:pPr>
              <w:widowControl/>
              <w:numPr>
                <w:ilvl w:val="0"/>
                <w:numId w:val="13"/>
              </w:numPr>
              <w:tabs>
                <w:tab w:val="left" w:pos="420"/>
                <w:tab w:val="clear" w:pos="0"/>
              </w:tabs>
              <w:ind w:left="0" w:leftChars="0" w:firstLine="0"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环保图形标志</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3153"/>
              <w:gridCol w:w="3285"/>
              <w:gridCol w:w="1542"/>
            </w:tblGrid>
            <w:tr w14:paraId="5664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trPr>
              <w:tc>
                <w:tcPr>
                  <w:tcW w:w="468" w:type="pct"/>
                  <w:tcBorders>
                    <w:tl2br w:val="nil"/>
                    <w:tr2bl w:val="nil"/>
                  </w:tcBorders>
                  <w:noWrap w:val="0"/>
                  <w:vAlign w:val="center"/>
                </w:tcPr>
                <w:p w14:paraId="0F2F62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序号</w:t>
                  </w:r>
                </w:p>
              </w:tc>
              <w:tc>
                <w:tcPr>
                  <w:tcW w:w="1790" w:type="pct"/>
                  <w:tcBorders>
                    <w:tl2br w:val="nil"/>
                    <w:tr2bl w:val="nil"/>
                  </w:tcBorders>
                  <w:noWrap w:val="0"/>
                  <w:vAlign w:val="center"/>
                </w:tcPr>
                <w:p w14:paraId="14541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提示性图形符号</w:t>
                  </w:r>
                </w:p>
              </w:tc>
              <w:tc>
                <w:tcPr>
                  <w:tcW w:w="1865" w:type="pct"/>
                  <w:tcBorders>
                    <w:tl2br w:val="nil"/>
                    <w:tr2bl w:val="nil"/>
                  </w:tcBorders>
                  <w:noWrap w:val="0"/>
                  <w:vAlign w:val="center"/>
                </w:tcPr>
                <w:p w14:paraId="424B4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警告图形符号</w:t>
                  </w:r>
                </w:p>
              </w:tc>
              <w:tc>
                <w:tcPr>
                  <w:tcW w:w="875" w:type="pct"/>
                  <w:tcBorders>
                    <w:tl2br w:val="nil"/>
                    <w:tr2bl w:val="nil"/>
                  </w:tcBorders>
                  <w:noWrap w:val="0"/>
                  <w:vAlign w:val="center"/>
                </w:tcPr>
                <w:p w14:paraId="43B35E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i w:val="0"/>
                      <w:iCs w:val="0"/>
                      <w:color w:val="auto"/>
                      <w:szCs w:val="21"/>
                      <w:highlight w:val="none"/>
                    </w:rPr>
                  </w:pPr>
                  <w:r>
                    <w:rPr>
                      <w:rFonts w:hint="default" w:ascii="Times New Roman" w:hAnsi="Times New Roman" w:eastAsia="宋体" w:cs="Times New Roman"/>
                      <w:b/>
                      <w:bCs w:val="0"/>
                      <w:i w:val="0"/>
                      <w:iCs w:val="0"/>
                      <w:color w:val="auto"/>
                      <w:szCs w:val="21"/>
                      <w:highlight w:val="none"/>
                    </w:rPr>
                    <w:t>排放口及堆场</w:t>
                  </w:r>
                </w:p>
              </w:tc>
            </w:tr>
            <w:tr w14:paraId="672F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4" w:hRule="atLeast"/>
              </w:trPr>
              <w:tc>
                <w:tcPr>
                  <w:tcW w:w="865" w:type="dxa"/>
                  <w:tcBorders>
                    <w:tl2br w:val="nil"/>
                    <w:tr2bl w:val="nil"/>
                  </w:tcBorders>
                  <w:noWrap w:val="0"/>
                  <w:vAlign w:val="center"/>
                </w:tcPr>
                <w:p w14:paraId="59CC80A3">
                  <w:pPr>
                    <w:numPr>
                      <w:ilvl w:val="0"/>
                      <w:numId w:val="21"/>
                    </w:numPr>
                    <w:tabs>
                      <w:tab w:val="clear" w:pos="0"/>
                    </w:tabs>
                    <w:ind w:left="0" w:leftChars="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noWrap w:val="0"/>
                  <w:vAlign w:val="center"/>
                </w:tcPr>
                <w:p w14:paraId="2E0A47C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1238250" cy="1152525"/>
                        <wp:effectExtent l="0" t="0" r="0" b="9525"/>
                        <wp:docPr id="15" name="图片 12" descr="说明: 说明: 污水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说明: 说明: 污水排放口1"/>
                                <pic:cNvPicPr>
                                  <a:picLocks noChangeAspect="1"/>
                                </pic:cNvPicPr>
                              </pic:nvPicPr>
                              <pic:blipFill>
                                <a:blip r:embed="rId32"/>
                                <a:stretch>
                                  <a:fillRect/>
                                </a:stretch>
                              </pic:blipFill>
                              <pic:spPr>
                                <a:xfrm>
                                  <a:off x="0" y="0"/>
                                  <a:ext cx="1238250" cy="1152525"/>
                                </a:xfrm>
                                <a:prstGeom prst="rect">
                                  <a:avLst/>
                                </a:prstGeom>
                                <a:noFill/>
                                <a:ln>
                                  <a:noFill/>
                                </a:ln>
                              </pic:spPr>
                            </pic:pic>
                          </a:graphicData>
                        </a:graphic>
                      </wp:inline>
                    </w:drawing>
                  </w:r>
                </w:p>
              </w:tc>
              <w:tc>
                <w:tcPr>
                  <w:tcW w:w="1865" w:type="pct"/>
                  <w:tcBorders>
                    <w:tl2br w:val="nil"/>
                    <w:tr2bl w:val="nil"/>
                  </w:tcBorders>
                  <w:noWrap w:val="0"/>
                  <w:vAlign w:val="center"/>
                </w:tcPr>
                <w:p w14:paraId="3C10F9D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114300" distR="114300">
                        <wp:extent cx="1266190" cy="1138555"/>
                        <wp:effectExtent l="0" t="0" r="10160" b="444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33"/>
                                <a:stretch>
                                  <a:fillRect/>
                                </a:stretch>
                              </pic:blipFill>
                              <pic:spPr>
                                <a:xfrm>
                                  <a:off x="0" y="0"/>
                                  <a:ext cx="1266190" cy="1138555"/>
                                </a:xfrm>
                                <a:prstGeom prst="rect">
                                  <a:avLst/>
                                </a:prstGeom>
                                <a:noFill/>
                                <a:ln>
                                  <a:noFill/>
                                </a:ln>
                              </pic:spPr>
                            </pic:pic>
                          </a:graphicData>
                        </a:graphic>
                      </wp:inline>
                    </w:drawing>
                  </w:r>
                </w:p>
              </w:tc>
              <w:tc>
                <w:tcPr>
                  <w:tcW w:w="875" w:type="pct"/>
                  <w:tcBorders>
                    <w:tl2br w:val="nil"/>
                    <w:tr2bl w:val="nil"/>
                  </w:tcBorders>
                  <w:noWrap w:val="0"/>
                  <w:vAlign w:val="center"/>
                </w:tcPr>
                <w:p w14:paraId="6E456723">
                  <w:pPr>
                    <w:spacing w:line="4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污水排放口</w:t>
                  </w:r>
                </w:p>
              </w:tc>
            </w:tr>
            <w:tr w14:paraId="0442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noWrap w:val="0"/>
                  <w:vAlign w:val="center"/>
                </w:tcPr>
                <w:p w14:paraId="33B86D2E">
                  <w:pPr>
                    <w:numPr>
                      <w:ilvl w:val="0"/>
                      <w:numId w:val="21"/>
                    </w:numPr>
                    <w:tabs>
                      <w:tab w:val="clear" w:pos="0"/>
                    </w:tabs>
                    <w:ind w:left="0" w:leftChars="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noWrap w:val="0"/>
                  <w:vAlign w:val="center"/>
                </w:tcPr>
                <w:p w14:paraId="476AF1A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1276350" cy="1114425"/>
                        <wp:effectExtent l="0" t="0" r="0" b="9525"/>
                        <wp:docPr id="20" name="图片 14" descr="说明: 说明: 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说明: 说明: 废气排放口1"/>
                                <pic:cNvPicPr>
                                  <a:picLocks noChangeAspect="1"/>
                                </pic:cNvPicPr>
                              </pic:nvPicPr>
                              <pic:blipFill>
                                <a:blip r:embed="rId34"/>
                                <a:stretch>
                                  <a:fillRect/>
                                </a:stretch>
                              </pic:blipFill>
                              <pic:spPr>
                                <a:xfrm>
                                  <a:off x="0" y="0"/>
                                  <a:ext cx="1276350" cy="1114425"/>
                                </a:xfrm>
                                <a:prstGeom prst="rect">
                                  <a:avLst/>
                                </a:prstGeom>
                                <a:noFill/>
                                <a:ln>
                                  <a:noFill/>
                                </a:ln>
                              </pic:spPr>
                            </pic:pic>
                          </a:graphicData>
                        </a:graphic>
                      </wp:inline>
                    </w:drawing>
                  </w:r>
                </w:p>
              </w:tc>
              <w:tc>
                <w:tcPr>
                  <w:tcW w:w="1865" w:type="pct"/>
                  <w:tcBorders>
                    <w:tl2br w:val="nil"/>
                    <w:tr2bl w:val="nil"/>
                  </w:tcBorders>
                  <w:noWrap w:val="0"/>
                  <w:vAlign w:val="center"/>
                </w:tcPr>
                <w:p w14:paraId="0872653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114300" distR="114300">
                        <wp:extent cx="1264285" cy="1130935"/>
                        <wp:effectExtent l="0" t="0" r="12065" b="1206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35"/>
                                <a:srcRect r="688"/>
                                <a:stretch>
                                  <a:fillRect/>
                                </a:stretch>
                              </pic:blipFill>
                              <pic:spPr>
                                <a:xfrm>
                                  <a:off x="0" y="0"/>
                                  <a:ext cx="1264285" cy="1130935"/>
                                </a:xfrm>
                                <a:prstGeom prst="rect">
                                  <a:avLst/>
                                </a:prstGeom>
                                <a:noFill/>
                                <a:ln>
                                  <a:noFill/>
                                </a:ln>
                              </pic:spPr>
                            </pic:pic>
                          </a:graphicData>
                        </a:graphic>
                      </wp:inline>
                    </w:drawing>
                  </w:r>
                </w:p>
              </w:tc>
              <w:tc>
                <w:tcPr>
                  <w:tcW w:w="875" w:type="pct"/>
                  <w:tcBorders>
                    <w:tl2br w:val="nil"/>
                    <w:tr2bl w:val="nil"/>
                  </w:tcBorders>
                  <w:noWrap w:val="0"/>
                  <w:vAlign w:val="center"/>
                </w:tcPr>
                <w:p w14:paraId="2C8280CC">
                  <w:pPr>
                    <w:spacing w:line="4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废气排放口</w:t>
                  </w:r>
                </w:p>
              </w:tc>
            </w:tr>
            <w:tr w14:paraId="7304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noWrap w:val="0"/>
                  <w:vAlign w:val="center"/>
                </w:tcPr>
                <w:p w14:paraId="4B956773">
                  <w:pPr>
                    <w:numPr>
                      <w:ilvl w:val="0"/>
                      <w:numId w:val="21"/>
                    </w:numPr>
                    <w:tabs>
                      <w:tab w:val="clear" w:pos="0"/>
                    </w:tabs>
                    <w:ind w:left="0" w:leftChars="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noWrap w:val="0"/>
                  <w:vAlign w:val="center"/>
                </w:tcPr>
                <w:p w14:paraId="3382597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1257300" cy="1114425"/>
                        <wp:effectExtent l="0" t="0" r="0" b="9525"/>
                        <wp:docPr id="21" name="图片 16" descr="说明: 说明: 噪声排放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说明: 说明: 噪声排放源1"/>
                                <pic:cNvPicPr>
                                  <a:picLocks noChangeAspect="1"/>
                                </pic:cNvPicPr>
                              </pic:nvPicPr>
                              <pic:blipFill>
                                <a:blip r:embed="rId36"/>
                                <a:stretch>
                                  <a:fillRect/>
                                </a:stretch>
                              </pic:blipFill>
                              <pic:spPr>
                                <a:xfrm>
                                  <a:off x="0" y="0"/>
                                  <a:ext cx="1257300" cy="1114425"/>
                                </a:xfrm>
                                <a:prstGeom prst="rect">
                                  <a:avLst/>
                                </a:prstGeom>
                                <a:noFill/>
                                <a:ln>
                                  <a:noFill/>
                                </a:ln>
                              </pic:spPr>
                            </pic:pic>
                          </a:graphicData>
                        </a:graphic>
                      </wp:inline>
                    </w:drawing>
                  </w:r>
                </w:p>
              </w:tc>
              <w:tc>
                <w:tcPr>
                  <w:tcW w:w="1865" w:type="pct"/>
                  <w:tcBorders>
                    <w:tl2br w:val="nil"/>
                    <w:tr2bl w:val="nil"/>
                  </w:tcBorders>
                  <w:noWrap w:val="0"/>
                  <w:vAlign w:val="center"/>
                </w:tcPr>
                <w:p w14:paraId="3C2A499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114300" distR="114300">
                        <wp:extent cx="1259205" cy="1118870"/>
                        <wp:effectExtent l="0" t="0" r="17145" b="50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7"/>
                                <a:stretch>
                                  <a:fillRect/>
                                </a:stretch>
                              </pic:blipFill>
                              <pic:spPr>
                                <a:xfrm>
                                  <a:off x="0" y="0"/>
                                  <a:ext cx="1259205" cy="1118870"/>
                                </a:xfrm>
                                <a:prstGeom prst="rect">
                                  <a:avLst/>
                                </a:prstGeom>
                                <a:noFill/>
                                <a:ln>
                                  <a:noFill/>
                                </a:ln>
                              </pic:spPr>
                            </pic:pic>
                          </a:graphicData>
                        </a:graphic>
                      </wp:inline>
                    </w:drawing>
                  </w:r>
                </w:p>
              </w:tc>
              <w:tc>
                <w:tcPr>
                  <w:tcW w:w="875" w:type="pct"/>
                  <w:tcBorders>
                    <w:tl2br w:val="nil"/>
                    <w:tr2bl w:val="nil"/>
                  </w:tcBorders>
                  <w:noWrap w:val="0"/>
                  <w:vAlign w:val="center"/>
                </w:tcPr>
                <w:p w14:paraId="52129BAC">
                  <w:pPr>
                    <w:spacing w:line="4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噪声排放源</w:t>
                  </w:r>
                </w:p>
              </w:tc>
            </w:tr>
            <w:tr w14:paraId="1964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noWrap w:val="0"/>
                  <w:vAlign w:val="center"/>
                </w:tcPr>
                <w:p w14:paraId="3CE08AED">
                  <w:pPr>
                    <w:numPr>
                      <w:ilvl w:val="0"/>
                      <w:numId w:val="21"/>
                    </w:numPr>
                    <w:tabs>
                      <w:tab w:val="clear" w:pos="0"/>
                    </w:tabs>
                    <w:ind w:left="0" w:leftChars="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noWrap w:val="0"/>
                  <w:vAlign w:val="center"/>
                </w:tcPr>
                <w:p w14:paraId="62FD5AC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drawing>
                      <wp:inline distT="0" distB="0" distL="114300" distR="114300">
                        <wp:extent cx="1228725" cy="1123950"/>
                        <wp:effectExtent l="0" t="0" r="9525" b="0"/>
                        <wp:docPr id="14" name="图片 18" descr="说明: 说明: 一般固体废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说明: 说明: 一般固体废物1"/>
                                <pic:cNvPicPr>
                                  <a:picLocks noChangeAspect="1"/>
                                </pic:cNvPicPr>
                              </pic:nvPicPr>
                              <pic:blipFill>
                                <a:blip r:embed="rId38"/>
                                <a:stretch>
                                  <a:fillRect/>
                                </a:stretch>
                              </pic:blipFill>
                              <pic:spPr>
                                <a:xfrm>
                                  <a:off x="0" y="0"/>
                                  <a:ext cx="1228725" cy="1123950"/>
                                </a:xfrm>
                                <a:prstGeom prst="rect">
                                  <a:avLst/>
                                </a:prstGeom>
                                <a:noFill/>
                                <a:ln>
                                  <a:noFill/>
                                </a:ln>
                              </pic:spPr>
                            </pic:pic>
                          </a:graphicData>
                        </a:graphic>
                      </wp:inline>
                    </w:drawing>
                  </w:r>
                </w:p>
              </w:tc>
              <w:tc>
                <w:tcPr>
                  <w:tcW w:w="1865" w:type="pct"/>
                  <w:tcBorders>
                    <w:tl2br w:val="nil"/>
                    <w:tr2bl w:val="nil"/>
                  </w:tcBorders>
                  <w:noWrap w:val="0"/>
                  <w:vAlign w:val="center"/>
                </w:tcPr>
                <w:p w14:paraId="6A6FD78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drawing>
                      <wp:inline distT="0" distB="0" distL="114300" distR="114300">
                        <wp:extent cx="1275715" cy="1117600"/>
                        <wp:effectExtent l="0" t="0" r="63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stretch>
                                  <a:fillRect/>
                                </a:stretch>
                              </pic:blipFill>
                              <pic:spPr>
                                <a:xfrm>
                                  <a:off x="0" y="0"/>
                                  <a:ext cx="1275715" cy="1117600"/>
                                </a:xfrm>
                                <a:prstGeom prst="rect">
                                  <a:avLst/>
                                </a:prstGeom>
                                <a:noFill/>
                                <a:ln>
                                  <a:noFill/>
                                </a:ln>
                              </pic:spPr>
                            </pic:pic>
                          </a:graphicData>
                        </a:graphic>
                      </wp:inline>
                    </w:drawing>
                  </w:r>
                </w:p>
              </w:tc>
              <w:tc>
                <w:tcPr>
                  <w:tcW w:w="875" w:type="pct"/>
                  <w:tcBorders>
                    <w:tl2br w:val="nil"/>
                    <w:tr2bl w:val="nil"/>
                  </w:tcBorders>
                  <w:noWrap w:val="0"/>
                  <w:vAlign w:val="center"/>
                </w:tcPr>
                <w:p w14:paraId="22DD54BD">
                  <w:pPr>
                    <w:spacing w:line="46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一般固体废物</w:t>
                  </w:r>
                </w:p>
              </w:tc>
            </w:tr>
            <w:tr w14:paraId="7CDB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noWrap w:val="0"/>
                  <w:vAlign w:val="center"/>
                </w:tcPr>
                <w:p w14:paraId="7AEA3152">
                  <w:pPr>
                    <w:numPr>
                      <w:ilvl w:val="0"/>
                      <w:numId w:val="21"/>
                    </w:numPr>
                    <w:tabs>
                      <w:tab w:val="clear" w:pos="0"/>
                    </w:tabs>
                    <w:ind w:left="0" w:leftChars="0" w:firstLine="0" w:firstLineChars="0"/>
                    <w:jc w:val="center"/>
                    <w:rPr>
                      <w:rFonts w:hint="default" w:ascii="Times New Roman" w:hAnsi="Times New Roman" w:eastAsia="宋体" w:cs="Times New Roman"/>
                      <w:color w:val="auto"/>
                      <w:szCs w:val="21"/>
                      <w:highlight w:val="none"/>
                    </w:rPr>
                  </w:pPr>
                </w:p>
              </w:tc>
              <w:tc>
                <w:tcPr>
                  <w:tcW w:w="1790" w:type="pct"/>
                  <w:tcBorders>
                    <w:tl2br w:val="nil"/>
                    <w:tr2bl w:val="nil"/>
                  </w:tcBorders>
                  <w:noWrap w:val="0"/>
                  <w:vAlign w:val="center"/>
                </w:tcPr>
                <w:p w14:paraId="58182C45">
                  <w:pPr>
                    <w:spacing w:line="460" w:lineRule="exact"/>
                    <w:jc w:val="center"/>
                    <w:rPr>
                      <w:rFonts w:hint="default" w:ascii="Times New Roman" w:hAnsi="Times New Roman" w:eastAsia="宋体" w:cs="Times New Roman"/>
                      <w:color w:val="auto"/>
                      <w:szCs w:val="21"/>
                      <w:highlight w:val="none"/>
                    </w:rPr>
                  </w:pPr>
                </w:p>
              </w:tc>
              <w:tc>
                <w:tcPr>
                  <w:tcW w:w="1865" w:type="pct"/>
                  <w:tcBorders>
                    <w:tl2br w:val="nil"/>
                    <w:tr2bl w:val="nil"/>
                  </w:tcBorders>
                  <w:noWrap w:val="0"/>
                  <w:vAlign w:val="center"/>
                </w:tcPr>
                <w:p w14:paraId="47821FB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drawing>
                      <wp:inline distT="0" distB="0" distL="114300" distR="114300">
                        <wp:extent cx="1167130" cy="1051560"/>
                        <wp:effectExtent l="0" t="0" r="13970" b="15240"/>
                        <wp:docPr id="22" name="图片 20" descr="ea164bd5170c4f989ce968f5a935f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ea164bd5170c4f989ce968f5a935f453"/>
                                <pic:cNvPicPr>
                                  <a:picLocks noChangeAspect="1"/>
                                </pic:cNvPicPr>
                              </pic:nvPicPr>
                              <pic:blipFill>
                                <a:blip r:embed="rId40"/>
                                <a:stretch>
                                  <a:fillRect/>
                                </a:stretch>
                              </pic:blipFill>
                              <pic:spPr>
                                <a:xfrm>
                                  <a:off x="0" y="0"/>
                                  <a:ext cx="1167130" cy="1051560"/>
                                </a:xfrm>
                                <a:prstGeom prst="rect">
                                  <a:avLst/>
                                </a:prstGeom>
                                <a:noFill/>
                                <a:ln>
                                  <a:noFill/>
                                </a:ln>
                              </pic:spPr>
                            </pic:pic>
                          </a:graphicData>
                        </a:graphic>
                      </wp:inline>
                    </w:drawing>
                  </w:r>
                </w:p>
              </w:tc>
              <w:tc>
                <w:tcPr>
                  <w:tcW w:w="875" w:type="pct"/>
                  <w:tcBorders>
                    <w:tl2br w:val="nil"/>
                    <w:tr2bl w:val="nil"/>
                  </w:tcBorders>
                  <w:noWrap w:val="0"/>
                  <w:vAlign w:val="center"/>
                </w:tcPr>
                <w:p w14:paraId="55EFBF97">
                  <w:pPr>
                    <w:spacing w:line="4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危险废物</w:t>
                  </w:r>
                </w:p>
              </w:tc>
            </w:tr>
          </w:tbl>
          <w:p w14:paraId="7C9E38E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宋体" w:cs="Times New Roman"/>
                <w:b/>
                <w:color w:val="auto"/>
                <w:sz w:val="24"/>
                <w:highlight w:val="none"/>
              </w:rPr>
            </w:pPr>
          </w:p>
          <w:p w14:paraId="2ADA9F28">
            <w:pPr>
              <w:widowControl/>
              <w:numPr>
                <w:ilvl w:val="0"/>
                <w:numId w:val="13"/>
              </w:numPr>
              <w:tabs>
                <w:tab w:val="left" w:pos="420"/>
                <w:tab w:val="clear" w:pos="0"/>
              </w:tabs>
              <w:ind w:left="0" w:leftChars="0" w:firstLine="0"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环保图形标志形状、颜色</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2201"/>
              <w:gridCol w:w="2203"/>
              <w:gridCol w:w="2203"/>
            </w:tblGrid>
            <w:tr w14:paraId="44E8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noWrap w:val="0"/>
                  <w:vAlign w:val="center"/>
                </w:tcPr>
                <w:p w14:paraId="41D22D1A">
                  <w:pPr>
                    <w:jc w:val="center"/>
                    <w:rPr>
                      <w:rFonts w:hint="default" w:ascii="Times New Roman" w:hAnsi="Times New Roman" w:eastAsia="宋体" w:cs="Times New Roman"/>
                      <w:color w:val="auto"/>
                      <w:szCs w:val="21"/>
                    </w:rPr>
                  </w:pPr>
                </w:p>
              </w:tc>
              <w:tc>
                <w:tcPr>
                  <w:tcW w:w="1249" w:type="pct"/>
                  <w:noWrap w:val="0"/>
                  <w:vAlign w:val="center"/>
                </w:tcPr>
                <w:p w14:paraId="664B3258">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形状</w:t>
                  </w:r>
                </w:p>
              </w:tc>
              <w:tc>
                <w:tcPr>
                  <w:tcW w:w="1250" w:type="pct"/>
                  <w:noWrap w:val="0"/>
                  <w:vAlign w:val="center"/>
                </w:tcPr>
                <w:p w14:paraId="52A009D3">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背景颜色</w:t>
                  </w:r>
                </w:p>
              </w:tc>
              <w:tc>
                <w:tcPr>
                  <w:tcW w:w="1250" w:type="pct"/>
                  <w:noWrap w:val="0"/>
                  <w:vAlign w:val="center"/>
                </w:tcPr>
                <w:p w14:paraId="6E89B96C">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图形颜色</w:t>
                  </w:r>
                </w:p>
              </w:tc>
            </w:tr>
            <w:tr w14:paraId="50E5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noWrap w:val="0"/>
                  <w:vAlign w:val="center"/>
                </w:tcPr>
                <w:p w14:paraId="0FBBAC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提示性图形符号</w:t>
                  </w:r>
                </w:p>
              </w:tc>
              <w:tc>
                <w:tcPr>
                  <w:tcW w:w="1249" w:type="pct"/>
                  <w:noWrap w:val="0"/>
                  <w:vAlign w:val="center"/>
                </w:tcPr>
                <w:p w14:paraId="5AF4EB0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正方形边框</w:t>
                  </w:r>
                </w:p>
              </w:tc>
              <w:tc>
                <w:tcPr>
                  <w:tcW w:w="1250" w:type="pct"/>
                  <w:noWrap w:val="0"/>
                  <w:vAlign w:val="center"/>
                </w:tcPr>
                <w:p w14:paraId="1FB3CCE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绿色</w:t>
                  </w:r>
                </w:p>
              </w:tc>
              <w:tc>
                <w:tcPr>
                  <w:tcW w:w="1250" w:type="pct"/>
                  <w:noWrap w:val="0"/>
                  <w:vAlign w:val="center"/>
                </w:tcPr>
                <w:p w14:paraId="081377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白色</w:t>
                  </w:r>
                </w:p>
              </w:tc>
            </w:tr>
            <w:tr w14:paraId="613F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49" w:type="pct"/>
                  <w:noWrap w:val="0"/>
                  <w:vAlign w:val="center"/>
                </w:tcPr>
                <w:p w14:paraId="6AF74E6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警告图形符号</w:t>
                  </w:r>
                </w:p>
              </w:tc>
              <w:tc>
                <w:tcPr>
                  <w:tcW w:w="1249" w:type="pct"/>
                  <w:noWrap w:val="0"/>
                  <w:vAlign w:val="center"/>
                </w:tcPr>
                <w:p w14:paraId="285B12A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三角形边框</w:t>
                  </w:r>
                </w:p>
              </w:tc>
              <w:tc>
                <w:tcPr>
                  <w:tcW w:w="1250" w:type="pct"/>
                  <w:noWrap w:val="0"/>
                  <w:vAlign w:val="center"/>
                </w:tcPr>
                <w:p w14:paraId="72A6E7B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黄色</w:t>
                  </w:r>
                </w:p>
              </w:tc>
              <w:tc>
                <w:tcPr>
                  <w:tcW w:w="1250" w:type="pct"/>
                  <w:noWrap w:val="0"/>
                  <w:vAlign w:val="center"/>
                </w:tcPr>
                <w:p w14:paraId="1E9794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黑色</w:t>
                  </w:r>
                </w:p>
              </w:tc>
            </w:tr>
          </w:tbl>
          <w:p w14:paraId="7E89E6EB">
            <w:pPr>
              <w:pStyle w:val="8"/>
              <w:spacing w:line="360" w:lineRule="auto"/>
              <w:ind w:right="105" w:rightChars="50" w:firstLine="0" w:firstLineChars="0"/>
              <w:rPr>
                <w:rFonts w:hint="eastAsia" w:eastAsia="宋体"/>
                <w:lang w:eastAsia="zh-CN"/>
              </w:rPr>
            </w:pPr>
          </w:p>
        </w:tc>
      </w:tr>
    </w:tbl>
    <w:p w14:paraId="527C0E58">
      <w:pPr>
        <w:sectPr>
          <w:pgSz w:w="11907" w:h="16840"/>
          <w:pgMar w:top="1418" w:right="1134" w:bottom="1418" w:left="1247" w:header="851" w:footer="851" w:gutter="0"/>
          <w:cols w:space="720" w:num="1"/>
          <w:docGrid w:linePitch="312" w:charSpace="0"/>
        </w:sectPr>
      </w:pPr>
    </w:p>
    <w:p w14:paraId="3FD4F221">
      <w:pPr>
        <w:pStyle w:val="31"/>
        <w:jc w:val="center"/>
        <w:outlineLvl w:val="0"/>
        <w:rPr>
          <w:rFonts w:ascii="Times New Roman" w:hAnsi="Times New Roman"/>
          <w:b/>
          <w:snapToGrid w:val="0"/>
          <w:sz w:val="30"/>
          <w:szCs w:val="30"/>
        </w:rPr>
      </w:pPr>
      <w:r>
        <w:rPr>
          <w:rFonts w:ascii="Times New Roman" w:hAnsi="Times New Roman"/>
          <w:b/>
          <w:snapToGrid w:val="0"/>
          <w:sz w:val="30"/>
          <w:szCs w:val="30"/>
        </w:rPr>
        <w:t>五、</w:t>
      </w:r>
      <w:bookmarkStart w:id="14" w:name="_Hlk54167917"/>
      <w:r>
        <w:rPr>
          <w:rFonts w:ascii="Times New Roman" w:hAnsi="Times New Roman"/>
          <w:b/>
          <w:snapToGrid w:val="0"/>
          <w:sz w:val="30"/>
          <w:szCs w:val="30"/>
        </w:rPr>
        <w:t>环境保护措施监督检查清单</w:t>
      </w:r>
      <w:bookmarkEnd w:id="14"/>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865"/>
        <w:gridCol w:w="1256"/>
        <w:gridCol w:w="1321"/>
        <w:gridCol w:w="2877"/>
        <w:gridCol w:w="2149"/>
      </w:tblGrid>
      <w:tr w14:paraId="35ACD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tblHeader/>
          <w:jc w:val="center"/>
        </w:trPr>
        <w:tc>
          <w:tcPr>
            <w:tcW w:w="1135" w:type="dxa"/>
            <w:noWrap w:val="0"/>
            <w:vAlign w:val="top"/>
          </w:tcPr>
          <w:p w14:paraId="525638DB">
            <w:pPr>
              <w:adjustRightInd w:val="0"/>
              <w:snapToGrid w:val="0"/>
              <w:jc w:val="center"/>
              <w:rPr>
                <w:b/>
                <w:sz w:val="21"/>
                <w:szCs w:val="21"/>
              </w:rPr>
            </w:pPr>
            <w:r>
              <w:rPr>
                <w:b/>
                <w:sz w:val="21"/>
                <w:szCs w:val="21"/>
              </w:rPr>
              <w:t>内容</w:t>
            </w:r>
          </w:p>
          <w:p w14:paraId="08BE6B1F">
            <w:pPr>
              <w:adjustRightInd w:val="0"/>
              <w:snapToGrid w:val="0"/>
              <w:jc w:val="center"/>
              <w:rPr>
                <w:b/>
                <w:sz w:val="21"/>
                <w:szCs w:val="21"/>
              </w:rPr>
            </w:pPr>
            <w:r>
              <w:rPr>
                <w:b/>
                <w:sz w:val="21"/>
                <w:szCs w:val="21"/>
              </w:rPr>
              <w:t>要素</w:t>
            </w:r>
          </w:p>
        </w:tc>
        <w:tc>
          <w:tcPr>
            <w:tcW w:w="2121" w:type="dxa"/>
            <w:gridSpan w:val="2"/>
            <w:noWrap w:val="0"/>
            <w:vAlign w:val="center"/>
          </w:tcPr>
          <w:p w14:paraId="2A006BB9">
            <w:pPr>
              <w:adjustRightInd w:val="0"/>
              <w:snapToGrid w:val="0"/>
              <w:jc w:val="center"/>
              <w:rPr>
                <w:b/>
                <w:sz w:val="21"/>
                <w:szCs w:val="21"/>
              </w:rPr>
            </w:pPr>
            <w:r>
              <w:rPr>
                <w:b/>
                <w:sz w:val="21"/>
                <w:szCs w:val="21"/>
              </w:rPr>
              <w:t>排放口(编号、</w:t>
            </w:r>
          </w:p>
          <w:p w14:paraId="1B03710E">
            <w:pPr>
              <w:adjustRightInd w:val="0"/>
              <w:snapToGrid w:val="0"/>
              <w:jc w:val="center"/>
              <w:rPr>
                <w:b/>
                <w:sz w:val="21"/>
                <w:szCs w:val="21"/>
              </w:rPr>
            </w:pPr>
            <w:r>
              <w:rPr>
                <w:b/>
                <w:sz w:val="21"/>
                <w:szCs w:val="21"/>
              </w:rPr>
              <w:t>名称)/污染源)</w:t>
            </w:r>
          </w:p>
        </w:tc>
        <w:tc>
          <w:tcPr>
            <w:tcW w:w="1321" w:type="dxa"/>
            <w:noWrap w:val="0"/>
            <w:vAlign w:val="center"/>
          </w:tcPr>
          <w:p w14:paraId="16F4997D">
            <w:pPr>
              <w:adjustRightInd w:val="0"/>
              <w:snapToGrid w:val="0"/>
              <w:jc w:val="center"/>
              <w:rPr>
                <w:b/>
                <w:sz w:val="21"/>
                <w:szCs w:val="21"/>
              </w:rPr>
            </w:pPr>
            <w:r>
              <w:rPr>
                <w:b/>
                <w:sz w:val="21"/>
                <w:szCs w:val="21"/>
              </w:rPr>
              <w:t>污染物</w:t>
            </w:r>
          </w:p>
          <w:p w14:paraId="4718E779">
            <w:pPr>
              <w:adjustRightInd w:val="0"/>
              <w:snapToGrid w:val="0"/>
              <w:jc w:val="center"/>
              <w:rPr>
                <w:b/>
                <w:sz w:val="21"/>
                <w:szCs w:val="21"/>
              </w:rPr>
            </w:pPr>
            <w:r>
              <w:rPr>
                <w:b/>
                <w:sz w:val="21"/>
                <w:szCs w:val="21"/>
              </w:rPr>
              <w:t>项目</w:t>
            </w:r>
          </w:p>
        </w:tc>
        <w:tc>
          <w:tcPr>
            <w:tcW w:w="2877" w:type="dxa"/>
            <w:noWrap w:val="0"/>
            <w:vAlign w:val="center"/>
          </w:tcPr>
          <w:p w14:paraId="2850D0B1">
            <w:pPr>
              <w:adjustRightInd w:val="0"/>
              <w:snapToGrid w:val="0"/>
              <w:jc w:val="center"/>
              <w:rPr>
                <w:b/>
                <w:sz w:val="21"/>
                <w:szCs w:val="21"/>
              </w:rPr>
            </w:pPr>
            <w:r>
              <w:rPr>
                <w:b/>
                <w:sz w:val="21"/>
                <w:szCs w:val="21"/>
              </w:rPr>
              <w:t>环境保护措施</w:t>
            </w:r>
          </w:p>
        </w:tc>
        <w:tc>
          <w:tcPr>
            <w:tcW w:w="2149" w:type="dxa"/>
            <w:noWrap w:val="0"/>
            <w:vAlign w:val="center"/>
          </w:tcPr>
          <w:p w14:paraId="2D795292">
            <w:pPr>
              <w:adjustRightInd w:val="0"/>
              <w:snapToGrid w:val="0"/>
              <w:jc w:val="center"/>
              <w:rPr>
                <w:b/>
                <w:sz w:val="21"/>
                <w:szCs w:val="21"/>
              </w:rPr>
            </w:pPr>
            <w:r>
              <w:rPr>
                <w:b/>
                <w:sz w:val="21"/>
                <w:szCs w:val="21"/>
              </w:rPr>
              <w:t>执行标准</w:t>
            </w:r>
          </w:p>
        </w:tc>
      </w:tr>
      <w:tr w14:paraId="4BF5A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85" w:hRule="atLeast"/>
          <w:jc w:val="center"/>
        </w:trPr>
        <w:tc>
          <w:tcPr>
            <w:tcW w:w="1135" w:type="dxa"/>
            <w:noWrap w:val="0"/>
            <w:vAlign w:val="center"/>
          </w:tcPr>
          <w:p w14:paraId="12EEB3CE">
            <w:pPr>
              <w:widowControl/>
              <w:jc w:val="center"/>
              <w:textAlignment w:val="center"/>
              <w:rPr>
                <w:kern w:val="0"/>
                <w:sz w:val="21"/>
                <w:szCs w:val="21"/>
                <w:lang w:bidi="ar"/>
              </w:rPr>
            </w:pPr>
            <w:r>
              <w:rPr>
                <w:rFonts w:hint="eastAsia"/>
                <w:b/>
                <w:sz w:val="21"/>
                <w:szCs w:val="21"/>
              </w:rPr>
              <w:t>大气环境</w:t>
            </w:r>
          </w:p>
        </w:tc>
        <w:tc>
          <w:tcPr>
            <w:tcW w:w="865" w:type="dxa"/>
            <w:noWrap w:val="0"/>
            <w:vAlign w:val="center"/>
          </w:tcPr>
          <w:p w14:paraId="7312B97C">
            <w:pPr>
              <w:widowControl/>
              <w:jc w:val="center"/>
              <w:textAlignment w:val="center"/>
              <w:rPr>
                <w:rFonts w:hint="eastAsia"/>
                <w:kern w:val="0"/>
                <w:sz w:val="21"/>
                <w:szCs w:val="21"/>
                <w:lang w:bidi="ar"/>
              </w:rPr>
            </w:pPr>
            <w:r>
              <w:rPr>
                <w:rFonts w:hint="eastAsia"/>
                <w:kern w:val="0"/>
                <w:sz w:val="21"/>
                <w:szCs w:val="21"/>
                <w:lang w:bidi="ar"/>
              </w:rPr>
              <w:t>DA001</w:t>
            </w:r>
          </w:p>
        </w:tc>
        <w:tc>
          <w:tcPr>
            <w:tcW w:w="1256" w:type="dxa"/>
            <w:noWrap w:val="0"/>
            <w:vAlign w:val="center"/>
          </w:tcPr>
          <w:p w14:paraId="1102D878">
            <w:pPr>
              <w:jc w:val="center"/>
              <w:rPr>
                <w:rFonts w:hint="eastAsia"/>
                <w:sz w:val="21"/>
                <w:szCs w:val="21"/>
              </w:rPr>
            </w:pPr>
            <w:r>
              <w:rPr>
                <w:rFonts w:hint="eastAsia"/>
                <w:color w:val="000000"/>
                <w:sz w:val="21"/>
                <w:szCs w:val="21"/>
                <w:lang w:val="en-US" w:eastAsia="zh-CN"/>
              </w:rPr>
              <w:t>熔融挤出</w:t>
            </w:r>
            <w:r>
              <w:rPr>
                <w:rFonts w:hint="eastAsia"/>
                <w:color w:val="000000"/>
                <w:sz w:val="21"/>
                <w:szCs w:val="21"/>
              </w:rPr>
              <w:t>过程废气</w:t>
            </w:r>
          </w:p>
        </w:tc>
        <w:tc>
          <w:tcPr>
            <w:tcW w:w="1321" w:type="dxa"/>
            <w:noWrap w:val="0"/>
            <w:vAlign w:val="center"/>
          </w:tcPr>
          <w:p w14:paraId="4714A7AE">
            <w:pPr>
              <w:pStyle w:val="68"/>
              <w:spacing w:beforeLines="0" w:afterLines="0" w:line="240" w:lineRule="auto"/>
              <w:rPr>
                <w:rFonts w:hint="eastAsia" w:ascii="Times New Roman"/>
                <w:sz w:val="21"/>
                <w:szCs w:val="21"/>
              </w:rPr>
            </w:pPr>
            <w:r>
              <w:rPr>
                <w:rFonts w:hint="eastAsia"/>
                <w:color w:val="000000"/>
                <w:sz w:val="21"/>
                <w:szCs w:val="21"/>
              </w:rPr>
              <w:t>非甲烷总烃</w:t>
            </w:r>
          </w:p>
        </w:tc>
        <w:tc>
          <w:tcPr>
            <w:tcW w:w="2877" w:type="dxa"/>
            <w:noWrap w:val="0"/>
            <w:vAlign w:val="center"/>
          </w:tcPr>
          <w:p w14:paraId="760EF346">
            <w:pPr>
              <w:widowControl/>
              <w:jc w:val="center"/>
              <w:textAlignment w:val="center"/>
              <w:rPr>
                <w:kern w:val="0"/>
                <w:sz w:val="21"/>
                <w:szCs w:val="21"/>
                <w:lang w:bidi="ar"/>
              </w:rPr>
            </w:pPr>
            <w:r>
              <w:rPr>
                <w:rFonts w:hint="eastAsia"/>
                <w:color w:val="000000"/>
                <w:sz w:val="21"/>
                <w:szCs w:val="21"/>
                <w:lang w:val="en-US" w:eastAsia="zh-CN"/>
              </w:rPr>
              <w:t>集气罩+</w:t>
            </w:r>
            <w:r>
              <w:rPr>
                <w:rFonts w:hint="eastAsia"/>
                <w:color w:val="000000"/>
                <w:sz w:val="21"/>
                <w:szCs w:val="21"/>
              </w:rPr>
              <w:t>二级活性炭吸附</w:t>
            </w:r>
            <w:r>
              <w:rPr>
                <w:rFonts w:ascii="Times New Roman" w:hAnsi="Times New Roman" w:cs="Times New Roman"/>
                <w:color w:val="000000"/>
                <w:sz w:val="21"/>
                <w:szCs w:val="21"/>
              </w:rPr>
              <w:t>+15m高DA001排气筒排放，风机风量为</w:t>
            </w:r>
            <w:r>
              <w:rPr>
                <w:rFonts w:hint="eastAsia" w:cs="Times New Roman"/>
                <w:color w:val="000000"/>
                <w:sz w:val="21"/>
                <w:szCs w:val="21"/>
                <w:lang w:val="en-US" w:eastAsia="zh-CN"/>
              </w:rPr>
              <w:t>5000</w:t>
            </w: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/h</w:t>
            </w:r>
          </w:p>
        </w:tc>
        <w:tc>
          <w:tcPr>
            <w:tcW w:w="2149" w:type="dxa"/>
            <w:noWrap w:val="0"/>
            <w:vAlign w:val="center"/>
          </w:tcPr>
          <w:p w14:paraId="40DC42B4">
            <w:pPr>
              <w:pStyle w:val="68"/>
              <w:spacing w:beforeLines="0" w:afterLines="0" w:line="240" w:lineRule="auto"/>
              <w:rPr>
                <w:rFonts w:hint="eastAsia" w:ascii="Times New Roman"/>
                <w:sz w:val="21"/>
                <w:szCs w:val="21"/>
              </w:rPr>
            </w:pPr>
            <w:r>
              <w:rPr>
                <w:rFonts w:hint="eastAsia" w:ascii="Times New Roman" w:hAnsi="Times New Roman" w:cs="Times New Roman"/>
                <w:kern w:val="0"/>
                <w:sz w:val="21"/>
                <w:szCs w:val="21"/>
                <w:lang w:val="en-US" w:eastAsia="zh-CN"/>
              </w:rPr>
              <w:t>《固定源挥发性有机物综合排放标准，第6部分：其他行业》（DB34/4812.6-2024）表1中挥发性有机物排放限值</w:t>
            </w:r>
          </w:p>
        </w:tc>
      </w:tr>
      <w:tr w14:paraId="5498A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1" w:hRule="atLeast"/>
          <w:jc w:val="center"/>
        </w:trPr>
        <w:tc>
          <w:tcPr>
            <w:tcW w:w="1135" w:type="dxa"/>
            <w:noWrap w:val="0"/>
            <w:vAlign w:val="center"/>
          </w:tcPr>
          <w:p w14:paraId="30B54B3C">
            <w:pPr>
              <w:adjustRightInd w:val="0"/>
              <w:snapToGrid w:val="0"/>
              <w:jc w:val="center"/>
              <w:rPr>
                <w:b/>
                <w:sz w:val="21"/>
                <w:szCs w:val="21"/>
              </w:rPr>
            </w:pPr>
            <w:r>
              <w:rPr>
                <w:b/>
                <w:sz w:val="21"/>
                <w:szCs w:val="21"/>
              </w:rPr>
              <w:t>地表水环境</w:t>
            </w:r>
          </w:p>
        </w:tc>
        <w:tc>
          <w:tcPr>
            <w:tcW w:w="2121" w:type="dxa"/>
            <w:gridSpan w:val="2"/>
            <w:noWrap w:val="0"/>
            <w:vAlign w:val="center"/>
          </w:tcPr>
          <w:p w14:paraId="047B3F54">
            <w:pPr>
              <w:adjustRightInd w:val="0"/>
              <w:snapToGrid w:val="0"/>
              <w:jc w:val="center"/>
              <w:rPr>
                <w:rFonts w:hint="eastAsia"/>
                <w:sz w:val="21"/>
                <w:szCs w:val="21"/>
              </w:rPr>
            </w:pPr>
            <w:r>
              <w:rPr>
                <w:rFonts w:hint="eastAsia"/>
                <w:sz w:val="21"/>
                <w:szCs w:val="21"/>
              </w:rPr>
              <w:t>生活污水</w:t>
            </w:r>
          </w:p>
        </w:tc>
        <w:tc>
          <w:tcPr>
            <w:tcW w:w="1321" w:type="dxa"/>
            <w:noWrap w:val="0"/>
            <w:vAlign w:val="center"/>
          </w:tcPr>
          <w:p w14:paraId="05B66616">
            <w:pPr>
              <w:adjustRightInd w:val="0"/>
              <w:snapToGrid w:val="0"/>
              <w:jc w:val="center"/>
              <w:rPr>
                <w:rFonts w:hint="default" w:eastAsia="宋体"/>
                <w:sz w:val="21"/>
                <w:szCs w:val="21"/>
                <w:lang w:val="en-US" w:eastAsia="zh-CN"/>
              </w:rPr>
            </w:pPr>
            <w:r>
              <w:rPr>
                <w:sz w:val="21"/>
                <w:szCs w:val="21"/>
              </w:rPr>
              <w:t>pH、COD、BOD</w:t>
            </w:r>
            <w:r>
              <w:rPr>
                <w:rFonts w:hint="eastAsia"/>
                <w:sz w:val="21"/>
                <w:szCs w:val="21"/>
                <w:vertAlign w:val="subscript"/>
              </w:rPr>
              <w:t>5</w:t>
            </w:r>
            <w:r>
              <w:rPr>
                <w:sz w:val="21"/>
                <w:szCs w:val="21"/>
              </w:rPr>
              <w:t>、</w:t>
            </w:r>
            <w:r>
              <w:rPr>
                <w:rFonts w:hint="eastAsia"/>
                <w:sz w:val="21"/>
                <w:szCs w:val="21"/>
                <w:lang w:val="en-US" w:eastAsia="zh-CN"/>
              </w:rPr>
              <w:t>SS</w:t>
            </w:r>
            <w:r>
              <w:rPr>
                <w:rFonts w:hint="eastAsia"/>
                <w:sz w:val="21"/>
                <w:szCs w:val="21"/>
              </w:rPr>
              <w:t>、</w:t>
            </w:r>
            <w:r>
              <w:rPr>
                <w:rFonts w:hint="eastAsia"/>
                <w:sz w:val="21"/>
                <w:szCs w:val="21"/>
                <w:lang w:val="en-US" w:eastAsia="zh-CN"/>
              </w:rPr>
              <w:t>NH</w:t>
            </w:r>
            <w:r>
              <w:rPr>
                <w:rFonts w:hint="eastAsia"/>
                <w:sz w:val="21"/>
                <w:szCs w:val="21"/>
                <w:vertAlign w:val="subscript"/>
                <w:lang w:val="en-US" w:eastAsia="zh-CN"/>
              </w:rPr>
              <w:t>3</w:t>
            </w:r>
            <w:r>
              <w:rPr>
                <w:rFonts w:hint="eastAsia"/>
                <w:sz w:val="21"/>
                <w:szCs w:val="21"/>
                <w:lang w:val="en-US" w:eastAsia="zh-CN"/>
              </w:rPr>
              <w:t>-N</w:t>
            </w:r>
          </w:p>
        </w:tc>
        <w:tc>
          <w:tcPr>
            <w:tcW w:w="2877" w:type="dxa"/>
            <w:noWrap w:val="0"/>
            <w:vAlign w:val="center"/>
          </w:tcPr>
          <w:p w14:paraId="40EAFB4D">
            <w:pPr>
              <w:adjustRightInd w:val="0"/>
              <w:snapToGrid w:val="0"/>
              <w:jc w:val="center"/>
              <w:rPr>
                <w:rFonts w:hint="eastAsia"/>
                <w:sz w:val="21"/>
                <w:szCs w:val="21"/>
              </w:rPr>
            </w:pPr>
            <w:r>
              <w:rPr>
                <w:rFonts w:hint="eastAsia"/>
                <w:color w:val="000000"/>
                <w:sz w:val="21"/>
                <w:szCs w:val="21"/>
                <w:lang w:val="en-US" w:eastAsia="zh-CN"/>
              </w:rPr>
              <w:t>依托</w:t>
            </w:r>
            <w:r>
              <w:rPr>
                <w:color w:val="000000"/>
                <w:sz w:val="21"/>
                <w:szCs w:val="21"/>
              </w:rPr>
              <w:t>化粪池</w:t>
            </w:r>
            <w:r>
              <w:rPr>
                <w:rFonts w:hint="default" w:ascii="Times New Roman" w:hAnsi="Times New Roman" w:eastAsia="宋体" w:cs="Times New Roman"/>
                <w:color w:val="auto"/>
                <w:kern w:val="0"/>
                <w:sz w:val="21"/>
                <w:szCs w:val="21"/>
              </w:rPr>
              <w:t>预处理后</w:t>
            </w:r>
            <w:r>
              <w:rPr>
                <w:rFonts w:hint="default" w:ascii="Times New Roman" w:hAnsi="Times New Roman" w:eastAsia="宋体" w:cs="Times New Roman"/>
                <w:color w:val="auto"/>
                <w:kern w:val="0"/>
                <w:sz w:val="21"/>
                <w:szCs w:val="21"/>
                <w:lang w:val="en-US" w:eastAsia="zh-CN"/>
              </w:rPr>
              <w:t>委托环卫部门清运处置。</w:t>
            </w:r>
          </w:p>
        </w:tc>
        <w:tc>
          <w:tcPr>
            <w:tcW w:w="2149" w:type="dxa"/>
            <w:noWrap w:val="0"/>
            <w:vAlign w:val="center"/>
          </w:tcPr>
          <w:p w14:paraId="59D53A3D">
            <w:pPr>
              <w:adjustRightInd w:val="0"/>
              <w:snapToGrid w:val="0"/>
              <w:jc w:val="center"/>
              <w:rPr>
                <w:rFonts w:hint="default" w:eastAsia="宋体"/>
                <w:sz w:val="21"/>
                <w:szCs w:val="21"/>
                <w:lang w:val="en-US" w:eastAsia="zh-CN"/>
              </w:rPr>
            </w:pPr>
            <w:r>
              <w:rPr>
                <w:rFonts w:hint="eastAsia"/>
                <w:sz w:val="21"/>
                <w:szCs w:val="21"/>
                <w:lang w:val="en-US" w:eastAsia="zh-CN"/>
              </w:rPr>
              <w:t>不外排，不执行相关标准</w:t>
            </w:r>
          </w:p>
        </w:tc>
      </w:tr>
      <w:tr w14:paraId="18A79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5" w:type="dxa"/>
            <w:noWrap w:val="0"/>
            <w:vAlign w:val="center"/>
          </w:tcPr>
          <w:p w14:paraId="5E579074">
            <w:pPr>
              <w:adjustRightInd w:val="0"/>
              <w:snapToGrid w:val="0"/>
              <w:jc w:val="center"/>
              <w:rPr>
                <w:b/>
                <w:sz w:val="21"/>
                <w:szCs w:val="21"/>
              </w:rPr>
            </w:pPr>
            <w:r>
              <w:rPr>
                <w:b/>
                <w:sz w:val="21"/>
                <w:szCs w:val="21"/>
              </w:rPr>
              <w:t>声环境</w:t>
            </w:r>
          </w:p>
        </w:tc>
        <w:tc>
          <w:tcPr>
            <w:tcW w:w="2121" w:type="dxa"/>
            <w:gridSpan w:val="2"/>
            <w:noWrap w:val="0"/>
            <w:vAlign w:val="center"/>
          </w:tcPr>
          <w:p w14:paraId="04665DFC">
            <w:pPr>
              <w:adjustRightInd w:val="0"/>
              <w:snapToGrid w:val="0"/>
              <w:jc w:val="center"/>
              <w:rPr>
                <w:sz w:val="21"/>
                <w:szCs w:val="21"/>
              </w:rPr>
            </w:pPr>
            <w:r>
              <w:rPr>
                <w:sz w:val="21"/>
                <w:szCs w:val="21"/>
              </w:rPr>
              <w:t>设备运行噪声</w:t>
            </w:r>
          </w:p>
        </w:tc>
        <w:tc>
          <w:tcPr>
            <w:tcW w:w="1321" w:type="dxa"/>
            <w:noWrap w:val="0"/>
            <w:vAlign w:val="center"/>
          </w:tcPr>
          <w:p w14:paraId="33AF3A52">
            <w:pPr>
              <w:adjustRightInd w:val="0"/>
              <w:snapToGrid w:val="0"/>
              <w:jc w:val="center"/>
              <w:rPr>
                <w:sz w:val="21"/>
                <w:szCs w:val="21"/>
              </w:rPr>
            </w:pPr>
            <w:r>
              <w:rPr>
                <w:sz w:val="21"/>
                <w:szCs w:val="21"/>
              </w:rPr>
              <w:t>噪声</w:t>
            </w:r>
          </w:p>
        </w:tc>
        <w:tc>
          <w:tcPr>
            <w:tcW w:w="2877" w:type="dxa"/>
            <w:noWrap w:val="0"/>
            <w:vAlign w:val="center"/>
          </w:tcPr>
          <w:p w14:paraId="2BD69540">
            <w:pPr>
              <w:adjustRightInd w:val="0"/>
              <w:snapToGrid w:val="0"/>
              <w:jc w:val="center"/>
              <w:rPr>
                <w:sz w:val="21"/>
                <w:szCs w:val="21"/>
              </w:rPr>
            </w:pPr>
            <w:r>
              <w:rPr>
                <w:kern w:val="0"/>
                <w:sz w:val="21"/>
                <w:szCs w:val="21"/>
              </w:rPr>
              <w:t>选用低噪声设备，设减振垫及减振基础，加装消声措施等</w:t>
            </w:r>
          </w:p>
        </w:tc>
        <w:tc>
          <w:tcPr>
            <w:tcW w:w="2149" w:type="dxa"/>
            <w:noWrap w:val="0"/>
            <w:vAlign w:val="center"/>
          </w:tcPr>
          <w:p w14:paraId="124777D6">
            <w:pPr>
              <w:adjustRightInd w:val="0"/>
              <w:snapToGrid w:val="0"/>
              <w:jc w:val="center"/>
              <w:rPr>
                <w:sz w:val="21"/>
                <w:szCs w:val="21"/>
              </w:rPr>
            </w:pPr>
            <w:r>
              <w:rPr>
                <w:kern w:val="0"/>
                <w:sz w:val="21"/>
                <w:szCs w:val="21"/>
              </w:rPr>
              <w:t>厂界噪声排放执行《工业企业厂界环境噪声排放标准》（GB</w:t>
            </w:r>
            <w:r>
              <w:rPr>
                <w:rFonts w:hint="eastAsia"/>
                <w:kern w:val="0"/>
                <w:sz w:val="21"/>
                <w:szCs w:val="21"/>
                <w:lang w:val="en-US" w:eastAsia="zh-CN"/>
              </w:rPr>
              <w:t>12348</w:t>
            </w:r>
            <w:r>
              <w:rPr>
                <w:kern w:val="0"/>
                <w:sz w:val="21"/>
                <w:szCs w:val="21"/>
              </w:rPr>
              <w:t>-2008）</w:t>
            </w:r>
            <w:r>
              <w:rPr>
                <w:rFonts w:hint="eastAsia"/>
                <w:kern w:val="0"/>
                <w:sz w:val="21"/>
                <w:szCs w:val="21"/>
              </w:rPr>
              <w:t>2</w:t>
            </w:r>
            <w:r>
              <w:rPr>
                <w:kern w:val="0"/>
                <w:sz w:val="21"/>
                <w:szCs w:val="21"/>
              </w:rPr>
              <w:t>类</w:t>
            </w:r>
            <w:r>
              <w:rPr>
                <w:rFonts w:hint="eastAsia"/>
                <w:kern w:val="0"/>
                <w:sz w:val="21"/>
                <w:szCs w:val="21"/>
                <w:lang w:val="en-US" w:eastAsia="zh-CN"/>
              </w:rPr>
              <w:t>标准</w:t>
            </w:r>
          </w:p>
        </w:tc>
      </w:tr>
      <w:tr w14:paraId="24645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35" w:type="dxa"/>
            <w:noWrap w:val="0"/>
            <w:vAlign w:val="center"/>
          </w:tcPr>
          <w:p w14:paraId="432A314B">
            <w:pPr>
              <w:adjustRightInd w:val="0"/>
              <w:snapToGrid w:val="0"/>
              <w:jc w:val="center"/>
              <w:rPr>
                <w:b/>
                <w:sz w:val="21"/>
                <w:szCs w:val="21"/>
              </w:rPr>
            </w:pPr>
            <w:r>
              <w:rPr>
                <w:b/>
                <w:sz w:val="21"/>
                <w:szCs w:val="21"/>
              </w:rPr>
              <w:t>电磁辐射</w:t>
            </w:r>
          </w:p>
        </w:tc>
        <w:tc>
          <w:tcPr>
            <w:tcW w:w="2121" w:type="dxa"/>
            <w:gridSpan w:val="2"/>
            <w:noWrap w:val="0"/>
            <w:vAlign w:val="center"/>
          </w:tcPr>
          <w:p w14:paraId="016E9730">
            <w:pPr>
              <w:adjustRightInd w:val="0"/>
              <w:snapToGrid w:val="0"/>
              <w:jc w:val="center"/>
              <w:rPr>
                <w:sz w:val="21"/>
                <w:szCs w:val="21"/>
              </w:rPr>
            </w:pPr>
            <w:r>
              <w:rPr>
                <w:sz w:val="21"/>
                <w:szCs w:val="21"/>
              </w:rPr>
              <w:t>无</w:t>
            </w:r>
          </w:p>
        </w:tc>
        <w:tc>
          <w:tcPr>
            <w:tcW w:w="1321" w:type="dxa"/>
            <w:noWrap w:val="0"/>
            <w:vAlign w:val="center"/>
          </w:tcPr>
          <w:p w14:paraId="6EFF874F">
            <w:pPr>
              <w:adjustRightInd w:val="0"/>
              <w:snapToGrid w:val="0"/>
              <w:jc w:val="center"/>
              <w:rPr>
                <w:sz w:val="21"/>
                <w:szCs w:val="21"/>
              </w:rPr>
            </w:pPr>
            <w:r>
              <w:rPr>
                <w:sz w:val="21"/>
                <w:szCs w:val="21"/>
              </w:rPr>
              <w:t>/</w:t>
            </w:r>
          </w:p>
        </w:tc>
        <w:tc>
          <w:tcPr>
            <w:tcW w:w="2877" w:type="dxa"/>
            <w:noWrap w:val="0"/>
            <w:vAlign w:val="center"/>
          </w:tcPr>
          <w:p w14:paraId="54D1D056">
            <w:pPr>
              <w:adjustRightInd w:val="0"/>
              <w:snapToGrid w:val="0"/>
              <w:jc w:val="center"/>
              <w:rPr>
                <w:sz w:val="21"/>
                <w:szCs w:val="21"/>
              </w:rPr>
            </w:pPr>
            <w:r>
              <w:rPr>
                <w:sz w:val="21"/>
                <w:szCs w:val="21"/>
              </w:rPr>
              <w:t>/</w:t>
            </w:r>
          </w:p>
        </w:tc>
        <w:tc>
          <w:tcPr>
            <w:tcW w:w="2149" w:type="dxa"/>
            <w:noWrap w:val="0"/>
            <w:vAlign w:val="center"/>
          </w:tcPr>
          <w:p w14:paraId="62877E13">
            <w:pPr>
              <w:adjustRightInd w:val="0"/>
              <w:snapToGrid w:val="0"/>
              <w:jc w:val="center"/>
              <w:rPr>
                <w:sz w:val="21"/>
                <w:szCs w:val="21"/>
              </w:rPr>
            </w:pPr>
            <w:r>
              <w:rPr>
                <w:sz w:val="21"/>
                <w:szCs w:val="21"/>
              </w:rPr>
              <w:t>/</w:t>
            </w:r>
          </w:p>
        </w:tc>
      </w:tr>
      <w:tr w14:paraId="1137A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1135" w:type="dxa"/>
            <w:noWrap w:val="0"/>
            <w:vAlign w:val="center"/>
          </w:tcPr>
          <w:p w14:paraId="59DD6EBC">
            <w:pPr>
              <w:adjustRightInd w:val="0"/>
              <w:snapToGrid w:val="0"/>
              <w:jc w:val="center"/>
              <w:rPr>
                <w:b/>
                <w:sz w:val="21"/>
                <w:szCs w:val="21"/>
              </w:rPr>
            </w:pPr>
            <w:r>
              <w:rPr>
                <w:b/>
                <w:sz w:val="21"/>
                <w:szCs w:val="21"/>
              </w:rPr>
              <w:t>固体废物</w:t>
            </w:r>
          </w:p>
        </w:tc>
        <w:tc>
          <w:tcPr>
            <w:tcW w:w="8468" w:type="dxa"/>
            <w:gridSpan w:val="5"/>
            <w:noWrap w:val="0"/>
            <w:vAlign w:val="center"/>
          </w:tcPr>
          <w:p w14:paraId="7C86232F">
            <w:pPr>
              <w:jc w:val="center"/>
              <w:rPr>
                <w:sz w:val="21"/>
                <w:szCs w:val="21"/>
              </w:rPr>
            </w:pPr>
            <w:r>
              <w:rPr>
                <w:color w:val="000000"/>
                <w:kern w:val="2"/>
                <w:sz w:val="21"/>
                <w:szCs w:val="21"/>
              </w:rPr>
              <w:t>项目产生生活垃圾收集后交由环卫部门处理；</w:t>
            </w:r>
            <w:r>
              <w:rPr>
                <w:rFonts w:hint="eastAsia"/>
                <w:color w:val="000000"/>
                <w:sz w:val="21"/>
                <w:szCs w:val="21"/>
              </w:rPr>
              <w:t>废包装材料</w:t>
            </w:r>
            <w:r>
              <w:rPr>
                <w:rFonts w:hint="eastAsia"/>
                <w:color w:val="000000"/>
                <w:sz w:val="21"/>
                <w:szCs w:val="21"/>
                <w:lang w:eastAsia="zh-CN"/>
              </w:rPr>
              <w:t>、</w:t>
            </w:r>
            <w:r>
              <w:rPr>
                <w:rFonts w:hint="eastAsia"/>
                <w:color w:val="000000"/>
                <w:sz w:val="21"/>
                <w:szCs w:val="21"/>
                <w:lang w:val="en-US" w:eastAsia="zh-CN"/>
              </w:rPr>
              <w:t>熔融残渣、边角料、不合格品</w:t>
            </w:r>
            <w:r>
              <w:rPr>
                <w:color w:val="000000"/>
                <w:kern w:val="2"/>
                <w:sz w:val="21"/>
                <w:szCs w:val="21"/>
              </w:rPr>
              <w:t>集中收集后外售</w:t>
            </w:r>
            <w:r>
              <w:rPr>
                <w:rFonts w:hint="eastAsia"/>
                <w:color w:val="000000"/>
                <w:kern w:val="2"/>
                <w:sz w:val="21"/>
                <w:szCs w:val="21"/>
              </w:rPr>
              <w:t>给物资回收公司</w:t>
            </w:r>
            <w:r>
              <w:rPr>
                <w:color w:val="000000"/>
                <w:kern w:val="2"/>
                <w:sz w:val="21"/>
                <w:szCs w:val="21"/>
              </w:rPr>
              <w:t>。项目废活性炭</w:t>
            </w:r>
            <w:r>
              <w:rPr>
                <w:rFonts w:hint="eastAsia"/>
                <w:color w:val="000000"/>
                <w:kern w:val="2"/>
                <w:sz w:val="21"/>
                <w:szCs w:val="21"/>
              </w:rPr>
              <w:t>、废</w:t>
            </w:r>
            <w:r>
              <w:rPr>
                <w:rFonts w:hint="eastAsia"/>
                <w:color w:val="000000"/>
                <w:kern w:val="2"/>
                <w:sz w:val="21"/>
                <w:szCs w:val="21"/>
                <w:lang w:val="en-US" w:eastAsia="zh-CN"/>
              </w:rPr>
              <w:t>机油</w:t>
            </w:r>
            <w:r>
              <w:rPr>
                <w:rFonts w:hint="eastAsia"/>
                <w:color w:val="000000"/>
                <w:kern w:val="2"/>
                <w:sz w:val="21"/>
                <w:szCs w:val="21"/>
              </w:rPr>
              <w:t>，</w:t>
            </w:r>
            <w:r>
              <w:rPr>
                <w:color w:val="000000"/>
                <w:kern w:val="2"/>
                <w:sz w:val="21"/>
                <w:szCs w:val="21"/>
              </w:rPr>
              <w:t>危废暂存厂区危废间，之后交由资质单位处置</w:t>
            </w:r>
          </w:p>
        </w:tc>
      </w:tr>
      <w:tr w14:paraId="02C3D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135" w:type="dxa"/>
            <w:noWrap w:val="0"/>
            <w:vAlign w:val="center"/>
          </w:tcPr>
          <w:p w14:paraId="00059D07">
            <w:pPr>
              <w:adjustRightInd w:val="0"/>
              <w:snapToGrid w:val="0"/>
              <w:jc w:val="center"/>
              <w:rPr>
                <w:b/>
                <w:sz w:val="21"/>
                <w:szCs w:val="21"/>
              </w:rPr>
            </w:pPr>
            <w:r>
              <w:rPr>
                <w:b/>
                <w:sz w:val="21"/>
                <w:szCs w:val="21"/>
              </w:rPr>
              <w:t>地下水及土壤污染防治措施</w:t>
            </w:r>
          </w:p>
        </w:tc>
        <w:tc>
          <w:tcPr>
            <w:tcW w:w="8468" w:type="dxa"/>
            <w:gridSpan w:val="5"/>
            <w:noWrap w:val="0"/>
            <w:vAlign w:val="center"/>
          </w:tcPr>
          <w:p w14:paraId="3ED9EE3A">
            <w:pPr>
              <w:adjustRightInd w:val="0"/>
              <w:snapToGrid w:val="0"/>
              <w:jc w:val="center"/>
              <w:rPr>
                <w:sz w:val="21"/>
                <w:szCs w:val="21"/>
              </w:rPr>
            </w:pPr>
            <w:r>
              <w:rPr>
                <w:rStyle w:val="40"/>
                <w:rFonts w:hint="eastAsia"/>
                <w:color w:val="000000"/>
                <w:kern w:val="0"/>
                <w:sz w:val="21"/>
                <w:szCs w:val="21"/>
              </w:rPr>
              <w:t>厂区内采取分区防渗的措施，</w:t>
            </w:r>
            <w:r>
              <w:rPr>
                <w:color w:val="000000"/>
                <w:sz w:val="21"/>
                <w:szCs w:val="21"/>
              </w:rPr>
              <w:t>重点</w:t>
            </w:r>
            <w:r>
              <w:rPr>
                <w:rFonts w:hint="eastAsia"/>
                <w:color w:val="000000"/>
                <w:sz w:val="21"/>
                <w:szCs w:val="21"/>
                <w:lang w:val="en-US" w:eastAsia="zh-CN"/>
              </w:rPr>
              <w:t>防渗</w:t>
            </w:r>
            <w:r>
              <w:rPr>
                <w:color w:val="000000"/>
                <w:sz w:val="21"/>
                <w:szCs w:val="21"/>
              </w:rPr>
              <w:t>区，主要包括危废间</w:t>
            </w:r>
            <w:r>
              <w:rPr>
                <w:rFonts w:hint="eastAsia"/>
                <w:color w:val="000000"/>
                <w:sz w:val="21"/>
                <w:szCs w:val="21"/>
              </w:rPr>
              <w:t>、化粪池</w:t>
            </w:r>
            <w:r>
              <w:rPr>
                <w:color w:val="000000"/>
                <w:sz w:val="21"/>
                <w:szCs w:val="21"/>
              </w:rPr>
              <w:t>等，其效黏土防渗层Mb≥6.0m，K≤1×10</w:t>
            </w:r>
            <w:r>
              <w:rPr>
                <w:color w:val="000000"/>
                <w:sz w:val="21"/>
                <w:szCs w:val="21"/>
                <w:vertAlign w:val="superscript"/>
              </w:rPr>
              <w:t>-</w:t>
            </w:r>
            <w:r>
              <w:rPr>
                <w:rFonts w:hint="eastAsia"/>
                <w:color w:val="000000"/>
                <w:sz w:val="21"/>
                <w:szCs w:val="21"/>
                <w:vertAlign w:val="superscript"/>
                <w:lang w:val="en-US" w:eastAsia="zh-CN"/>
              </w:rPr>
              <w:t>10</w:t>
            </w:r>
            <w:r>
              <w:rPr>
                <w:color w:val="000000"/>
                <w:sz w:val="21"/>
                <w:szCs w:val="21"/>
              </w:rPr>
              <w:t>cm/s；一般防渗区，主要包括</w:t>
            </w:r>
            <w:r>
              <w:rPr>
                <w:rFonts w:hint="eastAsia"/>
                <w:color w:val="000000"/>
                <w:sz w:val="21"/>
                <w:szCs w:val="21"/>
                <w:lang w:val="en-US" w:eastAsia="zh-CN"/>
              </w:rPr>
              <w:t>熔融、织网</w:t>
            </w:r>
            <w:r>
              <w:rPr>
                <w:rFonts w:hint="eastAsia"/>
                <w:color w:val="000000"/>
                <w:sz w:val="21"/>
                <w:szCs w:val="21"/>
              </w:rPr>
              <w:t>区域</w:t>
            </w:r>
            <w:r>
              <w:rPr>
                <w:color w:val="000000"/>
                <w:sz w:val="21"/>
                <w:szCs w:val="21"/>
              </w:rPr>
              <w:t>等，其等效黏土防渗层Mb≥1.5m，K≤1×10</w:t>
            </w:r>
            <w:r>
              <w:rPr>
                <w:color w:val="000000"/>
                <w:sz w:val="21"/>
                <w:szCs w:val="21"/>
                <w:vertAlign w:val="superscript"/>
              </w:rPr>
              <w:t>-7</w:t>
            </w:r>
            <w:r>
              <w:rPr>
                <w:color w:val="000000"/>
                <w:sz w:val="21"/>
                <w:szCs w:val="21"/>
              </w:rPr>
              <w:t>cm/s；简单防渗区，主要包括</w:t>
            </w:r>
            <w:r>
              <w:rPr>
                <w:rFonts w:hint="eastAsia"/>
                <w:color w:val="000000"/>
                <w:sz w:val="21"/>
                <w:szCs w:val="21"/>
                <w:lang w:val="en-US" w:eastAsia="zh-CN"/>
              </w:rPr>
              <w:t>厂区道路</w:t>
            </w:r>
            <w:r>
              <w:rPr>
                <w:color w:val="000000"/>
                <w:sz w:val="21"/>
                <w:szCs w:val="21"/>
                <w:lang w:val="zh-CN"/>
              </w:rPr>
              <w:t>等，采取一般地面硬化的措施</w:t>
            </w:r>
          </w:p>
        </w:tc>
      </w:tr>
      <w:tr w14:paraId="3D3CB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135" w:type="dxa"/>
            <w:noWrap w:val="0"/>
            <w:vAlign w:val="center"/>
          </w:tcPr>
          <w:p w14:paraId="49359F2F">
            <w:pPr>
              <w:adjustRightInd w:val="0"/>
              <w:snapToGrid w:val="0"/>
              <w:jc w:val="center"/>
              <w:rPr>
                <w:b/>
                <w:sz w:val="21"/>
                <w:szCs w:val="21"/>
              </w:rPr>
            </w:pPr>
            <w:r>
              <w:rPr>
                <w:b/>
                <w:sz w:val="21"/>
                <w:szCs w:val="21"/>
              </w:rPr>
              <w:t>生态保护措施</w:t>
            </w:r>
          </w:p>
        </w:tc>
        <w:tc>
          <w:tcPr>
            <w:tcW w:w="8468" w:type="dxa"/>
            <w:gridSpan w:val="5"/>
            <w:noWrap w:val="0"/>
            <w:vAlign w:val="center"/>
          </w:tcPr>
          <w:p w14:paraId="24BF7D1D">
            <w:pPr>
              <w:adjustRightInd w:val="0"/>
              <w:snapToGrid w:val="0"/>
              <w:jc w:val="center"/>
              <w:rPr>
                <w:sz w:val="21"/>
                <w:szCs w:val="21"/>
              </w:rPr>
            </w:pPr>
            <w:r>
              <w:rPr>
                <w:sz w:val="21"/>
                <w:szCs w:val="21"/>
              </w:rPr>
              <w:t>无</w:t>
            </w:r>
          </w:p>
        </w:tc>
      </w:tr>
      <w:tr w14:paraId="35786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135" w:type="dxa"/>
            <w:noWrap w:val="0"/>
            <w:vAlign w:val="center"/>
          </w:tcPr>
          <w:p w14:paraId="2C8FB69C">
            <w:pPr>
              <w:adjustRightInd w:val="0"/>
              <w:snapToGrid w:val="0"/>
              <w:jc w:val="center"/>
              <w:rPr>
                <w:b/>
                <w:spacing w:val="-8"/>
                <w:sz w:val="21"/>
                <w:szCs w:val="21"/>
              </w:rPr>
            </w:pPr>
            <w:r>
              <w:rPr>
                <w:b/>
                <w:spacing w:val="-8"/>
                <w:sz w:val="21"/>
                <w:szCs w:val="21"/>
              </w:rPr>
              <w:t>环境风险防范措施</w:t>
            </w:r>
          </w:p>
        </w:tc>
        <w:tc>
          <w:tcPr>
            <w:tcW w:w="8468" w:type="dxa"/>
            <w:gridSpan w:val="5"/>
            <w:noWrap w:val="0"/>
            <w:vAlign w:val="center"/>
          </w:tcPr>
          <w:p w14:paraId="3E098085">
            <w:pPr>
              <w:adjustRightInd w:val="0"/>
              <w:snapToGrid w:val="0"/>
              <w:jc w:val="center"/>
              <w:rPr>
                <w:rFonts w:hint="eastAsia"/>
                <w:sz w:val="21"/>
                <w:szCs w:val="21"/>
              </w:rPr>
            </w:pPr>
            <w:r>
              <w:rPr>
                <w:rFonts w:hint="eastAsia"/>
                <w:sz w:val="21"/>
                <w:szCs w:val="21"/>
              </w:rPr>
              <w:t>废气治理设施故障防范措施；</w:t>
            </w:r>
            <w:r>
              <w:rPr>
                <w:rFonts w:hint="eastAsia"/>
                <w:sz w:val="21"/>
                <w:szCs w:val="21"/>
                <w:lang w:val="en-US" w:eastAsia="zh-CN"/>
              </w:rPr>
              <w:t>厂区火灾</w:t>
            </w:r>
            <w:r>
              <w:rPr>
                <w:rFonts w:hint="eastAsia"/>
                <w:sz w:val="21"/>
                <w:szCs w:val="21"/>
              </w:rPr>
              <w:t>的风险防范措施；危废暂存间的风险防范措施；</w:t>
            </w:r>
          </w:p>
        </w:tc>
      </w:tr>
      <w:tr w14:paraId="1F2E9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2" w:hRule="atLeast"/>
          <w:jc w:val="center"/>
        </w:trPr>
        <w:tc>
          <w:tcPr>
            <w:tcW w:w="1135" w:type="dxa"/>
            <w:noWrap w:val="0"/>
            <w:vAlign w:val="center"/>
          </w:tcPr>
          <w:p w14:paraId="50B88AA8">
            <w:pPr>
              <w:adjustRightInd w:val="0"/>
              <w:snapToGrid w:val="0"/>
              <w:jc w:val="center"/>
              <w:rPr>
                <w:b/>
                <w:spacing w:val="-8"/>
                <w:sz w:val="21"/>
                <w:szCs w:val="21"/>
              </w:rPr>
            </w:pPr>
            <w:r>
              <w:rPr>
                <w:b/>
                <w:spacing w:val="-8"/>
                <w:sz w:val="21"/>
                <w:szCs w:val="21"/>
              </w:rPr>
              <w:t>其他环境</w:t>
            </w:r>
          </w:p>
          <w:p w14:paraId="3655C125">
            <w:pPr>
              <w:adjustRightInd w:val="0"/>
              <w:snapToGrid w:val="0"/>
              <w:jc w:val="center"/>
              <w:rPr>
                <w:b/>
                <w:spacing w:val="-8"/>
                <w:sz w:val="21"/>
                <w:szCs w:val="21"/>
              </w:rPr>
            </w:pPr>
            <w:r>
              <w:rPr>
                <w:b/>
                <w:spacing w:val="-8"/>
                <w:sz w:val="21"/>
                <w:szCs w:val="21"/>
              </w:rPr>
              <w:t>管理要求</w:t>
            </w:r>
          </w:p>
        </w:tc>
        <w:tc>
          <w:tcPr>
            <w:tcW w:w="8468" w:type="dxa"/>
            <w:gridSpan w:val="5"/>
            <w:noWrap w:val="0"/>
            <w:vAlign w:val="center"/>
          </w:tcPr>
          <w:p w14:paraId="0C442EA7">
            <w:pPr>
              <w:pStyle w:val="8"/>
              <w:ind w:left="105" w:leftChars="50" w:right="105" w:rightChars="50"/>
              <w:rPr>
                <w:sz w:val="21"/>
                <w:szCs w:val="21"/>
              </w:rPr>
            </w:pPr>
            <w:r>
              <w:rPr>
                <w:sz w:val="21"/>
                <w:szCs w:val="21"/>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14:paraId="3B847CB6">
            <w:pPr>
              <w:pStyle w:val="8"/>
              <w:ind w:left="105" w:leftChars="50" w:right="105" w:rightChars="50"/>
              <w:rPr>
                <w:sz w:val="21"/>
                <w:szCs w:val="21"/>
              </w:rPr>
            </w:pPr>
            <w:r>
              <w:rPr>
                <w:sz w:val="21"/>
                <w:szCs w:val="21"/>
              </w:rPr>
              <w:t>因此，本建设单位设立环境管理机构，负责项目运营期的环境管理工作，其主要的职责与功能如下：</w:t>
            </w:r>
          </w:p>
          <w:p w14:paraId="0B2FBEE1">
            <w:pPr>
              <w:pStyle w:val="8"/>
              <w:numPr>
                <w:ilvl w:val="0"/>
                <w:numId w:val="22"/>
              </w:numPr>
              <w:ind w:left="105" w:leftChars="50" w:right="105" w:rightChars="50"/>
              <w:rPr>
                <w:rFonts w:hint="eastAsia"/>
                <w:sz w:val="21"/>
                <w:szCs w:val="21"/>
              </w:rPr>
            </w:pPr>
            <w:r>
              <w:rPr>
                <w:sz w:val="21"/>
                <w:szCs w:val="21"/>
              </w:rPr>
              <w:t>应尽快按照</w:t>
            </w:r>
            <w:r>
              <w:rPr>
                <w:rFonts w:hint="eastAsia" w:cs="宋体"/>
                <w:sz w:val="21"/>
                <w:szCs w:val="21"/>
              </w:rPr>
              <w:t>《排污许可证申请与核发技术规范 橡胶和塑料制品工业》（HJ1122-2020）</w:t>
            </w:r>
            <w:r>
              <w:rPr>
                <w:rFonts w:hint="eastAsia"/>
                <w:sz w:val="21"/>
                <w:szCs w:val="21"/>
              </w:rPr>
              <w:t>申请</w:t>
            </w:r>
            <w:r>
              <w:rPr>
                <w:sz w:val="21"/>
                <w:szCs w:val="21"/>
              </w:rPr>
              <w:t>排污许可</w:t>
            </w:r>
            <w:r>
              <w:rPr>
                <w:rFonts w:hint="eastAsia"/>
                <w:sz w:val="21"/>
                <w:szCs w:val="21"/>
              </w:rPr>
              <w:t>证</w:t>
            </w:r>
            <w:r>
              <w:rPr>
                <w:sz w:val="21"/>
                <w:szCs w:val="21"/>
              </w:rPr>
              <w:t>，取得排污许</w:t>
            </w:r>
            <w:r>
              <w:rPr>
                <w:rFonts w:hint="eastAsia"/>
                <w:sz w:val="21"/>
                <w:szCs w:val="21"/>
              </w:rPr>
              <w:t>证</w:t>
            </w:r>
            <w:r>
              <w:rPr>
                <w:sz w:val="21"/>
                <w:szCs w:val="21"/>
              </w:rPr>
              <w:t>后方可正式排污。</w:t>
            </w:r>
          </w:p>
          <w:p w14:paraId="594CE760">
            <w:pPr>
              <w:pStyle w:val="8"/>
              <w:ind w:left="105" w:leftChars="50" w:right="105" w:rightChars="50"/>
              <w:rPr>
                <w:sz w:val="21"/>
                <w:szCs w:val="21"/>
              </w:rPr>
            </w:pPr>
            <w:r>
              <w:rPr>
                <w:sz w:val="21"/>
                <w:szCs w:val="21"/>
              </w:rPr>
              <w:t>（2）项目环保竣工验收：建设单位应根据环保竣工验收相关要求，自主开展相关工作。建设项目配套建设的环境保护设施经验收合格，方可投入生产或者使用，未经验收或者验收不合格的，不得投入生产或者使用。</w:t>
            </w:r>
          </w:p>
          <w:p w14:paraId="0702338F">
            <w:pPr>
              <w:pStyle w:val="8"/>
              <w:ind w:left="105" w:leftChars="50" w:right="105" w:rightChars="50"/>
              <w:rPr>
                <w:sz w:val="21"/>
                <w:szCs w:val="21"/>
              </w:rPr>
            </w:pPr>
            <w:r>
              <w:rPr>
                <w:sz w:val="21"/>
                <w:szCs w:val="21"/>
              </w:rPr>
              <w:t>（3）在运营期，项目环境管理部门负责检查厂区二级活性炭吸附装置</w:t>
            </w:r>
            <w:r>
              <w:rPr>
                <w:rFonts w:hint="eastAsia"/>
                <w:sz w:val="21"/>
                <w:szCs w:val="21"/>
              </w:rPr>
              <w:t>等环保设施</w:t>
            </w:r>
            <w:r>
              <w:rPr>
                <w:sz w:val="21"/>
                <w:szCs w:val="21"/>
              </w:rPr>
              <w:t>的运行情况，确保其有效运行，如有故障应及时维修或更换。</w:t>
            </w:r>
          </w:p>
          <w:p w14:paraId="74F892D2">
            <w:pPr>
              <w:pStyle w:val="8"/>
              <w:ind w:left="105" w:leftChars="50" w:right="105" w:rightChars="50"/>
              <w:rPr>
                <w:sz w:val="21"/>
                <w:szCs w:val="21"/>
              </w:rPr>
            </w:pPr>
            <w:r>
              <w:rPr>
                <w:sz w:val="21"/>
                <w:szCs w:val="21"/>
              </w:rPr>
              <w:t>（4）加强项目原辅生产材料、固废和危废的管理工作，特别是</w:t>
            </w:r>
            <w:r>
              <w:rPr>
                <w:rFonts w:hint="eastAsia"/>
                <w:sz w:val="21"/>
                <w:szCs w:val="21"/>
              </w:rPr>
              <w:t>危废暂存间</w:t>
            </w:r>
            <w:r>
              <w:rPr>
                <w:sz w:val="21"/>
                <w:szCs w:val="21"/>
              </w:rPr>
              <w:t>等场所的防渗处理。</w:t>
            </w:r>
          </w:p>
        </w:tc>
      </w:tr>
    </w:tbl>
    <w:p w14:paraId="5398D43A">
      <w:pPr>
        <w:pStyle w:val="31"/>
        <w:spacing w:before="0" w:beforeAutospacing="0" w:after="0" w:afterAutospacing="0" w:line="276" w:lineRule="auto"/>
        <w:jc w:val="center"/>
        <w:outlineLvl w:val="0"/>
        <w:rPr>
          <w:rFonts w:ascii="Times New Roman" w:hAnsi="Times New Roman"/>
          <w:snapToGrid w:val="0"/>
          <w:sz w:val="30"/>
          <w:szCs w:val="30"/>
        </w:rPr>
      </w:pPr>
      <w:r>
        <w:rPr>
          <w:rFonts w:ascii="Times New Roman" w:hAnsi="Times New Roman"/>
          <w:snapToGrid w:val="0"/>
        </w:rPr>
        <w:br w:type="page"/>
      </w:r>
      <w:r>
        <w:rPr>
          <w:rFonts w:ascii="Times New Roman" w:hAnsi="Times New Roman"/>
          <w:snapToGrid w:val="0"/>
          <w:sz w:val="30"/>
          <w:szCs w:val="30"/>
        </w:rPr>
        <w:t>六、结论</w:t>
      </w:r>
    </w:p>
    <w:tbl>
      <w:tblPr>
        <w:tblStyle w:val="34"/>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77"/>
      </w:tblGrid>
      <w:tr w14:paraId="4850BF7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778" w:hRule="atLeast"/>
          <w:jc w:val="center"/>
        </w:trPr>
        <w:tc>
          <w:tcPr>
            <w:tcW w:w="9577" w:type="dxa"/>
            <w:noWrap w:val="0"/>
            <w:vAlign w:val="top"/>
          </w:tcPr>
          <w:p w14:paraId="7D7EE59D">
            <w:pPr>
              <w:spacing w:line="360" w:lineRule="auto"/>
              <w:ind w:firstLine="480" w:firstLineChars="200"/>
              <w:rPr>
                <w:rFonts w:hint="eastAsia"/>
                <w:sz w:val="24"/>
              </w:rPr>
            </w:pPr>
            <w:r>
              <w:rPr>
                <w:sz w:val="24"/>
              </w:rPr>
              <w:t>综上所述，</w:t>
            </w:r>
            <w:r>
              <w:rPr>
                <w:rFonts w:hint="eastAsia" w:ascii="Times New Roman" w:hAnsi="Times New Roman" w:eastAsia="宋体" w:cs="Times New Roman"/>
                <w:kern w:val="0"/>
                <w:sz w:val="24"/>
                <w:lang w:val="en-US" w:eastAsia="zh-CN"/>
              </w:rPr>
              <w:t>安徽柯翔网绳有限公司年产1000吨秸秆捆草网项目</w:t>
            </w:r>
            <w:r>
              <w:rPr>
                <w:sz w:val="24"/>
              </w:rPr>
              <w:t>的建设符合国家产业政策，项目选址符合当地规划要求。项目所在区域大气环境判定为不达标区域，地方政府已提出相应的大气污染物削减方案，所在区地表水以及声环境质量现状良好</w:t>
            </w:r>
            <w:r>
              <w:rPr>
                <w:rFonts w:hint="eastAsia"/>
                <w:sz w:val="24"/>
              </w:rPr>
              <w:t>。</w:t>
            </w:r>
            <w:r>
              <w:rPr>
                <w:spacing w:val="2"/>
                <w:sz w:val="24"/>
              </w:rPr>
              <w:t>本项目</w:t>
            </w:r>
            <w:r>
              <w:rPr>
                <w:rFonts w:hint="eastAsia"/>
                <w:spacing w:val="2"/>
                <w:sz w:val="24"/>
              </w:rPr>
              <w:t>建成后落实本环评</w:t>
            </w:r>
            <w:r>
              <w:rPr>
                <w:kern w:val="0"/>
                <w:sz w:val="24"/>
              </w:rPr>
              <w:t>所提出的各项污染防治措施，</w:t>
            </w:r>
            <w:r>
              <w:rPr>
                <w:rFonts w:hint="eastAsia"/>
                <w:kern w:val="0"/>
                <w:sz w:val="24"/>
              </w:rPr>
              <w:t>在</w:t>
            </w:r>
            <w:r>
              <w:rPr>
                <w:kern w:val="0"/>
                <w:sz w:val="24"/>
              </w:rPr>
              <w:t>各项污染防治措施</w:t>
            </w:r>
            <w:r>
              <w:rPr>
                <w:rFonts w:hint="eastAsia"/>
                <w:kern w:val="0"/>
                <w:sz w:val="24"/>
              </w:rPr>
              <w:t>正常运行且各项污染物达标排放情况下，对周围环境影响较小；在切实采取相应风险防范措施和应急预案的前提下，环境风险可控；</w:t>
            </w:r>
            <w:r>
              <w:rPr>
                <w:kern w:val="0"/>
                <w:sz w:val="24"/>
              </w:rPr>
              <w:t>从环境影响角度</w:t>
            </w:r>
            <w:r>
              <w:rPr>
                <w:rFonts w:hint="eastAsia"/>
                <w:kern w:val="0"/>
                <w:sz w:val="24"/>
              </w:rPr>
              <w:t>分析</w:t>
            </w:r>
            <w:r>
              <w:rPr>
                <w:kern w:val="0"/>
                <w:sz w:val="24"/>
              </w:rPr>
              <w:t>，</w:t>
            </w:r>
            <w:r>
              <w:rPr>
                <w:rFonts w:hint="eastAsia"/>
                <w:kern w:val="0"/>
                <w:sz w:val="24"/>
              </w:rPr>
              <w:t>本次</w:t>
            </w:r>
            <w:r>
              <w:rPr>
                <w:rFonts w:hint="eastAsia" w:ascii="宋体"/>
                <w:sz w:val="24"/>
              </w:rPr>
              <w:t>项目</w:t>
            </w:r>
            <w:r>
              <w:rPr>
                <w:kern w:val="0"/>
                <w:sz w:val="24"/>
              </w:rPr>
              <w:t>建设可行</w:t>
            </w:r>
            <w:r>
              <w:rPr>
                <w:rFonts w:hint="eastAsia"/>
                <w:kern w:val="0"/>
                <w:sz w:val="24"/>
              </w:rPr>
              <w:t>。</w:t>
            </w:r>
          </w:p>
          <w:p w14:paraId="10B5E153">
            <w:pPr>
              <w:spacing w:line="360" w:lineRule="auto"/>
              <w:rPr>
                <w:rFonts w:hint="eastAsia" w:ascii="宋体" w:hAnsi="宋体" w:cs="宋体"/>
                <w:sz w:val="24"/>
              </w:rPr>
            </w:pPr>
          </w:p>
          <w:p w14:paraId="3ED0E031">
            <w:pPr>
              <w:spacing w:line="360" w:lineRule="auto"/>
              <w:rPr>
                <w:rFonts w:hint="eastAsia" w:ascii="宋体" w:hAnsi="宋体" w:cs="宋体"/>
                <w:sz w:val="24"/>
              </w:rPr>
            </w:pPr>
          </w:p>
          <w:p w14:paraId="370DA9C6">
            <w:pPr>
              <w:spacing w:line="360" w:lineRule="auto"/>
              <w:rPr>
                <w:rFonts w:hint="eastAsia" w:ascii="宋体" w:hAnsi="宋体" w:cs="宋体"/>
                <w:sz w:val="24"/>
              </w:rPr>
            </w:pPr>
          </w:p>
          <w:p w14:paraId="4F1BD6DF">
            <w:pPr>
              <w:spacing w:line="360" w:lineRule="auto"/>
              <w:rPr>
                <w:rFonts w:hint="eastAsia" w:ascii="宋体" w:hAnsi="宋体" w:cs="宋体"/>
                <w:sz w:val="24"/>
              </w:rPr>
            </w:pPr>
          </w:p>
          <w:p w14:paraId="50833004">
            <w:pPr>
              <w:spacing w:line="360" w:lineRule="auto"/>
              <w:rPr>
                <w:rFonts w:hint="eastAsia" w:ascii="宋体" w:hAnsi="宋体" w:cs="宋体"/>
                <w:sz w:val="24"/>
              </w:rPr>
            </w:pPr>
          </w:p>
          <w:p w14:paraId="3CF5E627">
            <w:pPr>
              <w:spacing w:line="360" w:lineRule="auto"/>
              <w:rPr>
                <w:rFonts w:hint="eastAsia" w:ascii="宋体" w:hAnsi="宋体" w:cs="宋体"/>
                <w:sz w:val="24"/>
              </w:rPr>
            </w:pPr>
          </w:p>
          <w:p w14:paraId="5A3BDAEA">
            <w:pPr>
              <w:spacing w:line="360" w:lineRule="auto"/>
              <w:rPr>
                <w:rFonts w:hint="eastAsia" w:ascii="宋体" w:hAnsi="宋体" w:cs="宋体"/>
                <w:sz w:val="24"/>
              </w:rPr>
            </w:pPr>
          </w:p>
          <w:p w14:paraId="597A0E80">
            <w:pPr>
              <w:spacing w:line="360" w:lineRule="auto"/>
              <w:rPr>
                <w:rFonts w:hint="eastAsia" w:ascii="宋体" w:hAnsi="宋体" w:cs="宋体"/>
                <w:sz w:val="24"/>
              </w:rPr>
            </w:pPr>
          </w:p>
          <w:p w14:paraId="5EF50554">
            <w:pPr>
              <w:spacing w:line="360" w:lineRule="auto"/>
              <w:rPr>
                <w:rFonts w:hint="eastAsia" w:ascii="宋体" w:hAnsi="宋体" w:cs="宋体"/>
                <w:sz w:val="24"/>
              </w:rPr>
            </w:pPr>
          </w:p>
          <w:p w14:paraId="7C6798F8">
            <w:pPr>
              <w:spacing w:line="360" w:lineRule="auto"/>
              <w:rPr>
                <w:rFonts w:hint="eastAsia" w:ascii="宋体" w:hAnsi="宋体" w:cs="宋体"/>
                <w:sz w:val="24"/>
              </w:rPr>
            </w:pPr>
          </w:p>
          <w:p w14:paraId="0F6EEFD2">
            <w:pPr>
              <w:spacing w:line="360" w:lineRule="auto"/>
              <w:rPr>
                <w:rFonts w:hint="eastAsia" w:ascii="宋体" w:hAnsi="宋体" w:cs="宋体"/>
                <w:sz w:val="24"/>
              </w:rPr>
            </w:pPr>
          </w:p>
          <w:p w14:paraId="6D3CC18B">
            <w:pPr>
              <w:spacing w:line="360" w:lineRule="auto"/>
              <w:rPr>
                <w:rFonts w:hint="eastAsia" w:ascii="宋体" w:hAnsi="宋体" w:cs="宋体"/>
                <w:sz w:val="24"/>
              </w:rPr>
            </w:pPr>
          </w:p>
          <w:p w14:paraId="6312401D">
            <w:pPr>
              <w:spacing w:line="360" w:lineRule="auto"/>
              <w:rPr>
                <w:rFonts w:hint="eastAsia" w:ascii="宋体" w:hAnsi="宋体" w:cs="宋体"/>
                <w:sz w:val="24"/>
              </w:rPr>
            </w:pPr>
          </w:p>
          <w:p w14:paraId="568C4149">
            <w:pPr>
              <w:spacing w:line="360" w:lineRule="auto"/>
              <w:rPr>
                <w:rFonts w:hint="eastAsia" w:ascii="宋体" w:hAnsi="宋体" w:cs="宋体"/>
                <w:sz w:val="24"/>
              </w:rPr>
            </w:pPr>
          </w:p>
          <w:p w14:paraId="703E43B8">
            <w:pPr>
              <w:spacing w:line="360" w:lineRule="auto"/>
              <w:rPr>
                <w:rFonts w:hint="eastAsia" w:ascii="宋体" w:hAnsi="宋体" w:cs="宋体"/>
                <w:sz w:val="24"/>
              </w:rPr>
            </w:pPr>
          </w:p>
          <w:p w14:paraId="4277F10D">
            <w:pPr>
              <w:spacing w:line="360" w:lineRule="auto"/>
              <w:rPr>
                <w:rFonts w:hint="eastAsia" w:ascii="宋体" w:hAnsi="宋体" w:cs="宋体"/>
                <w:sz w:val="24"/>
              </w:rPr>
            </w:pPr>
          </w:p>
          <w:p w14:paraId="3DEBE017">
            <w:pPr>
              <w:spacing w:line="360" w:lineRule="auto"/>
              <w:rPr>
                <w:rFonts w:hint="eastAsia" w:ascii="宋体" w:hAnsi="宋体" w:cs="宋体"/>
                <w:sz w:val="24"/>
              </w:rPr>
            </w:pPr>
          </w:p>
          <w:p w14:paraId="7562A5E9">
            <w:pPr>
              <w:spacing w:line="360" w:lineRule="auto"/>
              <w:rPr>
                <w:rFonts w:hint="eastAsia" w:ascii="宋体" w:hAnsi="宋体" w:cs="宋体"/>
                <w:sz w:val="24"/>
              </w:rPr>
            </w:pPr>
          </w:p>
          <w:p w14:paraId="7C9E9445">
            <w:pPr>
              <w:spacing w:line="360" w:lineRule="auto"/>
              <w:rPr>
                <w:rFonts w:hint="eastAsia" w:ascii="宋体" w:hAnsi="宋体" w:cs="宋体"/>
                <w:sz w:val="24"/>
              </w:rPr>
            </w:pPr>
          </w:p>
          <w:p w14:paraId="68F8EA16">
            <w:pPr>
              <w:spacing w:line="360" w:lineRule="auto"/>
              <w:rPr>
                <w:rFonts w:hint="eastAsia" w:ascii="宋体" w:hAnsi="宋体" w:cs="宋体"/>
                <w:sz w:val="24"/>
              </w:rPr>
            </w:pPr>
          </w:p>
          <w:p w14:paraId="6E1A79A8">
            <w:pPr>
              <w:spacing w:line="360" w:lineRule="auto"/>
              <w:rPr>
                <w:rFonts w:hint="eastAsia" w:ascii="宋体" w:hAnsi="宋体" w:cs="宋体"/>
                <w:sz w:val="24"/>
              </w:rPr>
            </w:pPr>
          </w:p>
          <w:p w14:paraId="716557E5">
            <w:pPr>
              <w:spacing w:line="360" w:lineRule="auto"/>
              <w:rPr>
                <w:rFonts w:hint="eastAsia" w:ascii="宋体" w:hAnsi="宋体" w:cs="宋体"/>
                <w:sz w:val="24"/>
              </w:rPr>
            </w:pPr>
          </w:p>
        </w:tc>
      </w:tr>
    </w:tbl>
    <w:p w14:paraId="30BE33DC">
      <w:pPr>
        <w:rPr>
          <w:rFonts w:hint="eastAsia"/>
        </w:rPr>
        <w:sectPr>
          <w:pgSz w:w="11906" w:h="16838"/>
          <w:pgMar w:top="1418" w:right="1134" w:bottom="1418" w:left="1247" w:header="851" w:footer="851" w:gutter="0"/>
          <w:cols w:space="720" w:num="1"/>
          <w:docGrid w:linePitch="312" w:charSpace="0"/>
        </w:sectPr>
      </w:pPr>
    </w:p>
    <w:p w14:paraId="2AAE9AB2">
      <w:pPr>
        <w:pStyle w:val="31"/>
        <w:adjustRightInd w:val="0"/>
        <w:snapToGrid w:val="0"/>
        <w:spacing w:before="0" w:beforeAutospacing="0" w:after="0" w:afterAutospacing="0" w:line="276" w:lineRule="auto"/>
        <w:outlineLvl w:val="0"/>
        <w:rPr>
          <w:rFonts w:ascii="Times New Roman" w:hAnsi="Times New Roman"/>
          <w:snapToGrid w:val="0"/>
          <w:sz w:val="32"/>
          <w:szCs w:val="32"/>
        </w:rPr>
      </w:pPr>
      <w:r>
        <w:rPr>
          <w:rFonts w:ascii="Times New Roman" w:hAnsi="Times New Roman"/>
          <w:snapToGrid w:val="0"/>
          <w:sz w:val="32"/>
          <w:szCs w:val="32"/>
        </w:rPr>
        <w:t>附表</w:t>
      </w:r>
    </w:p>
    <w:p w14:paraId="57F60299">
      <w:pPr>
        <w:pStyle w:val="31"/>
        <w:adjustRightInd w:val="0"/>
        <w:snapToGrid w:val="0"/>
        <w:spacing w:before="0" w:beforeAutospacing="0" w:after="0" w:afterAutospacing="0" w:line="276" w:lineRule="auto"/>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80"/>
        <w:gridCol w:w="1767"/>
        <w:gridCol w:w="1398"/>
        <w:gridCol w:w="1579"/>
        <w:gridCol w:w="1559"/>
        <w:gridCol w:w="1761"/>
        <w:gridCol w:w="1640"/>
        <w:gridCol w:w="1366"/>
      </w:tblGrid>
      <w:tr w14:paraId="29C30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959" w:type="dxa"/>
            <w:noWrap w:val="0"/>
            <w:tcMar>
              <w:left w:w="28" w:type="dxa"/>
              <w:right w:w="28" w:type="dxa"/>
            </w:tcMar>
            <w:vAlign w:val="center"/>
          </w:tcPr>
          <w:p w14:paraId="3B4A81E1">
            <w:pPr>
              <w:pStyle w:val="68"/>
              <w:spacing w:beforeLines="0" w:afterLines="0" w:line="360" w:lineRule="exact"/>
              <w:jc w:val="right"/>
              <w:rPr>
                <w:rFonts w:ascii="Times New Roman"/>
                <w:snapToGrid w:val="0"/>
                <w:spacing w:val="-6"/>
                <w:kern w:val="21"/>
                <w:szCs w:val="21"/>
              </w:rPr>
            </w:pPr>
            <w: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8890</wp:posOffset>
                      </wp:positionV>
                      <wp:extent cx="584835" cy="487680"/>
                      <wp:effectExtent l="3175" t="3810" r="21590" b="3810"/>
                      <wp:wrapNone/>
                      <wp:docPr id="1" name="直线 110"/>
                      <wp:cNvGraphicFramePr/>
                      <a:graphic xmlns:a="http://schemas.openxmlformats.org/drawingml/2006/main">
                        <a:graphicData uri="http://schemas.microsoft.com/office/word/2010/wordprocessingShape">
                          <wps:wsp>
                            <wps:cNvCnPr/>
                            <wps:spPr>
                              <a:xfrm flipH="1" flipV="1">
                                <a:off x="0" y="0"/>
                                <a:ext cx="584835" cy="487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0" o:spid="_x0000_s1026" o:spt="20" style="position:absolute;left:0pt;flip:x y;margin-left:-1.3pt;margin-top:0.7pt;height:38.4pt;width:46.05pt;z-index:251659264;mso-width-relative:page;mso-height-relative:page;" filled="f" stroked="t" coordsize="21600,21600" o:gfxdata="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fH5JDSAAAABgEAAA8AAAAAAAAAAQAgAAAAIgAAAGRycy9kb3ducmV2LnhtbFBLAQIU&#10;ABQAAAAIAIdO4kDmN2Jq+QEAAPUDAAAOAAAAAAAAAAEAIAAAACEBAABkcnMvZTJvRG9jLnhtbFBL&#10;BQYAAAAABgAGAFkBAACMBQAAAAA=&#10;">
                      <v:fill on="f" focussize="0,0"/>
                      <v:stroke color="#000000" joinstyle="round"/>
                      <v:imagedata o:title=""/>
                      <o:lock v:ext="edit" aspectratio="f"/>
                    </v:line>
                  </w:pict>
                </mc:Fallback>
              </mc:AlternateContent>
            </w:r>
            <w:r>
              <w:rPr>
                <w:rFonts w:ascii="Times New Roman"/>
                <w:snapToGrid w:val="0"/>
                <w:spacing w:val="-6"/>
                <w:kern w:val="21"/>
                <w:szCs w:val="21"/>
              </w:rPr>
              <w:t>项目</w:t>
            </w:r>
          </w:p>
          <w:p w14:paraId="7F9E0161">
            <w:pPr>
              <w:pStyle w:val="68"/>
              <w:spacing w:beforeLines="0" w:afterLines="0" w:line="360" w:lineRule="exact"/>
              <w:jc w:val="left"/>
              <w:rPr>
                <w:rFonts w:ascii="Times New Roman"/>
                <w:snapToGrid w:val="0"/>
                <w:spacing w:val="-6"/>
                <w:kern w:val="21"/>
                <w:szCs w:val="21"/>
              </w:rPr>
            </w:pPr>
            <w:r>
              <w:rPr>
                <w:rFonts w:ascii="Times New Roman"/>
                <w:snapToGrid w:val="0"/>
                <w:spacing w:val="-6"/>
                <w:kern w:val="21"/>
                <w:szCs w:val="21"/>
              </w:rPr>
              <w:t>分类</w:t>
            </w:r>
          </w:p>
        </w:tc>
        <w:tc>
          <w:tcPr>
            <w:tcW w:w="1980" w:type="dxa"/>
            <w:noWrap w:val="0"/>
            <w:tcMar>
              <w:left w:w="28" w:type="dxa"/>
              <w:right w:w="28" w:type="dxa"/>
            </w:tcMar>
            <w:vAlign w:val="center"/>
          </w:tcPr>
          <w:p w14:paraId="4D886D1B">
            <w:pPr>
              <w:pStyle w:val="68"/>
              <w:spacing w:beforeLines="0" w:afterLines="0" w:line="360" w:lineRule="exact"/>
              <w:rPr>
                <w:rFonts w:ascii="Times New Roman"/>
                <w:snapToGrid w:val="0"/>
                <w:spacing w:val="-6"/>
                <w:kern w:val="21"/>
                <w:szCs w:val="21"/>
              </w:rPr>
            </w:pPr>
            <w:r>
              <w:rPr>
                <w:rFonts w:ascii="Times New Roman"/>
                <w:snapToGrid w:val="0"/>
                <w:spacing w:val="-6"/>
                <w:kern w:val="21"/>
                <w:szCs w:val="21"/>
              </w:rPr>
              <w:t>污染物名称</w:t>
            </w:r>
          </w:p>
        </w:tc>
        <w:tc>
          <w:tcPr>
            <w:tcW w:w="1767" w:type="dxa"/>
            <w:noWrap w:val="0"/>
            <w:tcMar>
              <w:left w:w="28" w:type="dxa"/>
              <w:right w:w="28" w:type="dxa"/>
            </w:tcMar>
            <w:vAlign w:val="center"/>
          </w:tcPr>
          <w:p w14:paraId="40F6703F">
            <w:pPr>
              <w:jc w:val="center"/>
            </w:pPr>
            <w:r>
              <w:t>现有工程</w:t>
            </w:r>
          </w:p>
          <w:p w14:paraId="16742677">
            <w:pPr>
              <w:jc w:val="center"/>
            </w:pPr>
            <w:r>
              <w:t>排放量（固体废物产生量）</w:t>
            </w:r>
            <w:r>
              <w:fldChar w:fldCharType="begin"/>
            </w:r>
            <w:r>
              <w:instrText xml:space="preserve"> = 1 \* GB3 \* MERGEFORMAT </w:instrText>
            </w:r>
            <w:r>
              <w:fldChar w:fldCharType="separate"/>
            </w:r>
            <w:r>
              <w:t>①</w:t>
            </w:r>
            <w:r>
              <w:fldChar w:fldCharType="end"/>
            </w:r>
          </w:p>
        </w:tc>
        <w:tc>
          <w:tcPr>
            <w:tcW w:w="1398" w:type="dxa"/>
            <w:noWrap w:val="0"/>
            <w:tcMar>
              <w:left w:w="28" w:type="dxa"/>
              <w:right w:w="28" w:type="dxa"/>
            </w:tcMar>
            <w:vAlign w:val="center"/>
          </w:tcPr>
          <w:p w14:paraId="09BF7544">
            <w:pPr>
              <w:jc w:val="center"/>
            </w:pPr>
            <w:r>
              <w:t>现有工程</w:t>
            </w:r>
          </w:p>
          <w:p w14:paraId="4243C1C7">
            <w:pPr>
              <w:jc w:val="center"/>
            </w:pPr>
            <w:r>
              <w:t>许可排放量</w:t>
            </w:r>
          </w:p>
          <w:p w14:paraId="5A76ADB5">
            <w:pPr>
              <w:jc w:val="center"/>
            </w:pPr>
            <w:r>
              <w:fldChar w:fldCharType="begin"/>
            </w:r>
            <w:r>
              <w:instrText xml:space="preserve"> = 2 \* GB3 \* MERGEFORMAT </w:instrText>
            </w:r>
            <w:r>
              <w:fldChar w:fldCharType="separate"/>
            </w:r>
            <w:r>
              <w:t>②</w:t>
            </w:r>
            <w:r>
              <w:fldChar w:fldCharType="end"/>
            </w:r>
          </w:p>
        </w:tc>
        <w:tc>
          <w:tcPr>
            <w:tcW w:w="1579" w:type="dxa"/>
            <w:noWrap w:val="0"/>
            <w:tcMar>
              <w:left w:w="28" w:type="dxa"/>
              <w:right w:w="28" w:type="dxa"/>
            </w:tcMar>
            <w:vAlign w:val="center"/>
          </w:tcPr>
          <w:p w14:paraId="61EA89A5">
            <w:pPr>
              <w:jc w:val="center"/>
            </w:pPr>
            <w:r>
              <w:t>在建工程</w:t>
            </w:r>
          </w:p>
          <w:p w14:paraId="6FAAC339">
            <w:pPr>
              <w:jc w:val="center"/>
            </w:pPr>
            <w:r>
              <w:t>排放量（固体废物产生量）</w:t>
            </w:r>
            <w:r>
              <w:fldChar w:fldCharType="begin"/>
            </w:r>
            <w:r>
              <w:instrText xml:space="preserve"> = 3 \* GB3 \* MERGEFORMAT </w:instrText>
            </w:r>
            <w:r>
              <w:fldChar w:fldCharType="separate"/>
            </w:r>
            <w:r>
              <w:t>③</w:t>
            </w:r>
            <w:r>
              <w:fldChar w:fldCharType="end"/>
            </w:r>
          </w:p>
        </w:tc>
        <w:tc>
          <w:tcPr>
            <w:tcW w:w="1559" w:type="dxa"/>
            <w:noWrap w:val="0"/>
            <w:tcMar>
              <w:left w:w="28" w:type="dxa"/>
              <w:right w:w="28" w:type="dxa"/>
            </w:tcMar>
            <w:vAlign w:val="center"/>
          </w:tcPr>
          <w:p w14:paraId="6F18A5E7">
            <w:pPr>
              <w:jc w:val="center"/>
            </w:pPr>
            <w:r>
              <w:t>本项目</w:t>
            </w:r>
          </w:p>
          <w:p w14:paraId="1D4B7B57">
            <w:pPr>
              <w:jc w:val="center"/>
            </w:pPr>
            <w:r>
              <w:t>排放量（固体废物产生量）</w:t>
            </w:r>
            <w:r>
              <w:fldChar w:fldCharType="begin"/>
            </w:r>
            <w:r>
              <w:instrText xml:space="preserve"> = 4 \* GB3 \* MERGEFORMAT </w:instrText>
            </w:r>
            <w:r>
              <w:fldChar w:fldCharType="separate"/>
            </w:r>
            <w:r>
              <w:t>④</w:t>
            </w:r>
            <w:r>
              <w:fldChar w:fldCharType="end"/>
            </w:r>
          </w:p>
        </w:tc>
        <w:tc>
          <w:tcPr>
            <w:tcW w:w="1761" w:type="dxa"/>
            <w:noWrap w:val="0"/>
            <w:tcMar>
              <w:left w:w="28" w:type="dxa"/>
              <w:right w:w="28" w:type="dxa"/>
            </w:tcMar>
            <w:vAlign w:val="center"/>
          </w:tcPr>
          <w:p w14:paraId="7E308F7A">
            <w:pPr>
              <w:jc w:val="center"/>
            </w:pPr>
            <w:r>
              <w:t>以新带老削减量</w:t>
            </w:r>
          </w:p>
          <w:p w14:paraId="09B7C21F">
            <w:pPr>
              <w:jc w:val="center"/>
            </w:pPr>
            <w:r>
              <w:t>（新建项目不填）</w:t>
            </w:r>
            <w:r>
              <w:fldChar w:fldCharType="begin"/>
            </w:r>
            <w:r>
              <w:instrText xml:space="preserve"> = 5 \* GB3 \* MERGEFORMAT </w:instrText>
            </w:r>
            <w:r>
              <w:fldChar w:fldCharType="separate"/>
            </w:r>
            <w:r>
              <w:t>⑤</w:t>
            </w:r>
            <w:r>
              <w:fldChar w:fldCharType="end"/>
            </w:r>
          </w:p>
        </w:tc>
        <w:tc>
          <w:tcPr>
            <w:tcW w:w="1640" w:type="dxa"/>
            <w:noWrap w:val="0"/>
            <w:tcMar>
              <w:left w:w="28" w:type="dxa"/>
              <w:right w:w="28" w:type="dxa"/>
            </w:tcMar>
            <w:vAlign w:val="center"/>
          </w:tcPr>
          <w:p w14:paraId="4BF8D145">
            <w:pPr>
              <w:jc w:val="center"/>
            </w:pPr>
            <w:r>
              <w:t>本项目建成后</w:t>
            </w:r>
          </w:p>
          <w:p w14:paraId="7D31FEC1">
            <w:pPr>
              <w:jc w:val="center"/>
            </w:pPr>
            <w:r>
              <w:t>全厂排放量（固体废物产生量）</w:t>
            </w:r>
            <w:r>
              <w:fldChar w:fldCharType="begin"/>
            </w:r>
            <w:r>
              <w:instrText xml:space="preserve"> = 6 \* GB3 \* MERGEFORMAT </w:instrText>
            </w:r>
            <w:r>
              <w:fldChar w:fldCharType="separate"/>
            </w:r>
            <w:r>
              <w:t>⑥</w:t>
            </w:r>
            <w:r>
              <w:fldChar w:fldCharType="end"/>
            </w:r>
          </w:p>
        </w:tc>
        <w:tc>
          <w:tcPr>
            <w:tcW w:w="1366" w:type="dxa"/>
            <w:noWrap w:val="0"/>
            <w:tcMar>
              <w:left w:w="28" w:type="dxa"/>
              <w:right w:w="28" w:type="dxa"/>
            </w:tcMar>
            <w:vAlign w:val="center"/>
          </w:tcPr>
          <w:p w14:paraId="43BB0A91">
            <w:pPr>
              <w:jc w:val="center"/>
            </w:pPr>
            <w:r>
              <w:t>变化量</w:t>
            </w:r>
          </w:p>
          <w:p w14:paraId="3ED9F67D">
            <w:pPr>
              <w:jc w:val="center"/>
            </w:pPr>
            <w:r>
              <w:fldChar w:fldCharType="begin"/>
            </w:r>
            <w:r>
              <w:instrText xml:space="preserve"> = 7 \* GB3 \* MERGEFORMAT </w:instrText>
            </w:r>
            <w:r>
              <w:fldChar w:fldCharType="separate"/>
            </w:r>
            <w:r>
              <w:t>⑦</w:t>
            </w:r>
            <w:r>
              <w:fldChar w:fldCharType="end"/>
            </w:r>
          </w:p>
        </w:tc>
      </w:tr>
      <w:tr w14:paraId="11AA54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59" w:type="dxa"/>
            <w:noWrap w:val="0"/>
            <w:vAlign w:val="center"/>
          </w:tcPr>
          <w:p w14:paraId="67180505">
            <w:pPr>
              <w:pStyle w:val="68"/>
              <w:spacing w:beforeLines="0" w:afterLines="0" w:line="240" w:lineRule="auto"/>
              <w:rPr>
                <w:rFonts w:hint="eastAsia" w:ascii="Times New Roman" w:eastAsia="宋体"/>
                <w:b/>
                <w:snapToGrid w:val="0"/>
                <w:kern w:val="21"/>
                <w:szCs w:val="21"/>
                <w:lang w:val="en-US" w:eastAsia="zh-CN"/>
              </w:rPr>
            </w:pPr>
            <w:r>
              <w:rPr>
                <w:rFonts w:hint="eastAsia" w:ascii="Times New Roman"/>
                <w:b/>
                <w:snapToGrid w:val="0"/>
                <w:kern w:val="21"/>
                <w:szCs w:val="21"/>
                <w:lang w:val="en-US" w:eastAsia="zh-CN"/>
              </w:rPr>
              <w:t>废气</w:t>
            </w:r>
          </w:p>
        </w:tc>
        <w:tc>
          <w:tcPr>
            <w:tcW w:w="1980" w:type="dxa"/>
            <w:noWrap w:val="0"/>
            <w:vAlign w:val="center"/>
          </w:tcPr>
          <w:p w14:paraId="26E6A5CD">
            <w:pPr>
              <w:widowControl/>
              <w:jc w:val="center"/>
              <w:textAlignment w:val="center"/>
              <w:rPr>
                <w:snapToGrid w:val="0"/>
                <w:kern w:val="21"/>
                <w:szCs w:val="21"/>
              </w:rPr>
            </w:pPr>
            <w:r>
              <w:rPr>
                <w:rFonts w:hint="eastAsia"/>
                <w:kern w:val="0"/>
                <w:szCs w:val="21"/>
                <w:lang w:bidi="ar"/>
              </w:rPr>
              <w:t>非甲烷总烃</w:t>
            </w:r>
          </w:p>
        </w:tc>
        <w:tc>
          <w:tcPr>
            <w:tcW w:w="1767" w:type="dxa"/>
            <w:noWrap w:val="0"/>
            <w:vAlign w:val="center"/>
          </w:tcPr>
          <w:p w14:paraId="04C9359D">
            <w:pPr>
              <w:jc w:val="center"/>
              <w:rPr>
                <w:rFonts w:hint="eastAsia"/>
                <w:snapToGrid w:val="0"/>
                <w:kern w:val="21"/>
                <w:szCs w:val="21"/>
              </w:rPr>
            </w:pPr>
            <w:r>
              <w:rPr>
                <w:rFonts w:hint="eastAsia"/>
                <w:snapToGrid w:val="0"/>
                <w:kern w:val="21"/>
                <w:szCs w:val="21"/>
              </w:rPr>
              <w:t>/</w:t>
            </w:r>
          </w:p>
        </w:tc>
        <w:tc>
          <w:tcPr>
            <w:tcW w:w="1398" w:type="dxa"/>
            <w:noWrap w:val="0"/>
            <w:vAlign w:val="center"/>
          </w:tcPr>
          <w:p w14:paraId="626E4473">
            <w:pPr>
              <w:jc w:val="center"/>
              <w:rPr>
                <w:rFonts w:hint="eastAsia"/>
                <w:snapToGrid w:val="0"/>
                <w:kern w:val="21"/>
                <w:szCs w:val="21"/>
              </w:rPr>
            </w:pPr>
            <w:r>
              <w:rPr>
                <w:rFonts w:hint="eastAsia"/>
                <w:snapToGrid w:val="0"/>
                <w:kern w:val="21"/>
                <w:szCs w:val="21"/>
              </w:rPr>
              <w:t>/</w:t>
            </w:r>
          </w:p>
        </w:tc>
        <w:tc>
          <w:tcPr>
            <w:tcW w:w="1579" w:type="dxa"/>
            <w:noWrap w:val="0"/>
            <w:vAlign w:val="center"/>
          </w:tcPr>
          <w:p w14:paraId="168D9E87">
            <w:pPr>
              <w:jc w:val="center"/>
              <w:rPr>
                <w:rFonts w:hint="eastAsia"/>
                <w:snapToGrid w:val="0"/>
                <w:kern w:val="21"/>
                <w:szCs w:val="21"/>
              </w:rPr>
            </w:pPr>
            <w:r>
              <w:rPr>
                <w:rFonts w:hint="eastAsia"/>
                <w:snapToGrid w:val="0"/>
                <w:kern w:val="21"/>
                <w:szCs w:val="21"/>
              </w:rPr>
              <w:t>/</w:t>
            </w:r>
          </w:p>
        </w:tc>
        <w:tc>
          <w:tcPr>
            <w:tcW w:w="1559" w:type="dxa"/>
            <w:noWrap w:val="0"/>
            <w:vAlign w:val="center"/>
          </w:tcPr>
          <w:p w14:paraId="3FEB9FDA">
            <w:pPr>
              <w:widowControl/>
              <w:jc w:val="center"/>
              <w:textAlignment w:val="center"/>
              <w:rPr>
                <w:kern w:val="0"/>
                <w:szCs w:val="21"/>
                <w:lang w:bidi="ar"/>
              </w:rPr>
            </w:pPr>
            <w:r>
              <w:rPr>
                <w:rFonts w:hint="eastAsia"/>
                <w:snapToGrid w:val="0"/>
                <w:kern w:val="21"/>
                <w:szCs w:val="21"/>
                <w:lang w:eastAsia="zh-CN"/>
              </w:rPr>
              <w:t>0.</w:t>
            </w:r>
            <w:r>
              <w:rPr>
                <w:rFonts w:hint="eastAsia"/>
                <w:snapToGrid w:val="0"/>
                <w:kern w:val="21"/>
                <w:szCs w:val="21"/>
                <w:lang w:val="en-US" w:eastAsia="zh-CN"/>
              </w:rPr>
              <w:t>3384</w:t>
            </w:r>
            <w:r>
              <w:rPr>
                <w:rFonts w:hint="eastAsia"/>
                <w:snapToGrid w:val="0"/>
                <w:kern w:val="21"/>
                <w:szCs w:val="21"/>
              </w:rPr>
              <w:t>t/a</w:t>
            </w:r>
          </w:p>
        </w:tc>
        <w:tc>
          <w:tcPr>
            <w:tcW w:w="1761" w:type="dxa"/>
            <w:noWrap w:val="0"/>
            <w:vAlign w:val="center"/>
          </w:tcPr>
          <w:p w14:paraId="59BEB3EC">
            <w:pPr>
              <w:jc w:val="center"/>
              <w:rPr>
                <w:rFonts w:hint="eastAsia"/>
                <w:snapToGrid w:val="0"/>
                <w:kern w:val="21"/>
                <w:szCs w:val="21"/>
              </w:rPr>
            </w:pPr>
            <w:r>
              <w:rPr>
                <w:rFonts w:hint="eastAsia"/>
                <w:snapToGrid w:val="0"/>
                <w:kern w:val="21"/>
                <w:szCs w:val="21"/>
              </w:rPr>
              <w:t>0t/a</w:t>
            </w:r>
          </w:p>
        </w:tc>
        <w:tc>
          <w:tcPr>
            <w:tcW w:w="1640" w:type="dxa"/>
            <w:noWrap w:val="0"/>
            <w:vAlign w:val="center"/>
          </w:tcPr>
          <w:p w14:paraId="7F64F4BB">
            <w:pPr>
              <w:widowControl/>
              <w:jc w:val="center"/>
              <w:textAlignment w:val="center"/>
              <w:rPr>
                <w:kern w:val="0"/>
                <w:szCs w:val="21"/>
                <w:lang w:bidi="ar"/>
              </w:rPr>
            </w:pPr>
            <w:r>
              <w:rPr>
                <w:rFonts w:hint="eastAsia"/>
                <w:snapToGrid w:val="0"/>
                <w:kern w:val="21"/>
                <w:szCs w:val="21"/>
                <w:lang w:eastAsia="zh-CN"/>
              </w:rPr>
              <w:t>0.</w:t>
            </w:r>
            <w:r>
              <w:rPr>
                <w:rFonts w:hint="eastAsia"/>
                <w:snapToGrid w:val="0"/>
                <w:kern w:val="21"/>
                <w:szCs w:val="21"/>
                <w:lang w:val="en-US" w:eastAsia="zh-CN"/>
              </w:rPr>
              <w:t>3384</w:t>
            </w:r>
            <w:r>
              <w:rPr>
                <w:rFonts w:hint="eastAsia"/>
                <w:snapToGrid w:val="0"/>
                <w:kern w:val="21"/>
                <w:szCs w:val="21"/>
              </w:rPr>
              <w:t>t/a</w:t>
            </w:r>
          </w:p>
        </w:tc>
        <w:tc>
          <w:tcPr>
            <w:tcW w:w="1366" w:type="dxa"/>
            <w:noWrap w:val="0"/>
            <w:vAlign w:val="center"/>
          </w:tcPr>
          <w:p w14:paraId="00DD7C2E">
            <w:pPr>
              <w:widowControl/>
              <w:jc w:val="center"/>
              <w:textAlignment w:val="center"/>
              <w:rPr>
                <w:kern w:val="0"/>
                <w:szCs w:val="21"/>
                <w:lang w:bidi="ar"/>
              </w:rPr>
            </w:pPr>
            <w:r>
              <w:rPr>
                <w:rFonts w:hint="eastAsia"/>
                <w:snapToGrid w:val="0"/>
                <w:kern w:val="21"/>
                <w:szCs w:val="21"/>
                <w:lang w:val="en-US" w:eastAsia="zh-CN"/>
              </w:rPr>
              <w:t>+</w:t>
            </w:r>
            <w:r>
              <w:rPr>
                <w:rFonts w:hint="eastAsia"/>
                <w:snapToGrid w:val="0"/>
                <w:kern w:val="21"/>
                <w:szCs w:val="21"/>
                <w:lang w:eastAsia="zh-CN"/>
              </w:rPr>
              <w:t>0.</w:t>
            </w:r>
            <w:r>
              <w:rPr>
                <w:rFonts w:hint="eastAsia"/>
                <w:snapToGrid w:val="0"/>
                <w:kern w:val="21"/>
                <w:szCs w:val="21"/>
                <w:lang w:val="en-US" w:eastAsia="zh-CN"/>
              </w:rPr>
              <w:t>3384</w:t>
            </w:r>
            <w:r>
              <w:rPr>
                <w:rFonts w:hint="eastAsia"/>
                <w:snapToGrid w:val="0"/>
                <w:kern w:val="21"/>
                <w:szCs w:val="21"/>
              </w:rPr>
              <w:t>t/a</w:t>
            </w:r>
          </w:p>
        </w:tc>
      </w:tr>
      <w:tr w14:paraId="533AE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noWrap w:val="0"/>
            <w:vAlign w:val="center"/>
          </w:tcPr>
          <w:p w14:paraId="4D98B38D">
            <w:pPr>
              <w:pStyle w:val="68"/>
              <w:spacing w:beforeLines="0" w:afterLines="0" w:line="240" w:lineRule="auto"/>
              <w:rPr>
                <w:rFonts w:hint="eastAsia" w:ascii="Times New Roman" w:eastAsia="宋体"/>
                <w:b/>
                <w:snapToGrid w:val="0"/>
                <w:kern w:val="21"/>
                <w:szCs w:val="21"/>
                <w:lang w:val="en-US" w:eastAsia="zh-CN"/>
              </w:rPr>
            </w:pPr>
            <w:r>
              <w:rPr>
                <w:rFonts w:hint="eastAsia" w:ascii="Times New Roman"/>
                <w:b/>
                <w:snapToGrid w:val="0"/>
                <w:kern w:val="21"/>
                <w:szCs w:val="21"/>
                <w:lang w:val="en-US" w:eastAsia="zh-CN"/>
              </w:rPr>
              <w:t>废水</w:t>
            </w:r>
          </w:p>
        </w:tc>
        <w:tc>
          <w:tcPr>
            <w:tcW w:w="1980" w:type="dxa"/>
            <w:noWrap w:val="0"/>
            <w:vAlign w:val="center"/>
          </w:tcPr>
          <w:p w14:paraId="5FB8FC53">
            <w:pPr>
              <w:widowControl/>
              <w:jc w:val="center"/>
              <w:textAlignment w:val="center"/>
              <w:rPr>
                <w:color w:val="auto"/>
                <w:szCs w:val="21"/>
              </w:rPr>
            </w:pPr>
            <w:r>
              <w:rPr>
                <w:color w:val="auto"/>
                <w:kern w:val="0"/>
                <w:szCs w:val="21"/>
                <w:lang w:bidi="ar"/>
              </w:rPr>
              <w:t>COD</w:t>
            </w:r>
          </w:p>
        </w:tc>
        <w:tc>
          <w:tcPr>
            <w:tcW w:w="1767" w:type="dxa"/>
            <w:noWrap w:val="0"/>
            <w:vAlign w:val="center"/>
          </w:tcPr>
          <w:p w14:paraId="4615911A">
            <w:pPr>
              <w:jc w:val="center"/>
              <w:rPr>
                <w:rFonts w:hint="eastAsia"/>
                <w:snapToGrid w:val="0"/>
                <w:color w:val="auto"/>
                <w:kern w:val="21"/>
                <w:szCs w:val="21"/>
              </w:rPr>
            </w:pPr>
            <w:r>
              <w:rPr>
                <w:rFonts w:hint="eastAsia"/>
                <w:snapToGrid w:val="0"/>
                <w:color w:val="auto"/>
                <w:kern w:val="21"/>
                <w:szCs w:val="21"/>
              </w:rPr>
              <w:t>/</w:t>
            </w:r>
          </w:p>
        </w:tc>
        <w:tc>
          <w:tcPr>
            <w:tcW w:w="1398" w:type="dxa"/>
            <w:noWrap w:val="0"/>
            <w:vAlign w:val="center"/>
          </w:tcPr>
          <w:p w14:paraId="056DBEC0">
            <w:pPr>
              <w:jc w:val="center"/>
              <w:rPr>
                <w:rFonts w:hint="eastAsia"/>
                <w:snapToGrid w:val="0"/>
                <w:color w:val="auto"/>
                <w:kern w:val="21"/>
                <w:szCs w:val="21"/>
              </w:rPr>
            </w:pPr>
            <w:r>
              <w:rPr>
                <w:rFonts w:hint="eastAsia"/>
                <w:snapToGrid w:val="0"/>
                <w:color w:val="auto"/>
                <w:kern w:val="21"/>
                <w:szCs w:val="21"/>
              </w:rPr>
              <w:t>/</w:t>
            </w:r>
          </w:p>
        </w:tc>
        <w:tc>
          <w:tcPr>
            <w:tcW w:w="1579" w:type="dxa"/>
            <w:noWrap w:val="0"/>
            <w:vAlign w:val="center"/>
          </w:tcPr>
          <w:p w14:paraId="0963ABA0">
            <w:pPr>
              <w:jc w:val="center"/>
              <w:rPr>
                <w:rFonts w:hint="eastAsia"/>
                <w:snapToGrid w:val="0"/>
                <w:color w:val="auto"/>
                <w:kern w:val="21"/>
                <w:szCs w:val="21"/>
              </w:rPr>
            </w:pPr>
            <w:r>
              <w:rPr>
                <w:rFonts w:hint="eastAsia"/>
                <w:snapToGrid w:val="0"/>
                <w:color w:val="auto"/>
                <w:kern w:val="21"/>
                <w:szCs w:val="21"/>
              </w:rPr>
              <w:t>/</w:t>
            </w:r>
          </w:p>
        </w:tc>
        <w:tc>
          <w:tcPr>
            <w:tcW w:w="1559" w:type="dxa"/>
            <w:noWrap w:val="0"/>
            <w:vAlign w:val="center"/>
          </w:tcPr>
          <w:p w14:paraId="285D8D0C">
            <w:pPr>
              <w:jc w:val="center"/>
              <w:rPr>
                <w:rFonts w:hint="default"/>
                <w:color w:val="auto"/>
                <w:szCs w:val="21"/>
                <w:lang w:val="en-US"/>
              </w:rPr>
            </w:pPr>
            <w:r>
              <w:rPr>
                <w:rFonts w:hint="eastAsia"/>
                <w:snapToGrid w:val="0"/>
                <w:color w:val="auto"/>
                <w:kern w:val="21"/>
                <w:szCs w:val="21"/>
              </w:rPr>
              <w:t>0t/a</w:t>
            </w:r>
          </w:p>
        </w:tc>
        <w:tc>
          <w:tcPr>
            <w:tcW w:w="1761" w:type="dxa"/>
            <w:noWrap w:val="0"/>
            <w:vAlign w:val="center"/>
          </w:tcPr>
          <w:p w14:paraId="137A113B">
            <w:pPr>
              <w:jc w:val="center"/>
              <w:rPr>
                <w:rFonts w:hint="eastAsia"/>
                <w:snapToGrid w:val="0"/>
                <w:color w:val="auto"/>
                <w:kern w:val="21"/>
                <w:szCs w:val="21"/>
              </w:rPr>
            </w:pPr>
            <w:r>
              <w:rPr>
                <w:rFonts w:hint="eastAsia"/>
                <w:snapToGrid w:val="0"/>
                <w:color w:val="auto"/>
                <w:kern w:val="21"/>
                <w:szCs w:val="21"/>
              </w:rPr>
              <w:t>0t/a</w:t>
            </w:r>
          </w:p>
        </w:tc>
        <w:tc>
          <w:tcPr>
            <w:tcW w:w="1640" w:type="dxa"/>
            <w:noWrap w:val="0"/>
            <w:vAlign w:val="center"/>
          </w:tcPr>
          <w:p w14:paraId="43BCA465">
            <w:pPr>
              <w:jc w:val="center"/>
              <w:rPr>
                <w:color w:val="auto"/>
                <w:szCs w:val="21"/>
              </w:rPr>
            </w:pPr>
            <w:r>
              <w:rPr>
                <w:rFonts w:hint="eastAsia"/>
                <w:snapToGrid w:val="0"/>
                <w:color w:val="auto"/>
                <w:kern w:val="21"/>
                <w:szCs w:val="21"/>
              </w:rPr>
              <w:t>0t/a</w:t>
            </w:r>
          </w:p>
        </w:tc>
        <w:tc>
          <w:tcPr>
            <w:tcW w:w="1366" w:type="dxa"/>
            <w:noWrap w:val="0"/>
            <w:vAlign w:val="center"/>
          </w:tcPr>
          <w:p w14:paraId="25459786">
            <w:pPr>
              <w:jc w:val="center"/>
              <w:rPr>
                <w:color w:val="auto"/>
                <w:szCs w:val="21"/>
              </w:rPr>
            </w:pPr>
            <w:r>
              <w:rPr>
                <w:rFonts w:hint="eastAsia"/>
                <w:snapToGrid w:val="0"/>
                <w:color w:val="auto"/>
                <w:kern w:val="21"/>
                <w:szCs w:val="21"/>
                <w:lang w:val="en-US" w:eastAsia="zh-CN"/>
              </w:rPr>
              <w:t>+</w:t>
            </w:r>
            <w:r>
              <w:rPr>
                <w:rFonts w:hint="eastAsia"/>
                <w:snapToGrid w:val="0"/>
                <w:color w:val="auto"/>
                <w:kern w:val="21"/>
                <w:szCs w:val="21"/>
              </w:rPr>
              <w:t>0t/a</w:t>
            </w:r>
          </w:p>
        </w:tc>
      </w:tr>
      <w:tr w14:paraId="43383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080B582C">
            <w:pPr>
              <w:pStyle w:val="68"/>
              <w:spacing w:beforeLines="0" w:afterLines="0" w:line="240" w:lineRule="auto"/>
              <w:rPr>
                <w:rFonts w:ascii="Times New Roman"/>
                <w:b/>
                <w:snapToGrid w:val="0"/>
                <w:kern w:val="21"/>
                <w:szCs w:val="21"/>
              </w:rPr>
            </w:pPr>
          </w:p>
        </w:tc>
        <w:tc>
          <w:tcPr>
            <w:tcW w:w="1980" w:type="dxa"/>
            <w:noWrap w:val="0"/>
            <w:vAlign w:val="center"/>
          </w:tcPr>
          <w:p w14:paraId="3CC0DCFB">
            <w:pPr>
              <w:widowControl/>
              <w:jc w:val="center"/>
              <w:textAlignment w:val="center"/>
              <w:rPr>
                <w:color w:val="auto"/>
                <w:szCs w:val="21"/>
              </w:rPr>
            </w:pPr>
            <w:r>
              <w:rPr>
                <w:color w:val="auto"/>
                <w:kern w:val="0"/>
                <w:szCs w:val="21"/>
                <w:lang w:bidi="ar"/>
              </w:rPr>
              <w:t>BOD</w:t>
            </w:r>
            <w:r>
              <w:rPr>
                <w:color w:val="auto"/>
                <w:kern w:val="0"/>
                <w:szCs w:val="21"/>
                <w:vertAlign w:val="subscript"/>
                <w:lang w:bidi="ar"/>
              </w:rPr>
              <w:t>5</w:t>
            </w:r>
          </w:p>
        </w:tc>
        <w:tc>
          <w:tcPr>
            <w:tcW w:w="1767" w:type="dxa"/>
            <w:noWrap w:val="0"/>
            <w:vAlign w:val="center"/>
          </w:tcPr>
          <w:p w14:paraId="633FD3FF">
            <w:pPr>
              <w:jc w:val="center"/>
              <w:rPr>
                <w:rFonts w:hint="eastAsia"/>
                <w:snapToGrid w:val="0"/>
                <w:color w:val="auto"/>
                <w:kern w:val="21"/>
                <w:szCs w:val="21"/>
              </w:rPr>
            </w:pPr>
            <w:r>
              <w:rPr>
                <w:rFonts w:hint="eastAsia"/>
                <w:snapToGrid w:val="0"/>
                <w:color w:val="auto"/>
                <w:kern w:val="21"/>
                <w:szCs w:val="21"/>
              </w:rPr>
              <w:t>/</w:t>
            </w:r>
          </w:p>
        </w:tc>
        <w:tc>
          <w:tcPr>
            <w:tcW w:w="1398" w:type="dxa"/>
            <w:noWrap w:val="0"/>
            <w:vAlign w:val="center"/>
          </w:tcPr>
          <w:p w14:paraId="5F766756">
            <w:pPr>
              <w:jc w:val="center"/>
              <w:rPr>
                <w:rFonts w:hint="eastAsia"/>
                <w:snapToGrid w:val="0"/>
                <w:color w:val="auto"/>
                <w:kern w:val="21"/>
                <w:szCs w:val="21"/>
              </w:rPr>
            </w:pPr>
            <w:r>
              <w:rPr>
                <w:rFonts w:hint="eastAsia"/>
                <w:snapToGrid w:val="0"/>
                <w:color w:val="auto"/>
                <w:kern w:val="21"/>
                <w:szCs w:val="21"/>
              </w:rPr>
              <w:t>/</w:t>
            </w:r>
          </w:p>
        </w:tc>
        <w:tc>
          <w:tcPr>
            <w:tcW w:w="1579" w:type="dxa"/>
            <w:noWrap w:val="0"/>
            <w:vAlign w:val="center"/>
          </w:tcPr>
          <w:p w14:paraId="770EED56">
            <w:pPr>
              <w:jc w:val="center"/>
              <w:rPr>
                <w:rFonts w:hint="eastAsia"/>
                <w:snapToGrid w:val="0"/>
                <w:color w:val="auto"/>
                <w:kern w:val="21"/>
                <w:szCs w:val="21"/>
              </w:rPr>
            </w:pPr>
            <w:r>
              <w:rPr>
                <w:rFonts w:hint="eastAsia"/>
                <w:snapToGrid w:val="0"/>
                <w:color w:val="auto"/>
                <w:kern w:val="21"/>
                <w:szCs w:val="21"/>
              </w:rPr>
              <w:t>/</w:t>
            </w:r>
          </w:p>
        </w:tc>
        <w:tc>
          <w:tcPr>
            <w:tcW w:w="1559" w:type="dxa"/>
            <w:noWrap w:val="0"/>
            <w:vAlign w:val="center"/>
          </w:tcPr>
          <w:p w14:paraId="7543F29E">
            <w:pPr>
              <w:jc w:val="center"/>
              <w:rPr>
                <w:rFonts w:hint="eastAsia"/>
                <w:color w:val="auto"/>
                <w:szCs w:val="21"/>
              </w:rPr>
            </w:pPr>
            <w:r>
              <w:rPr>
                <w:rFonts w:hint="eastAsia"/>
                <w:snapToGrid w:val="0"/>
                <w:color w:val="auto"/>
                <w:kern w:val="21"/>
                <w:szCs w:val="21"/>
              </w:rPr>
              <w:t>0t/a</w:t>
            </w:r>
          </w:p>
        </w:tc>
        <w:tc>
          <w:tcPr>
            <w:tcW w:w="1761" w:type="dxa"/>
            <w:noWrap w:val="0"/>
            <w:vAlign w:val="center"/>
          </w:tcPr>
          <w:p w14:paraId="4DD82205">
            <w:pPr>
              <w:jc w:val="center"/>
              <w:rPr>
                <w:rFonts w:hint="eastAsia"/>
                <w:snapToGrid w:val="0"/>
                <w:color w:val="auto"/>
                <w:kern w:val="21"/>
                <w:szCs w:val="21"/>
              </w:rPr>
            </w:pPr>
            <w:r>
              <w:rPr>
                <w:rFonts w:hint="eastAsia"/>
                <w:snapToGrid w:val="0"/>
                <w:color w:val="auto"/>
                <w:kern w:val="21"/>
                <w:szCs w:val="21"/>
              </w:rPr>
              <w:t>0t/a</w:t>
            </w:r>
          </w:p>
        </w:tc>
        <w:tc>
          <w:tcPr>
            <w:tcW w:w="1640" w:type="dxa"/>
            <w:noWrap w:val="0"/>
            <w:vAlign w:val="center"/>
          </w:tcPr>
          <w:p w14:paraId="00B14F4B">
            <w:pPr>
              <w:jc w:val="center"/>
              <w:rPr>
                <w:rFonts w:hint="eastAsia"/>
                <w:color w:val="auto"/>
                <w:szCs w:val="21"/>
              </w:rPr>
            </w:pPr>
            <w:r>
              <w:rPr>
                <w:rFonts w:hint="eastAsia"/>
                <w:snapToGrid w:val="0"/>
                <w:color w:val="auto"/>
                <w:kern w:val="21"/>
                <w:szCs w:val="21"/>
              </w:rPr>
              <w:t>0t/a</w:t>
            </w:r>
          </w:p>
        </w:tc>
        <w:tc>
          <w:tcPr>
            <w:tcW w:w="1366" w:type="dxa"/>
            <w:noWrap w:val="0"/>
            <w:vAlign w:val="center"/>
          </w:tcPr>
          <w:p w14:paraId="2B151305">
            <w:pPr>
              <w:jc w:val="center"/>
              <w:rPr>
                <w:rFonts w:hint="eastAsia"/>
                <w:color w:val="auto"/>
                <w:szCs w:val="21"/>
              </w:rPr>
            </w:pPr>
            <w:r>
              <w:rPr>
                <w:rFonts w:hint="eastAsia"/>
                <w:snapToGrid w:val="0"/>
                <w:color w:val="auto"/>
                <w:kern w:val="21"/>
                <w:szCs w:val="21"/>
                <w:lang w:val="en-US" w:eastAsia="zh-CN"/>
              </w:rPr>
              <w:t>+</w:t>
            </w:r>
            <w:r>
              <w:rPr>
                <w:rFonts w:hint="eastAsia"/>
                <w:snapToGrid w:val="0"/>
                <w:color w:val="auto"/>
                <w:kern w:val="21"/>
                <w:szCs w:val="21"/>
              </w:rPr>
              <w:t>0t/a</w:t>
            </w:r>
          </w:p>
        </w:tc>
      </w:tr>
      <w:tr w14:paraId="7806A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05C3280A">
            <w:pPr>
              <w:pStyle w:val="68"/>
              <w:spacing w:beforeLines="0" w:afterLines="0" w:line="240" w:lineRule="auto"/>
              <w:rPr>
                <w:rFonts w:ascii="Times New Roman"/>
                <w:b/>
                <w:snapToGrid w:val="0"/>
                <w:kern w:val="21"/>
                <w:szCs w:val="21"/>
              </w:rPr>
            </w:pPr>
          </w:p>
        </w:tc>
        <w:tc>
          <w:tcPr>
            <w:tcW w:w="1980" w:type="dxa"/>
            <w:noWrap w:val="0"/>
            <w:vAlign w:val="center"/>
          </w:tcPr>
          <w:p w14:paraId="64224B4C">
            <w:pPr>
              <w:widowControl/>
              <w:jc w:val="center"/>
              <w:textAlignment w:val="center"/>
              <w:rPr>
                <w:color w:val="auto"/>
                <w:szCs w:val="21"/>
              </w:rPr>
            </w:pPr>
            <w:r>
              <w:rPr>
                <w:color w:val="auto"/>
                <w:kern w:val="0"/>
                <w:szCs w:val="21"/>
                <w:lang w:bidi="ar"/>
              </w:rPr>
              <w:t>SS</w:t>
            </w:r>
          </w:p>
        </w:tc>
        <w:tc>
          <w:tcPr>
            <w:tcW w:w="1767" w:type="dxa"/>
            <w:noWrap w:val="0"/>
            <w:vAlign w:val="center"/>
          </w:tcPr>
          <w:p w14:paraId="14D2882D">
            <w:pPr>
              <w:jc w:val="center"/>
              <w:rPr>
                <w:rFonts w:hint="eastAsia"/>
                <w:snapToGrid w:val="0"/>
                <w:color w:val="auto"/>
                <w:kern w:val="21"/>
                <w:szCs w:val="21"/>
              </w:rPr>
            </w:pPr>
            <w:r>
              <w:rPr>
                <w:rFonts w:hint="eastAsia"/>
                <w:snapToGrid w:val="0"/>
                <w:color w:val="auto"/>
                <w:kern w:val="21"/>
                <w:szCs w:val="21"/>
              </w:rPr>
              <w:t>/</w:t>
            </w:r>
          </w:p>
        </w:tc>
        <w:tc>
          <w:tcPr>
            <w:tcW w:w="1398" w:type="dxa"/>
            <w:noWrap w:val="0"/>
            <w:vAlign w:val="center"/>
          </w:tcPr>
          <w:p w14:paraId="3C7E2642">
            <w:pPr>
              <w:jc w:val="center"/>
              <w:rPr>
                <w:rFonts w:hint="eastAsia"/>
                <w:snapToGrid w:val="0"/>
                <w:color w:val="auto"/>
                <w:kern w:val="21"/>
                <w:szCs w:val="21"/>
              </w:rPr>
            </w:pPr>
            <w:r>
              <w:rPr>
                <w:rFonts w:hint="eastAsia"/>
                <w:snapToGrid w:val="0"/>
                <w:color w:val="auto"/>
                <w:kern w:val="21"/>
                <w:szCs w:val="21"/>
              </w:rPr>
              <w:t>/</w:t>
            </w:r>
          </w:p>
        </w:tc>
        <w:tc>
          <w:tcPr>
            <w:tcW w:w="1579" w:type="dxa"/>
            <w:noWrap w:val="0"/>
            <w:vAlign w:val="center"/>
          </w:tcPr>
          <w:p w14:paraId="3497D510">
            <w:pPr>
              <w:jc w:val="center"/>
              <w:rPr>
                <w:rFonts w:hint="eastAsia"/>
                <w:snapToGrid w:val="0"/>
                <w:color w:val="auto"/>
                <w:kern w:val="21"/>
                <w:szCs w:val="21"/>
              </w:rPr>
            </w:pPr>
            <w:r>
              <w:rPr>
                <w:rFonts w:hint="eastAsia"/>
                <w:snapToGrid w:val="0"/>
                <w:color w:val="auto"/>
                <w:kern w:val="21"/>
                <w:szCs w:val="21"/>
              </w:rPr>
              <w:t>/</w:t>
            </w:r>
          </w:p>
        </w:tc>
        <w:tc>
          <w:tcPr>
            <w:tcW w:w="1559" w:type="dxa"/>
            <w:noWrap w:val="0"/>
            <w:vAlign w:val="center"/>
          </w:tcPr>
          <w:p w14:paraId="17A97FC8">
            <w:pPr>
              <w:jc w:val="center"/>
              <w:rPr>
                <w:color w:val="auto"/>
                <w:szCs w:val="21"/>
              </w:rPr>
            </w:pPr>
            <w:r>
              <w:rPr>
                <w:rFonts w:hint="eastAsia"/>
                <w:snapToGrid w:val="0"/>
                <w:color w:val="auto"/>
                <w:kern w:val="21"/>
                <w:szCs w:val="21"/>
              </w:rPr>
              <w:t>0t/a</w:t>
            </w:r>
          </w:p>
        </w:tc>
        <w:tc>
          <w:tcPr>
            <w:tcW w:w="1761" w:type="dxa"/>
            <w:noWrap w:val="0"/>
            <w:vAlign w:val="center"/>
          </w:tcPr>
          <w:p w14:paraId="3A774C06">
            <w:pPr>
              <w:jc w:val="center"/>
              <w:rPr>
                <w:rFonts w:hint="eastAsia"/>
                <w:snapToGrid w:val="0"/>
                <w:color w:val="auto"/>
                <w:kern w:val="21"/>
                <w:szCs w:val="21"/>
              </w:rPr>
            </w:pPr>
            <w:r>
              <w:rPr>
                <w:rFonts w:hint="eastAsia"/>
                <w:snapToGrid w:val="0"/>
                <w:color w:val="auto"/>
                <w:kern w:val="21"/>
                <w:szCs w:val="21"/>
              </w:rPr>
              <w:t>0t/a</w:t>
            </w:r>
          </w:p>
        </w:tc>
        <w:tc>
          <w:tcPr>
            <w:tcW w:w="1640" w:type="dxa"/>
            <w:noWrap w:val="0"/>
            <w:vAlign w:val="center"/>
          </w:tcPr>
          <w:p w14:paraId="1F610F78">
            <w:pPr>
              <w:jc w:val="center"/>
              <w:rPr>
                <w:rFonts w:hint="eastAsia"/>
                <w:color w:val="auto"/>
                <w:szCs w:val="21"/>
              </w:rPr>
            </w:pPr>
            <w:r>
              <w:rPr>
                <w:rFonts w:hint="eastAsia"/>
                <w:snapToGrid w:val="0"/>
                <w:color w:val="auto"/>
                <w:kern w:val="21"/>
                <w:szCs w:val="21"/>
              </w:rPr>
              <w:t>0t/a</w:t>
            </w:r>
          </w:p>
        </w:tc>
        <w:tc>
          <w:tcPr>
            <w:tcW w:w="1366" w:type="dxa"/>
            <w:noWrap w:val="0"/>
            <w:vAlign w:val="center"/>
          </w:tcPr>
          <w:p w14:paraId="7C953FFC">
            <w:pPr>
              <w:jc w:val="center"/>
              <w:rPr>
                <w:color w:val="auto"/>
                <w:szCs w:val="21"/>
              </w:rPr>
            </w:pPr>
            <w:r>
              <w:rPr>
                <w:rFonts w:hint="eastAsia"/>
                <w:snapToGrid w:val="0"/>
                <w:color w:val="auto"/>
                <w:kern w:val="21"/>
                <w:szCs w:val="21"/>
                <w:lang w:val="en-US" w:eastAsia="zh-CN"/>
              </w:rPr>
              <w:t>+</w:t>
            </w:r>
            <w:r>
              <w:rPr>
                <w:rFonts w:hint="eastAsia"/>
                <w:snapToGrid w:val="0"/>
                <w:color w:val="auto"/>
                <w:kern w:val="21"/>
                <w:szCs w:val="21"/>
              </w:rPr>
              <w:t>0t/a</w:t>
            </w:r>
          </w:p>
        </w:tc>
      </w:tr>
      <w:tr w14:paraId="6CB55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10DDAF77">
            <w:pPr>
              <w:pStyle w:val="68"/>
              <w:spacing w:beforeLines="0" w:afterLines="0" w:line="240" w:lineRule="auto"/>
              <w:rPr>
                <w:rFonts w:ascii="Times New Roman"/>
                <w:b/>
                <w:snapToGrid w:val="0"/>
                <w:kern w:val="21"/>
                <w:szCs w:val="21"/>
              </w:rPr>
            </w:pPr>
          </w:p>
        </w:tc>
        <w:tc>
          <w:tcPr>
            <w:tcW w:w="1980" w:type="dxa"/>
            <w:noWrap w:val="0"/>
            <w:vAlign w:val="center"/>
          </w:tcPr>
          <w:p w14:paraId="25119FA6">
            <w:pPr>
              <w:widowControl/>
              <w:jc w:val="center"/>
              <w:textAlignment w:val="center"/>
              <w:rPr>
                <w:rFonts w:hint="eastAsia"/>
                <w:color w:val="auto"/>
                <w:szCs w:val="21"/>
              </w:rPr>
            </w:pPr>
            <w:r>
              <w:rPr>
                <w:color w:val="auto"/>
                <w:kern w:val="0"/>
                <w:szCs w:val="21"/>
                <w:lang w:bidi="ar"/>
              </w:rPr>
              <w:t>NH</w:t>
            </w:r>
            <w:r>
              <w:rPr>
                <w:color w:val="auto"/>
                <w:kern w:val="0"/>
                <w:szCs w:val="21"/>
                <w:vertAlign w:val="subscript"/>
                <w:lang w:bidi="ar"/>
              </w:rPr>
              <w:t>3</w:t>
            </w:r>
            <w:r>
              <w:rPr>
                <w:color w:val="auto"/>
                <w:kern w:val="0"/>
                <w:szCs w:val="21"/>
                <w:lang w:bidi="ar"/>
              </w:rPr>
              <w:t>-N</w:t>
            </w:r>
          </w:p>
        </w:tc>
        <w:tc>
          <w:tcPr>
            <w:tcW w:w="1767" w:type="dxa"/>
            <w:noWrap w:val="0"/>
            <w:vAlign w:val="center"/>
          </w:tcPr>
          <w:p w14:paraId="2D9FA450">
            <w:pPr>
              <w:jc w:val="center"/>
              <w:rPr>
                <w:rFonts w:hint="eastAsia"/>
                <w:snapToGrid w:val="0"/>
                <w:color w:val="auto"/>
                <w:kern w:val="21"/>
                <w:szCs w:val="21"/>
              </w:rPr>
            </w:pPr>
            <w:r>
              <w:rPr>
                <w:rFonts w:hint="eastAsia"/>
                <w:snapToGrid w:val="0"/>
                <w:color w:val="auto"/>
                <w:kern w:val="21"/>
                <w:szCs w:val="21"/>
              </w:rPr>
              <w:t>/</w:t>
            </w:r>
          </w:p>
        </w:tc>
        <w:tc>
          <w:tcPr>
            <w:tcW w:w="1398" w:type="dxa"/>
            <w:noWrap w:val="0"/>
            <w:vAlign w:val="center"/>
          </w:tcPr>
          <w:p w14:paraId="6A7DECDF">
            <w:pPr>
              <w:jc w:val="center"/>
              <w:rPr>
                <w:rFonts w:hint="eastAsia"/>
                <w:snapToGrid w:val="0"/>
                <w:color w:val="auto"/>
                <w:kern w:val="21"/>
                <w:szCs w:val="21"/>
              </w:rPr>
            </w:pPr>
            <w:r>
              <w:rPr>
                <w:rFonts w:hint="eastAsia"/>
                <w:snapToGrid w:val="0"/>
                <w:color w:val="auto"/>
                <w:kern w:val="21"/>
                <w:szCs w:val="21"/>
              </w:rPr>
              <w:t>/</w:t>
            </w:r>
          </w:p>
        </w:tc>
        <w:tc>
          <w:tcPr>
            <w:tcW w:w="1579" w:type="dxa"/>
            <w:noWrap w:val="0"/>
            <w:vAlign w:val="center"/>
          </w:tcPr>
          <w:p w14:paraId="73BA668A">
            <w:pPr>
              <w:jc w:val="center"/>
              <w:rPr>
                <w:rFonts w:hint="eastAsia"/>
                <w:snapToGrid w:val="0"/>
                <w:color w:val="auto"/>
                <w:kern w:val="21"/>
                <w:szCs w:val="21"/>
              </w:rPr>
            </w:pPr>
            <w:r>
              <w:rPr>
                <w:rFonts w:hint="eastAsia"/>
                <w:snapToGrid w:val="0"/>
                <w:color w:val="auto"/>
                <w:kern w:val="21"/>
                <w:szCs w:val="21"/>
              </w:rPr>
              <w:t>/</w:t>
            </w:r>
          </w:p>
        </w:tc>
        <w:tc>
          <w:tcPr>
            <w:tcW w:w="1559" w:type="dxa"/>
            <w:noWrap w:val="0"/>
            <w:vAlign w:val="center"/>
          </w:tcPr>
          <w:p w14:paraId="197DABC6">
            <w:pPr>
              <w:jc w:val="center"/>
              <w:rPr>
                <w:color w:val="auto"/>
                <w:szCs w:val="21"/>
              </w:rPr>
            </w:pPr>
            <w:r>
              <w:rPr>
                <w:rFonts w:hint="eastAsia"/>
                <w:snapToGrid w:val="0"/>
                <w:color w:val="auto"/>
                <w:kern w:val="21"/>
                <w:szCs w:val="21"/>
              </w:rPr>
              <w:t>0t/a</w:t>
            </w:r>
          </w:p>
        </w:tc>
        <w:tc>
          <w:tcPr>
            <w:tcW w:w="1761" w:type="dxa"/>
            <w:noWrap w:val="0"/>
            <w:vAlign w:val="center"/>
          </w:tcPr>
          <w:p w14:paraId="1BD602AD">
            <w:pPr>
              <w:jc w:val="center"/>
              <w:rPr>
                <w:rFonts w:hint="eastAsia"/>
                <w:snapToGrid w:val="0"/>
                <w:color w:val="auto"/>
                <w:kern w:val="21"/>
                <w:szCs w:val="21"/>
              </w:rPr>
            </w:pPr>
            <w:r>
              <w:rPr>
                <w:rFonts w:hint="eastAsia"/>
                <w:snapToGrid w:val="0"/>
                <w:color w:val="auto"/>
                <w:kern w:val="21"/>
                <w:szCs w:val="21"/>
              </w:rPr>
              <w:t>0t/a</w:t>
            </w:r>
          </w:p>
        </w:tc>
        <w:tc>
          <w:tcPr>
            <w:tcW w:w="1640" w:type="dxa"/>
            <w:noWrap w:val="0"/>
            <w:vAlign w:val="center"/>
          </w:tcPr>
          <w:p w14:paraId="218985DE">
            <w:pPr>
              <w:jc w:val="center"/>
              <w:rPr>
                <w:rFonts w:hint="eastAsia"/>
                <w:color w:val="auto"/>
                <w:szCs w:val="21"/>
              </w:rPr>
            </w:pPr>
            <w:r>
              <w:rPr>
                <w:rFonts w:hint="eastAsia"/>
                <w:snapToGrid w:val="0"/>
                <w:color w:val="auto"/>
                <w:kern w:val="21"/>
                <w:szCs w:val="21"/>
              </w:rPr>
              <w:t>0t/a</w:t>
            </w:r>
          </w:p>
        </w:tc>
        <w:tc>
          <w:tcPr>
            <w:tcW w:w="1366" w:type="dxa"/>
            <w:noWrap w:val="0"/>
            <w:vAlign w:val="center"/>
          </w:tcPr>
          <w:p w14:paraId="27083CDD">
            <w:pPr>
              <w:jc w:val="center"/>
              <w:rPr>
                <w:color w:val="auto"/>
                <w:szCs w:val="21"/>
              </w:rPr>
            </w:pPr>
            <w:r>
              <w:rPr>
                <w:rFonts w:hint="eastAsia"/>
                <w:snapToGrid w:val="0"/>
                <w:color w:val="auto"/>
                <w:kern w:val="21"/>
                <w:szCs w:val="21"/>
                <w:lang w:val="en-US" w:eastAsia="zh-CN"/>
              </w:rPr>
              <w:t>+</w:t>
            </w:r>
            <w:r>
              <w:rPr>
                <w:rFonts w:hint="eastAsia"/>
                <w:snapToGrid w:val="0"/>
                <w:color w:val="auto"/>
                <w:kern w:val="21"/>
                <w:szCs w:val="21"/>
              </w:rPr>
              <w:t>0t/a</w:t>
            </w:r>
          </w:p>
        </w:tc>
      </w:tr>
      <w:tr w14:paraId="221EE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noWrap w:val="0"/>
            <w:vAlign w:val="center"/>
          </w:tcPr>
          <w:p w14:paraId="1214FF78">
            <w:pPr>
              <w:pStyle w:val="68"/>
              <w:spacing w:beforeLines="0" w:afterLines="0" w:line="240" w:lineRule="auto"/>
              <w:rPr>
                <w:rFonts w:ascii="Times New Roman"/>
                <w:b/>
                <w:snapToGrid w:val="0"/>
                <w:kern w:val="21"/>
                <w:szCs w:val="21"/>
              </w:rPr>
            </w:pPr>
            <w:r>
              <w:rPr>
                <w:rFonts w:ascii="Times New Roman"/>
                <w:b/>
                <w:snapToGrid w:val="0"/>
                <w:kern w:val="21"/>
                <w:szCs w:val="21"/>
              </w:rPr>
              <w:t>一般固体废物</w:t>
            </w:r>
          </w:p>
        </w:tc>
        <w:tc>
          <w:tcPr>
            <w:tcW w:w="1980" w:type="dxa"/>
            <w:noWrap w:val="0"/>
            <w:vAlign w:val="center"/>
          </w:tcPr>
          <w:p w14:paraId="28CC243C">
            <w:pPr>
              <w:widowControl/>
              <w:jc w:val="center"/>
              <w:rPr>
                <w:rFonts w:hint="eastAsia"/>
                <w:kern w:val="0"/>
                <w:szCs w:val="21"/>
                <w:lang w:bidi="ar"/>
              </w:rPr>
            </w:pPr>
            <w:r>
              <w:rPr>
                <w:rFonts w:hint="eastAsia"/>
                <w:kern w:val="0"/>
                <w:szCs w:val="21"/>
                <w:lang w:bidi="ar"/>
              </w:rPr>
              <w:t>生活垃圾</w:t>
            </w:r>
          </w:p>
        </w:tc>
        <w:tc>
          <w:tcPr>
            <w:tcW w:w="1767" w:type="dxa"/>
            <w:noWrap w:val="0"/>
            <w:vAlign w:val="center"/>
          </w:tcPr>
          <w:p w14:paraId="5071B3DF">
            <w:pPr>
              <w:jc w:val="center"/>
              <w:rPr>
                <w:rFonts w:hint="eastAsia"/>
                <w:snapToGrid w:val="0"/>
                <w:kern w:val="21"/>
                <w:szCs w:val="21"/>
              </w:rPr>
            </w:pPr>
            <w:r>
              <w:rPr>
                <w:rFonts w:hint="eastAsia"/>
                <w:snapToGrid w:val="0"/>
                <w:kern w:val="21"/>
                <w:szCs w:val="21"/>
              </w:rPr>
              <w:t>/</w:t>
            </w:r>
          </w:p>
        </w:tc>
        <w:tc>
          <w:tcPr>
            <w:tcW w:w="1398" w:type="dxa"/>
            <w:noWrap w:val="0"/>
            <w:vAlign w:val="center"/>
          </w:tcPr>
          <w:p w14:paraId="79A317BF">
            <w:pPr>
              <w:jc w:val="center"/>
              <w:rPr>
                <w:rFonts w:hint="eastAsia"/>
                <w:snapToGrid w:val="0"/>
                <w:kern w:val="21"/>
                <w:szCs w:val="21"/>
              </w:rPr>
            </w:pPr>
            <w:r>
              <w:rPr>
                <w:rFonts w:hint="eastAsia"/>
                <w:snapToGrid w:val="0"/>
                <w:kern w:val="21"/>
                <w:szCs w:val="21"/>
              </w:rPr>
              <w:t>/</w:t>
            </w:r>
          </w:p>
        </w:tc>
        <w:tc>
          <w:tcPr>
            <w:tcW w:w="1579" w:type="dxa"/>
            <w:noWrap w:val="0"/>
            <w:vAlign w:val="center"/>
          </w:tcPr>
          <w:p w14:paraId="1BA3FB3E">
            <w:pPr>
              <w:jc w:val="center"/>
              <w:rPr>
                <w:rFonts w:hint="eastAsia"/>
                <w:snapToGrid w:val="0"/>
                <w:kern w:val="21"/>
                <w:szCs w:val="21"/>
              </w:rPr>
            </w:pPr>
            <w:r>
              <w:rPr>
                <w:rFonts w:hint="eastAsia"/>
                <w:snapToGrid w:val="0"/>
                <w:kern w:val="21"/>
                <w:szCs w:val="21"/>
              </w:rPr>
              <w:t>/</w:t>
            </w:r>
          </w:p>
        </w:tc>
        <w:tc>
          <w:tcPr>
            <w:tcW w:w="1559" w:type="dxa"/>
            <w:noWrap w:val="0"/>
            <w:vAlign w:val="center"/>
          </w:tcPr>
          <w:p w14:paraId="072CF9D0">
            <w:pPr>
              <w:jc w:val="center"/>
              <w:rPr>
                <w:rFonts w:hint="default" w:eastAsia="宋体"/>
                <w:snapToGrid w:val="0"/>
                <w:kern w:val="21"/>
                <w:szCs w:val="21"/>
                <w:lang w:val="en-US" w:eastAsia="zh-CN"/>
              </w:rPr>
            </w:pPr>
            <w:r>
              <w:rPr>
                <w:rFonts w:hint="eastAsia"/>
                <w:snapToGrid w:val="0"/>
                <w:kern w:val="21"/>
                <w:szCs w:val="21"/>
                <w:lang w:val="en-US" w:eastAsia="zh-CN"/>
              </w:rPr>
              <w:t>1.35</w:t>
            </w:r>
            <w:r>
              <w:rPr>
                <w:rFonts w:hint="eastAsia"/>
                <w:snapToGrid w:val="0"/>
                <w:kern w:val="21"/>
                <w:szCs w:val="21"/>
              </w:rPr>
              <w:t>t/a</w:t>
            </w:r>
          </w:p>
        </w:tc>
        <w:tc>
          <w:tcPr>
            <w:tcW w:w="1761" w:type="dxa"/>
            <w:shd w:val="clear" w:color="auto" w:fill="auto"/>
            <w:noWrap w:val="0"/>
            <w:vAlign w:val="center"/>
          </w:tcPr>
          <w:p w14:paraId="2D886C0D">
            <w:pPr>
              <w:jc w:val="center"/>
              <w:rPr>
                <w:rFonts w:hint="eastAsia" w:ascii="Times New Roman" w:hAnsi="Times New Roman" w:eastAsia="宋体" w:cs="Times New Roman"/>
                <w:snapToGrid w:val="0"/>
                <w:kern w:val="21"/>
                <w:sz w:val="21"/>
                <w:szCs w:val="21"/>
                <w:lang w:val="en-US" w:eastAsia="zh-CN" w:bidi="ar-SA"/>
              </w:rPr>
            </w:pPr>
            <w:r>
              <w:rPr>
                <w:rFonts w:hint="eastAsia"/>
                <w:snapToGrid w:val="0"/>
                <w:kern w:val="21"/>
                <w:szCs w:val="21"/>
              </w:rPr>
              <w:t>0t/a</w:t>
            </w:r>
          </w:p>
        </w:tc>
        <w:tc>
          <w:tcPr>
            <w:tcW w:w="1640" w:type="dxa"/>
            <w:shd w:val="clear" w:color="auto" w:fill="auto"/>
            <w:noWrap w:val="0"/>
            <w:vAlign w:val="center"/>
          </w:tcPr>
          <w:p w14:paraId="2F0068A8">
            <w:pPr>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Cs w:val="21"/>
                <w:lang w:val="en-US" w:eastAsia="zh-CN"/>
              </w:rPr>
              <w:t>1.35</w:t>
            </w:r>
            <w:r>
              <w:rPr>
                <w:rFonts w:hint="eastAsia"/>
                <w:snapToGrid w:val="0"/>
                <w:kern w:val="21"/>
                <w:szCs w:val="21"/>
              </w:rPr>
              <w:t>t/a</w:t>
            </w:r>
          </w:p>
        </w:tc>
        <w:tc>
          <w:tcPr>
            <w:tcW w:w="1366" w:type="dxa"/>
            <w:shd w:val="clear" w:color="auto" w:fill="auto"/>
            <w:noWrap w:val="0"/>
            <w:vAlign w:val="center"/>
          </w:tcPr>
          <w:p w14:paraId="23387D45">
            <w:pPr>
              <w:jc w:val="center"/>
              <w:rPr>
                <w:rFonts w:hint="default" w:ascii="Times New Roman" w:hAnsi="Times New Roman" w:eastAsia="宋体" w:cs="Times New Roman"/>
                <w:snapToGrid w:val="0"/>
                <w:kern w:val="21"/>
                <w:sz w:val="21"/>
                <w:szCs w:val="21"/>
                <w:lang w:val="en-US" w:eastAsia="zh-CN" w:bidi="ar-SA"/>
              </w:rPr>
            </w:pPr>
            <w:r>
              <w:rPr>
                <w:rFonts w:hint="eastAsia"/>
                <w:snapToGrid w:val="0"/>
                <w:kern w:val="21"/>
                <w:szCs w:val="21"/>
                <w:lang w:val="en-US" w:eastAsia="zh-CN"/>
              </w:rPr>
              <w:t>+1.35</w:t>
            </w:r>
            <w:r>
              <w:rPr>
                <w:rFonts w:hint="eastAsia"/>
                <w:snapToGrid w:val="0"/>
                <w:kern w:val="21"/>
                <w:szCs w:val="21"/>
              </w:rPr>
              <w:t>t/a</w:t>
            </w:r>
          </w:p>
        </w:tc>
      </w:tr>
      <w:tr w14:paraId="78350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4CE78866">
            <w:pPr>
              <w:pStyle w:val="68"/>
              <w:spacing w:beforeLines="0" w:afterLines="0" w:line="240" w:lineRule="auto"/>
              <w:rPr>
                <w:rFonts w:ascii="Times New Roman"/>
                <w:b/>
                <w:snapToGrid w:val="0"/>
                <w:kern w:val="21"/>
                <w:szCs w:val="21"/>
              </w:rPr>
            </w:pPr>
          </w:p>
        </w:tc>
        <w:tc>
          <w:tcPr>
            <w:tcW w:w="1980" w:type="dxa"/>
            <w:noWrap w:val="0"/>
            <w:vAlign w:val="center"/>
          </w:tcPr>
          <w:p w14:paraId="43D5E4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rPr>
            </w:pPr>
            <w:r>
              <w:rPr>
                <w:rFonts w:hint="eastAsia" w:ascii="Calibri" w:hAnsi="Calibri" w:cs="Calibri"/>
                <w:color w:val="000000"/>
                <w:sz w:val="21"/>
                <w:szCs w:val="21"/>
              </w:rPr>
              <w:t>废包装材料</w:t>
            </w:r>
          </w:p>
        </w:tc>
        <w:tc>
          <w:tcPr>
            <w:tcW w:w="1767" w:type="dxa"/>
            <w:noWrap w:val="0"/>
            <w:vAlign w:val="center"/>
          </w:tcPr>
          <w:p w14:paraId="156AAA75">
            <w:pPr>
              <w:jc w:val="center"/>
              <w:rPr>
                <w:rFonts w:hint="eastAsia"/>
                <w:snapToGrid w:val="0"/>
                <w:kern w:val="21"/>
                <w:szCs w:val="21"/>
              </w:rPr>
            </w:pPr>
            <w:r>
              <w:rPr>
                <w:rFonts w:hint="eastAsia"/>
                <w:snapToGrid w:val="0"/>
                <w:kern w:val="21"/>
                <w:szCs w:val="21"/>
                <w:lang w:val="en-US" w:eastAsia="zh-CN"/>
              </w:rPr>
              <w:t>/</w:t>
            </w:r>
          </w:p>
        </w:tc>
        <w:tc>
          <w:tcPr>
            <w:tcW w:w="1398" w:type="dxa"/>
            <w:noWrap w:val="0"/>
            <w:vAlign w:val="center"/>
          </w:tcPr>
          <w:p w14:paraId="4252C34E">
            <w:pPr>
              <w:jc w:val="center"/>
              <w:rPr>
                <w:rFonts w:hint="eastAsia" w:eastAsia="宋体"/>
                <w:snapToGrid w:val="0"/>
                <w:kern w:val="21"/>
                <w:szCs w:val="21"/>
                <w:lang w:val="en-US" w:eastAsia="zh-CN"/>
              </w:rPr>
            </w:pPr>
            <w:r>
              <w:rPr>
                <w:rFonts w:hint="eastAsia"/>
                <w:snapToGrid w:val="0"/>
                <w:kern w:val="21"/>
                <w:szCs w:val="21"/>
                <w:lang w:val="en-US" w:eastAsia="zh-CN"/>
              </w:rPr>
              <w:t>/</w:t>
            </w:r>
          </w:p>
        </w:tc>
        <w:tc>
          <w:tcPr>
            <w:tcW w:w="1579" w:type="dxa"/>
            <w:noWrap w:val="0"/>
            <w:vAlign w:val="center"/>
          </w:tcPr>
          <w:p w14:paraId="123D27BF">
            <w:pPr>
              <w:jc w:val="center"/>
              <w:rPr>
                <w:rFonts w:hint="eastAsia" w:eastAsia="宋体"/>
                <w:snapToGrid w:val="0"/>
                <w:kern w:val="21"/>
                <w:szCs w:val="21"/>
                <w:lang w:val="en-US" w:eastAsia="zh-CN"/>
              </w:rPr>
            </w:pPr>
            <w:r>
              <w:rPr>
                <w:rFonts w:hint="eastAsia"/>
                <w:snapToGrid w:val="0"/>
                <w:kern w:val="21"/>
                <w:szCs w:val="21"/>
                <w:lang w:val="en-US" w:eastAsia="zh-CN"/>
              </w:rPr>
              <w:t>/</w:t>
            </w:r>
          </w:p>
        </w:tc>
        <w:tc>
          <w:tcPr>
            <w:tcW w:w="1559" w:type="dxa"/>
            <w:noWrap w:val="0"/>
            <w:vAlign w:val="center"/>
          </w:tcPr>
          <w:p w14:paraId="3A3FEB37">
            <w:pPr>
              <w:jc w:val="center"/>
              <w:rPr>
                <w:rFonts w:hint="default" w:eastAsia="宋体"/>
                <w:szCs w:val="21"/>
                <w:lang w:val="en-US" w:eastAsia="zh-CN"/>
              </w:rPr>
            </w:pPr>
            <w:r>
              <w:rPr>
                <w:rFonts w:hint="eastAsia"/>
                <w:szCs w:val="21"/>
                <w:lang w:val="en-US" w:eastAsia="zh-CN"/>
              </w:rPr>
              <w:t>6.5</w:t>
            </w:r>
            <w:r>
              <w:rPr>
                <w:rFonts w:hint="eastAsia"/>
                <w:snapToGrid w:val="0"/>
                <w:kern w:val="21"/>
                <w:szCs w:val="21"/>
              </w:rPr>
              <w:t>t/a</w:t>
            </w:r>
          </w:p>
        </w:tc>
        <w:tc>
          <w:tcPr>
            <w:tcW w:w="1761" w:type="dxa"/>
            <w:shd w:val="clear" w:color="auto" w:fill="auto"/>
            <w:noWrap w:val="0"/>
            <w:vAlign w:val="top"/>
          </w:tcPr>
          <w:p w14:paraId="547B3E4D">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noWrap w:val="0"/>
            <w:vAlign w:val="center"/>
          </w:tcPr>
          <w:p w14:paraId="6EF2C342">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6.5</w:t>
            </w:r>
            <w:r>
              <w:rPr>
                <w:rFonts w:hint="eastAsia"/>
                <w:snapToGrid w:val="0"/>
                <w:kern w:val="21"/>
                <w:szCs w:val="21"/>
              </w:rPr>
              <w:t>t/a</w:t>
            </w:r>
          </w:p>
        </w:tc>
        <w:tc>
          <w:tcPr>
            <w:tcW w:w="1366" w:type="dxa"/>
            <w:shd w:val="clear" w:color="auto" w:fill="auto"/>
            <w:noWrap w:val="0"/>
            <w:vAlign w:val="center"/>
          </w:tcPr>
          <w:p w14:paraId="31455373">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+6.5</w:t>
            </w:r>
            <w:r>
              <w:rPr>
                <w:rFonts w:hint="eastAsia"/>
                <w:snapToGrid w:val="0"/>
                <w:kern w:val="21"/>
                <w:szCs w:val="21"/>
              </w:rPr>
              <w:t>t/a</w:t>
            </w:r>
          </w:p>
        </w:tc>
      </w:tr>
      <w:tr w14:paraId="53816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2E534174">
            <w:pPr>
              <w:pStyle w:val="68"/>
              <w:spacing w:beforeLines="0" w:afterLines="0" w:line="240" w:lineRule="auto"/>
              <w:rPr>
                <w:rFonts w:ascii="Times New Roman"/>
                <w:b/>
                <w:snapToGrid w:val="0"/>
                <w:kern w:val="21"/>
                <w:szCs w:val="21"/>
              </w:rPr>
            </w:pPr>
          </w:p>
        </w:tc>
        <w:tc>
          <w:tcPr>
            <w:tcW w:w="1980" w:type="dxa"/>
            <w:noWrap w:val="0"/>
            <w:vAlign w:val="center"/>
          </w:tcPr>
          <w:p w14:paraId="29AFFB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lang w:val="zh-CN"/>
              </w:rPr>
            </w:pPr>
            <w:r>
              <w:rPr>
                <w:rFonts w:hint="eastAsia"/>
                <w:color w:val="000000"/>
                <w:sz w:val="21"/>
                <w:szCs w:val="21"/>
                <w:lang w:val="en-US" w:eastAsia="zh-CN"/>
              </w:rPr>
              <w:t>熔融残渣</w:t>
            </w:r>
          </w:p>
        </w:tc>
        <w:tc>
          <w:tcPr>
            <w:tcW w:w="1767" w:type="dxa"/>
            <w:noWrap w:val="0"/>
            <w:vAlign w:val="center"/>
          </w:tcPr>
          <w:p w14:paraId="615501A3">
            <w:pPr>
              <w:jc w:val="center"/>
              <w:rPr>
                <w:rFonts w:hint="eastAsia"/>
                <w:snapToGrid w:val="0"/>
                <w:kern w:val="21"/>
                <w:szCs w:val="21"/>
              </w:rPr>
            </w:pPr>
            <w:r>
              <w:rPr>
                <w:rFonts w:hint="eastAsia"/>
                <w:snapToGrid w:val="0"/>
                <w:kern w:val="21"/>
                <w:szCs w:val="21"/>
              </w:rPr>
              <w:t>/</w:t>
            </w:r>
          </w:p>
        </w:tc>
        <w:tc>
          <w:tcPr>
            <w:tcW w:w="1398" w:type="dxa"/>
            <w:noWrap w:val="0"/>
            <w:vAlign w:val="center"/>
          </w:tcPr>
          <w:p w14:paraId="22AF04EE">
            <w:pPr>
              <w:jc w:val="center"/>
              <w:rPr>
                <w:rFonts w:hint="eastAsia"/>
                <w:snapToGrid w:val="0"/>
                <w:kern w:val="21"/>
                <w:szCs w:val="21"/>
              </w:rPr>
            </w:pPr>
            <w:r>
              <w:rPr>
                <w:rFonts w:hint="eastAsia"/>
                <w:snapToGrid w:val="0"/>
                <w:kern w:val="21"/>
                <w:szCs w:val="21"/>
              </w:rPr>
              <w:t>/</w:t>
            </w:r>
          </w:p>
        </w:tc>
        <w:tc>
          <w:tcPr>
            <w:tcW w:w="1579" w:type="dxa"/>
            <w:noWrap w:val="0"/>
            <w:vAlign w:val="center"/>
          </w:tcPr>
          <w:p w14:paraId="645DF640">
            <w:pPr>
              <w:jc w:val="center"/>
              <w:rPr>
                <w:rFonts w:hint="eastAsia"/>
                <w:snapToGrid w:val="0"/>
                <w:kern w:val="21"/>
                <w:szCs w:val="21"/>
              </w:rPr>
            </w:pPr>
            <w:r>
              <w:rPr>
                <w:rFonts w:hint="eastAsia"/>
                <w:snapToGrid w:val="0"/>
                <w:kern w:val="21"/>
                <w:szCs w:val="21"/>
              </w:rPr>
              <w:t>/</w:t>
            </w:r>
          </w:p>
        </w:tc>
        <w:tc>
          <w:tcPr>
            <w:tcW w:w="1559" w:type="dxa"/>
            <w:noWrap w:val="0"/>
            <w:vAlign w:val="center"/>
          </w:tcPr>
          <w:p w14:paraId="6A5DBC57">
            <w:pPr>
              <w:jc w:val="center"/>
              <w:rPr>
                <w:rFonts w:hint="default" w:eastAsia="宋体"/>
                <w:szCs w:val="21"/>
                <w:lang w:val="en-US" w:eastAsia="zh-CN"/>
              </w:rPr>
            </w:pPr>
            <w:r>
              <w:rPr>
                <w:rFonts w:hint="eastAsia"/>
                <w:szCs w:val="21"/>
                <w:lang w:val="en-US" w:eastAsia="zh-CN"/>
              </w:rPr>
              <w:t>0.1</w:t>
            </w:r>
            <w:r>
              <w:rPr>
                <w:rFonts w:hint="eastAsia"/>
                <w:snapToGrid w:val="0"/>
                <w:kern w:val="21"/>
                <w:szCs w:val="21"/>
              </w:rPr>
              <w:t>t/a</w:t>
            </w:r>
          </w:p>
        </w:tc>
        <w:tc>
          <w:tcPr>
            <w:tcW w:w="1761" w:type="dxa"/>
            <w:shd w:val="clear" w:color="auto" w:fill="auto"/>
            <w:noWrap w:val="0"/>
            <w:vAlign w:val="center"/>
          </w:tcPr>
          <w:p w14:paraId="006DFB2F">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noWrap w:val="0"/>
            <w:vAlign w:val="center"/>
          </w:tcPr>
          <w:p w14:paraId="0B85A32E">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0.1</w:t>
            </w:r>
            <w:r>
              <w:rPr>
                <w:rFonts w:hint="eastAsia"/>
                <w:snapToGrid w:val="0"/>
                <w:kern w:val="21"/>
                <w:szCs w:val="21"/>
              </w:rPr>
              <w:t>t/a</w:t>
            </w:r>
          </w:p>
        </w:tc>
        <w:tc>
          <w:tcPr>
            <w:tcW w:w="1366" w:type="dxa"/>
            <w:shd w:val="clear" w:color="auto" w:fill="auto"/>
            <w:noWrap w:val="0"/>
            <w:vAlign w:val="center"/>
          </w:tcPr>
          <w:p w14:paraId="70FCACE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+0.1</w:t>
            </w:r>
            <w:r>
              <w:rPr>
                <w:rFonts w:hint="eastAsia"/>
                <w:snapToGrid w:val="0"/>
                <w:kern w:val="21"/>
                <w:szCs w:val="21"/>
              </w:rPr>
              <w:t>t/a</w:t>
            </w:r>
          </w:p>
        </w:tc>
      </w:tr>
      <w:tr w14:paraId="53ADF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3F676BCA">
            <w:pPr>
              <w:pStyle w:val="68"/>
              <w:spacing w:beforeLines="0" w:afterLines="0" w:line="240" w:lineRule="auto"/>
              <w:rPr>
                <w:rFonts w:ascii="Times New Roman"/>
                <w:b/>
                <w:snapToGrid w:val="0"/>
                <w:kern w:val="21"/>
                <w:szCs w:val="21"/>
              </w:rPr>
            </w:pPr>
          </w:p>
        </w:tc>
        <w:tc>
          <w:tcPr>
            <w:tcW w:w="1980" w:type="dxa"/>
            <w:noWrap w:val="0"/>
            <w:vAlign w:val="center"/>
          </w:tcPr>
          <w:p w14:paraId="27D6F6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lang w:val="zh-CN"/>
              </w:rPr>
            </w:pPr>
            <w:r>
              <w:rPr>
                <w:rFonts w:hint="eastAsia" w:eastAsia="宋体"/>
                <w:color w:val="000000"/>
                <w:sz w:val="21"/>
                <w:szCs w:val="21"/>
                <w:lang w:val="en-US" w:eastAsia="zh-CN"/>
              </w:rPr>
              <w:t>边角料</w:t>
            </w:r>
          </w:p>
        </w:tc>
        <w:tc>
          <w:tcPr>
            <w:tcW w:w="1767" w:type="dxa"/>
            <w:noWrap w:val="0"/>
            <w:vAlign w:val="center"/>
          </w:tcPr>
          <w:p w14:paraId="5ADA448D">
            <w:pPr>
              <w:jc w:val="center"/>
              <w:rPr>
                <w:rFonts w:hint="eastAsia"/>
                <w:snapToGrid w:val="0"/>
                <w:kern w:val="21"/>
                <w:szCs w:val="21"/>
              </w:rPr>
            </w:pPr>
            <w:r>
              <w:rPr>
                <w:rFonts w:hint="eastAsia"/>
                <w:snapToGrid w:val="0"/>
                <w:kern w:val="21"/>
                <w:szCs w:val="21"/>
              </w:rPr>
              <w:t>/</w:t>
            </w:r>
          </w:p>
        </w:tc>
        <w:tc>
          <w:tcPr>
            <w:tcW w:w="1398" w:type="dxa"/>
            <w:noWrap w:val="0"/>
            <w:vAlign w:val="center"/>
          </w:tcPr>
          <w:p w14:paraId="4E0BC1EE">
            <w:pPr>
              <w:jc w:val="center"/>
              <w:rPr>
                <w:rFonts w:hint="eastAsia"/>
                <w:snapToGrid w:val="0"/>
                <w:kern w:val="21"/>
                <w:szCs w:val="21"/>
              </w:rPr>
            </w:pPr>
            <w:r>
              <w:rPr>
                <w:rFonts w:hint="eastAsia"/>
                <w:snapToGrid w:val="0"/>
                <w:kern w:val="21"/>
                <w:szCs w:val="21"/>
              </w:rPr>
              <w:t>/</w:t>
            </w:r>
          </w:p>
        </w:tc>
        <w:tc>
          <w:tcPr>
            <w:tcW w:w="1579" w:type="dxa"/>
            <w:noWrap w:val="0"/>
            <w:vAlign w:val="center"/>
          </w:tcPr>
          <w:p w14:paraId="56CAB6EE">
            <w:pPr>
              <w:jc w:val="center"/>
              <w:rPr>
                <w:rFonts w:hint="eastAsia"/>
                <w:snapToGrid w:val="0"/>
                <w:kern w:val="21"/>
                <w:szCs w:val="21"/>
              </w:rPr>
            </w:pPr>
            <w:r>
              <w:rPr>
                <w:rFonts w:hint="eastAsia"/>
                <w:snapToGrid w:val="0"/>
                <w:kern w:val="21"/>
                <w:szCs w:val="21"/>
              </w:rPr>
              <w:t>/</w:t>
            </w:r>
          </w:p>
        </w:tc>
        <w:tc>
          <w:tcPr>
            <w:tcW w:w="1559" w:type="dxa"/>
            <w:noWrap w:val="0"/>
            <w:vAlign w:val="center"/>
          </w:tcPr>
          <w:p w14:paraId="6E5589F7">
            <w:pPr>
              <w:jc w:val="center"/>
              <w:rPr>
                <w:rFonts w:hint="eastAsia" w:eastAsia="宋体"/>
                <w:szCs w:val="21"/>
                <w:lang w:val="en-US" w:eastAsia="zh-CN"/>
              </w:rPr>
            </w:pPr>
            <w:r>
              <w:rPr>
                <w:rFonts w:hint="eastAsia"/>
                <w:szCs w:val="21"/>
                <w:lang w:val="en-US" w:eastAsia="zh-CN"/>
              </w:rPr>
              <w:t>5</w:t>
            </w:r>
            <w:r>
              <w:rPr>
                <w:rFonts w:hint="eastAsia"/>
                <w:snapToGrid w:val="0"/>
                <w:kern w:val="21"/>
                <w:szCs w:val="21"/>
              </w:rPr>
              <w:t>t/a</w:t>
            </w:r>
          </w:p>
        </w:tc>
        <w:tc>
          <w:tcPr>
            <w:tcW w:w="1761" w:type="dxa"/>
            <w:shd w:val="clear" w:color="auto" w:fill="auto"/>
            <w:noWrap w:val="0"/>
            <w:vAlign w:val="center"/>
          </w:tcPr>
          <w:p w14:paraId="47E17F25">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noWrap w:val="0"/>
            <w:vAlign w:val="center"/>
          </w:tcPr>
          <w:p w14:paraId="792938BC">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w:t>
            </w:r>
            <w:r>
              <w:rPr>
                <w:rFonts w:hint="eastAsia"/>
                <w:snapToGrid w:val="0"/>
                <w:kern w:val="21"/>
                <w:szCs w:val="21"/>
              </w:rPr>
              <w:t>t/a</w:t>
            </w:r>
          </w:p>
        </w:tc>
        <w:tc>
          <w:tcPr>
            <w:tcW w:w="1366" w:type="dxa"/>
            <w:shd w:val="clear" w:color="auto" w:fill="auto"/>
            <w:noWrap w:val="0"/>
            <w:vAlign w:val="center"/>
          </w:tcPr>
          <w:p w14:paraId="731C8251">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w:t>
            </w:r>
            <w:r>
              <w:rPr>
                <w:rFonts w:hint="eastAsia"/>
                <w:snapToGrid w:val="0"/>
                <w:kern w:val="21"/>
                <w:szCs w:val="21"/>
              </w:rPr>
              <w:t>t/a</w:t>
            </w:r>
          </w:p>
        </w:tc>
      </w:tr>
      <w:tr w14:paraId="6A3D5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center"/>
          </w:tcPr>
          <w:p w14:paraId="24125CF4">
            <w:pPr>
              <w:pStyle w:val="68"/>
              <w:spacing w:beforeLines="0" w:afterLines="0" w:line="240" w:lineRule="auto"/>
              <w:rPr>
                <w:rFonts w:ascii="Times New Roman"/>
                <w:b/>
                <w:snapToGrid w:val="0"/>
                <w:kern w:val="21"/>
                <w:szCs w:val="21"/>
              </w:rPr>
            </w:pPr>
          </w:p>
        </w:tc>
        <w:tc>
          <w:tcPr>
            <w:tcW w:w="1980" w:type="dxa"/>
            <w:noWrap w:val="0"/>
            <w:vAlign w:val="center"/>
          </w:tcPr>
          <w:p w14:paraId="1A585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000000"/>
                <w:sz w:val="21"/>
                <w:szCs w:val="21"/>
                <w:lang w:val="en-US" w:eastAsia="zh-CN"/>
              </w:rPr>
            </w:pPr>
            <w:r>
              <w:rPr>
                <w:rFonts w:hint="eastAsia" w:eastAsia="宋体"/>
                <w:color w:val="000000"/>
                <w:sz w:val="21"/>
                <w:szCs w:val="21"/>
                <w:lang w:val="en-US" w:eastAsia="zh-CN"/>
              </w:rPr>
              <w:t>不合格品</w:t>
            </w:r>
          </w:p>
        </w:tc>
        <w:tc>
          <w:tcPr>
            <w:tcW w:w="1767" w:type="dxa"/>
            <w:noWrap w:val="0"/>
            <w:vAlign w:val="center"/>
          </w:tcPr>
          <w:p w14:paraId="73129F94">
            <w:pPr>
              <w:jc w:val="center"/>
              <w:rPr>
                <w:rFonts w:hint="eastAsia"/>
                <w:snapToGrid w:val="0"/>
                <w:kern w:val="21"/>
                <w:szCs w:val="21"/>
              </w:rPr>
            </w:pPr>
            <w:r>
              <w:rPr>
                <w:rFonts w:hint="eastAsia"/>
                <w:snapToGrid w:val="0"/>
                <w:kern w:val="21"/>
                <w:szCs w:val="21"/>
                <w:lang w:val="en-US" w:eastAsia="zh-CN"/>
              </w:rPr>
              <w:t>/</w:t>
            </w:r>
          </w:p>
        </w:tc>
        <w:tc>
          <w:tcPr>
            <w:tcW w:w="1398" w:type="dxa"/>
            <w:noWrap w:val="0"/>
            <w:vAlign w:val="center"/>
          </w:tcPr>
          <w:p w14:paraId="7196848C">
            <w:pPr>
              <w:jc w:val="center"/>
              <w:rPr>
                <w:rFonts w:hint="eastAsia" w:eastAsia="宋体"/>
                <w:snapToGrid w:val="0"/>
                <w:kern w:val="21"/>
                <w:szCs w:val="21"/>
                <w:lang w:val="en-US" w:eastAsia="zh-CN"/>
              </w:rPr>
            </w:pPr>
            <w:r>
              <w:rPr>
                <w:rFonts w:hint="eastAsia"/>
                <w:snapToGrid w:val="0"/>
                <w:kern w:val="21"/>
                <w:szCs w:val="21"/>
                <w:lang w:val="en-US" w:eastAsia="zh-CN"/>
              </w:rPr>
              <w:t>/</w:t>
            </w:r>
          </w:p>
        </w:tc>
        <w:tc>
          <w:tcPr>
            <w:tcW w:w="1579" w:type="dxa"/>
            <w:noWrap w:val="0"/>
            <w:vAlign w:val="center"/>
          </w:tcPr>
          <w:p w14:paraId="4D1FDAF5">
            <w:pPr>
              <w:jc w:val="center"/>
              <w:rPr>
                <w:rFonts w:hint="eastAsia" w:eastAsia="宋体"/>
                <w:snapToGrid w:val="0"/>
                <w:kern w:val="21"/>
                <w:szCs w:val="21"/>
                <w:lang w:val="en-US" w:eastAsia="zh-CN"/>
              </w:rPr>
            </w:pPr>
            <w:r>
              <w:rPr>
                <w:rFonts w:hint="eastAsia"/>
                <w:snapToGrid w:val="0"/>
                <w:kern w:val="21"/>
                <w:szCs w:val="21"/>
                <w:lang w:val="en-US" w:eastAsia="zh-CN"/>
              </w:rPr>
              <w:t>/</w:t>
            </w:r>
          </w:p>
        </w:tc>
        <w:tc>
          <w:tcPr>
            <w:tcW w:w="1559" w:type="dxa"/>
            <w:noWrap w:val="0"/>
            <w:vAlign w:val="center"/>
          </w:tcPr>
          <w:p w14:paraId="03DDF906">
            <w:pPr>
              <w:jc w:val="center"/>
              <w:rPr>
                <w:rFonts w:hint="default"/>
                <w:szCs w:val="21"/>
                <w:lang w:val="en-US" w:eastAsia="zh-CN"/>
              </w:rPr>
            </w:pPr>
            <w:r>
              <w:rPr>
                <w:rFonts w:hint="eastAsia"/>
                <w:szCs w:val="21"/>
                <w:lang w:val="en-US" w:eastAsia="zh-CN"/>
              </w:rPr>
              <w:t>40</w:t>
            </w:r>
            <w:r>
              <w:rPr>
                <w:rFonts w:hint="eastAsia"/>
                <w:snapToGrid w:val="0"/>
                <w:kern w:val="21"/>
                <w:szCs w:val="21"/>
              </w:rPr>
              <w:t>t/a</w:t>
            </w:r>
          </w:p>
        </w:tc>
        <w:tc>
          <w:tcPr>
            <w:tcW w:w="1761" w:type="dxa"/>
            <w:shd w:val="clear" w:color="auto" w:fill="auto"/>
            <w:noWrap w:val="0"/>
            <w:vAlign w:val="center"/>
          </w:tcPr>
          <w:p w14:paraId="0DD1378F">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noWrap w:val="0"/>
            <w:vAlign w:val="center"/>
          </w:tcPr>
          <w:p w14:paraId="4CEB5275">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w:t>
            </w:r>
            <w:r>
              <w:rPr>
                <w:rFonts w:hint="eastAsia"/>
                <w:snapToGrid w:val="0"/>
                <w:kern w:val="21"/>
                <w:szCs w:val="21"/>
              </w:rPr>
              <w:t>t/a</w:t>
            </w:r>
          </w:p>
        </w:tc>
        <w:tc>
          <w:tcPr>
            <w:tcW w:w="1366" w:type="dxa"/>
            <w:shd w:val="clear" w:color="auto" w:fill="auto"/>
            <w:noWrap w:val="0"/>
            <w:vAlign w:val="center"/>
          </w:tcPr>
          <w:p w14:paraId="27944F84">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w:t>
            </w:r>
            <w:r>
              <w:rPr>
                <w:rFonts w:hint="eastAsia"/>
                <w:snapToGrid w:val="0"/>
                <w:kern w:val="21"/>
                <w:szCs w:val="21"/>
              </w:rPr>
              <w:t>t/a</w:t>
            </w:r>
          </w:p>
        </w:tc>
      </w:tr>
      <w:tr w14:paraId="0FC3C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restart"/>
            <w:noWrap w:val="0"/>
            <w:vAlign w:val="center"/>
          </w:tcPr>
          <w:p w14:paraId="20EE2FC1">
            <w:pPr>
              <w:pStyle w:val="68"/>
              <w:spacing w:beforeLines="0" w:afterLines="0" w:line="240" w:lineRule="auto"/>
              <w:rPr>
                <w:rFonts w:ascii="Times New Roman"/>
                <w:b/>
                <w:snapToGrid w:val="0"/>
                <w:kern w:val="21"/>
                <w:szCs w:val="21"/>
              </w:rPr>
            </w:pPr>
            <w:r>
              <w:rPr>
                <w:rFonts w:ascii="Times New Roman"/>
                <w:b/>
                <w:snapToGrid w:val="0"/>
                <w:kern w:val="21"/>
                <w:szCs w:val="21"/>
              </w:rPr>
              <w:t>危险废物</w:t>
            </w:r>
          </w:p>
        </w:tc>
        <w:tc>
          <w:tcPr>
            <w:tcW w:w="1980" w:type="dxa"/>
            <w:noWrap w:val="0"/>
            <w:vAlign w:val="center"/>
          </w:tcPr>
          <w:p w14:paraId="32D68D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lang w:val="zh-CN"/>
              </w:rPr>
            </w:pPr>
            <w:r>
              <w:rPr>
                <w:rFonts w:hint="default" w:ascii="Times New Roman" w:hAnsi="Times New Roman" w:cs="Times New Roman"/>
                <w:color w:val="000000"/>
                <w:sz w:val="21"/>
                <w:szCs w:val="21"/>
              </w:rPr>
              <w:t>废活性炭</w:t>
            </w:r>
          </w:p>
        </w:tc>
        <w:tc>
          <w:tcPr>
            <w:tcW w:w="1767" w:type="dxa"/>
            <w:noWrap w:val="0"/>
            <w:vAlign w:val="center"/>
          </w:tcPr>
          <w:p w14:paraId="23BC7EDE">
            <w:pPr>
              <w:jc w:val="center"/>
              <w:rPr>
                <w:rFonts w:hint="eastAsia"/>
                <w:snapToGrid w:val="0"/>
                <w:kern w:val="21"/>
                <w:szCs w:val="21"/>
              </w:rPr>
            </w:pPr>
            <w:r>
              <w:rPr>
                <w:rFonts w:hint="eastAsia"/>
                <w:snapToGrid w:val="0"/>
                <w:kern w:val="21"/>
                <w:szCs w:val="21"/>
              </w:rPr>
              <w:t>/</w:t>
            </w:r>
          </w:p>
        </w:tc>
        <w:tc>
          <w:tcPr>
            <w:tcW w:w="1398" w:type="dxa"/>
            <w:noWrap w:val="0"/>
            <w:vAlign w:val="center"/>
          </w:tcPr>
          <w:p w14:paraId="12E6E15A">
            <w:pPr>
              <w:jc w:val="center"/>
              <w:rPr>
                <w:rFonts w:hint="eastAsia"/>
                <w:snapToGrid w:val="0"/>
                <w:kern w:val="21"/>
                <w:szCs w:val="21"/>
              </w:rPr>
            </w:pPr>
            <w:r>
              <w:rPr>
                <w:rFonts w:hint="eastAsia"/>
                <w:snapToGrid w:val="0"/>
                <w:kern w:val="21"/>
                <w:szCs w:val="21"/>
              </w:rPr>
              <w:t>/</w:t>
            </w:r>
          </w:p>
        </w:tc>
        <w:tc>
          <w:tcPr>
            <w:tcW w:w="1579" w:type="dxa"/>
            <w:noWrap w:val="0"/>
            <w:vAlign w:val="center"/>
          </w:tcPr>
          <w:p w14:paraId="00B9CB02">
            <w:pPr>
              <w:jc w:val="center"/>
              <w:rPr>
                <w:rFonts w:hint="eastAsia"/>
                <w:snapToGrid w:val="0"/>
                <w:kern w:val="21"/>
                <w:szCs w:val="21"/>
              </w:rPr>
            </w:pPr>
            <w:r>
              <w:rPr>
                <w:rFonts w:hint="eastAsia"/>
                <w:snapToGrid w:val="0"/>
                <w:kern w:val="21"/>
                <w:szCs w:val="21"/>
              </w:rPr>
              <w:t>/</w:t>
            </w:r>
          </w:p>
        </w:tc>
        <w:tc>
          <w:tcPr>
            <w:tcW w:w="1559" w:type="dxa"/>
            <w:noWrap w:val="0"/>
            <w:vAlign w:val="center"/>
          </w:tcPr>
          <w:p w14:paraId="6924817E">
            <w:pPr>
              <w:topLinePunct/>
              <w:adjustRightInd w:val="0"/>
              <w:snapToGrid w:val="0"/>
              <w:ind w:left="-84" w:leftChars="-40" w:right="-84" w:rightChars="-40"/>
              <w:jc w:val="center"/>
              <w:rPr>
                <w:rFonts w:hint="default" w:eastAsia="宋体"/>
                <w:szCs w:val="21"/>
                <w:lang w:val="en-US" w:eastAsia="zh-CN"/>
              </w:rPr>
            </w:pPr>
            <w:r>
              <w:rPr>
                <w:rFonts w:hint="eastAsia"/>
                <w:szCs w:val="21"/>
                <w:lang w:val="en-US" w:eastAsia="zh-CN"/>
              </w:rPr>
              <w:t>13.22</w:t>
            </w:r>
            <w:r>
              <w:rPr>
                <w:rFonts w:hint="eastAsia"/>
                <w:snapToGrid w:val="0"/>
                <w:kern w:val="21"/>
                <w:szCs w:val="21"/>
              </w:rPr>
              <w:t>t/a</w:t>
            </w:r>
          </w:p>
        </w:tc>
        <w:tc>
          <w:tcPr>
            <w:tcW w:w="1761" w:type="dxa"/>
            <w:shd w:val="clear" w:color="auto" w:fill="auto"/>
            <w:noWrap w:val="0"/>
            <w:vAlign w:val="center"/>
          </w:tcPr>
          <w:p w14:paraId="4B06F9C2">
            <w:pPr>
              <w:jc w:val="center"/>
              <w:rPr>
                <w:rFonts w:hint="eastAsia" w:ascii="Times New Roman" w:hAnsi="Times New Roman" w:eastAsia="宋体" w:cs="Times New Roman"/>
                <w:snapToGrid w:val="0"/>
                <w:color w:val="auto"/>
                <w:kern w:val="21"/>
                <w:sz w:val="21"/>
                <w:szCs w:val="21"/>
                <w:lang w:val="en-US" w:eastAsia="zh-CN" w:bidi="ar-SA"/>
              </w:rPr>
            </w:pPr>
            <w:r>
              <w:rPr>
                <w:rFonts w:hint="eastAsia"/>
                <w:snapToGrid w:val="0"/>
                <w:color w:val="auto"/>
                <w:kern w:val="21"/>
                <w:szCs w:val="21"/>
              </w:rPr>
              <w:t>0t/a</w:t>
            </w:r>
          </w:p>
        </w:tc>
        <w:tc>
          <w:tcPr>
            <w:tcW w:w="1640" w:type="dxa"/>
            <w:shd w:val="clear" w:color="auto" w:fill="auto"/>
            <w:noWrap w:val="0"/>
            <w:vAlign w:val="center"/>
          </w:tcPr>
          <w:p w14:paraId="61ADBE05">
            <w:pPr>
              <w:topLinePunct/>
              <w:adjustRightInd w:val="0"/>
              <w:snapToGrid w:val="0"/>
              <w:ind w:left="-84" w:leftChars="-40" w:right="-84" w:rightChars="-4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13.22</w:t>
            </w:r>
            <w:r>
              <w:rPr>
                <w:rFonts w:hint="eastAsia"/>
                <w:snapToGrid w:val="0"/>
                <w:kern w:val="21"/>
                <w:szCs w:val="21"/>
              </w:rPr>
              <w:t>t/a</w:t>
            </w:r>
          </w:p>
        </w:tc>
        <w:tc>
          <w:tcPr>
            <w:tcW w:w="1366" w:type="dxa"/>
            <w:shd w:val="clear" w:color="auto" w:fill="auto"/>
            <w:noWrap w:val="0"/>
            <w:vAlign w:val="center"/>
          </w:tcPr>
          <w:p w14:paraId="7081735D">
            <w:pPr>
              <w:topLinePunct/>
              <w:adjustRightInd w:val="0"/>
              <w:snapToGrid w:val="0"/>
              <w:ind w:left="-84" w:leftChars="-40" w:right="-84" w:rightChars="-4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+13.22</w:t>
            </w:r>
            <w:r>
              <w:rPr>
                <w:rFonts w:hint="eastAsia"/>
                <w:snapToGrid w:val="0"/>
                <w:kern w:val="21"/>
                <w:szCs w:val="21"/>
              </w:rPr>
              <w:t>t/a</w:t>
            </w:r>
          </w:p>
        </w:tc>
      </w:tr>
      <w:tr w14:paraId="30EC7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9" w:type="dxa"/>
            <w:vMerge w:val="continue"/>
            <w:noWrap w:val="0"/>
            <w:vAlign w:val="top"/>
          </w:tcPr>
          <w:p w14:paraId="41125E18">
            <w:pPr>
              <w:pStyle w:val="68"/>
              <w:spacing w:beforeLines="0" w:afterLines="0" w:line="240" w:lineRule="auto"/>
              <w:rPr>
                <w:rFonts w:ascii="Times New Roman"/>
                <w:b/>
                <w:snapToGrid w:val="0"/>
                <w:kern w:val="21"/>
                <w:szCs w:val="21"/>
              </w:rPr>
            </w:pPr>
          </w:p>
        </w:tc>
        <w:tc>
          <w:tcPr>
            <w:tcW w:w="1980" w:type="dxa"/>
            <w:noWrap w:val="0"/>
            <w:vAlign w:val="center"/>
          </w:tcPr>
          <w:p w14:paraId="41F367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lang w:val="zh-CN"/>
              </w:rPr>
            </w:pPr>
            <w:r>
              <w:rPr>
                <w:rFonts w:hint="default" w:ascii="Times New Roman" w:hAnsi="Times New Roman" w:cs="Times New Roman"/>
                <w:color w:val="000000"/>
                <w:sz w:val="21"/>
                <w:szCs w:val="21"/>
              </w:rPr>
              <w:t>废</w:t>
            </w:r>
            <w:r>
              <w:rPr>
                <w:rFonts w:hint="eastAsia" w:ascii="Times New Roman" w:hAnsi="Times New Roman" w:cs="Times New Roman"/>
                <w:color w:val="000000"/>
                <w:sz w:val="21"/>
                <w:szCs w:val="21"/>
                <w:lang w:val="en-US" w:eastAsia="zh-CN"/>
              </w:rPr>
              <w:t>机油</w:t>
            </w:r>
          </w:p>
        </w:tc>
        <w:tc>
          <w:tcPr>
            <w:tcW w:w="1767" w:type="dxa"/>
            <w:noWrap w:val="0"/>
            <w:vAlign w:val="center"/>
          </w:tcPr>
          <w:p w14:paraId="578098BD">
            <w:pPr>
              <w:jc w:val="center"/>
              <w:rPr>
                <w:rFonts w:hint="eastAsia"/>
                <w:snapToGrid w:val="0"/>
                <w:kern w:val="21"/>
                <w:szCs w:val="21"/>
              </w:rPr>
            </w:pPr>
            <w:r>
              <w:rPr>
                <w:rFonts w:hint="eastAsia"/>
                <w:snapToGrid w:val="0"/>
                <w:kern w:val="21"/>
                <w:szCs w:val="21"/>
              </w:rPr>
              <w:t>/</w:t>
            </w:r>
          </w:p>
        </w:tc>
        <w:tc>
          <w:tcPr>
            <w:tcW w:w="1398" w:type="dxa"/>
            <w:noWrap w:val="0"/>
            <w:vAlign w:val="center"/>
          </w:tcPr>
          <w:p w14:paraId="7EF1B588">
            <w:pPr>
              <w:jc w:val="center"/>
              <w:rPr>
                <w:rFonts w:hint="eastAsia"/>
                <w:snapToGrid w:val="0"/>
                <w:kern w:val="21"/>
                <w:szCs w:val="21"/>
              </w:rPr>
            </w:pPr>
            <w:r>
              <w:rPr>
                <w:rFonts w:hint="eastAsia"/>
                <w:snapToGrid w:val="0"/>
                <w:kern w:val="21"/>
                <w:szCs w:val="21"/>
              </w:rPr>
              <w:t>/</w:t>
            </w:r>
          </w:p>
        </w:tc>
        <w:tc>
          <w:tcPr>
            <w:tcW w:w="1579" w:type="dxa"/>
            <w:noWrap w:val="0"/>
            <w:vAlign w:val="center"/>
          </w:tcPr>
          <w:p w14:paraId="148CB246">
            <w:pPr>
              <w:jc w:val="center"/>
              <w:rPr>
                <w:rFonts w:hint="eastAsia"/>
                <w:snapToGrid w:val="0"/>
                <w:kern w:val="21"/>
                <w:szCs w:val="21"/>
              </w:rPr>
            </w:pPr>
            <w:r>
              <w:rPr>
                <w:rFonts w:hint="eastAsia"/>
                <w:snapToGrid w:val="0"/>
                <w:kern w:val="21"/>
                <w:szCs w:val="21"/>
              </w:rPr>
              <w:t>/</w:t>
            </w:r>
          </w:p>
        </w:tc>
        <w:tc>
          <w:tcPr>
            <w:tcW w:w="1559" w:type="dxa"/>
            <w:noWrap w:val="0"/>
            <w:vAlign w:val="center"/>
          </w:tcPr>
          <w:p w14:paraId="7CB1AB7C">
            <w:pPr>
              <w:ind w:left="-84" w:leftChars="-40" w:right="-84" w:rightChars="-40"/>
              <w:jc w:val="center"/>
              <w:rPr>
                <w:rFonts w:hint="default" w:eastAsia="宋体"/>
                <w:bCs/>
                <w:szCs w:val="21"/>
                <w:lang w:val="en-US" w:eastAsia="zh-CN"/>
              </w:rPr>
            </w:pPr>
            <w:r>
              <w:rPr>
                <w:rFonts w:hint="eastAsia"/>
                <w:bCs/>
                <w:szCs w:val="21"/>
                <w:lang w:val="en-US" w:eastAsia="zh-CN"/>
              </w:rPr>
              <w:t>0.12</w:t>
            </w:r>
            <w:r>
              <w:rPr>
                <w:rFonts w:hint="eastAsia"/>
                <w:snapToGrid w:val="0"/>
                <w:kern w:val="21"/>
                <w:szCs w:val="21"/>
              </w:rPr>
              <w:t>t/a</w:t>
            </w:r>
          </w:p>
        </w:tc>
        <w:tc>
          <w:tcPr>
            <w:tcW w:w="1761" w:type="dxa"/>
            <w:noWrap w:val="0"/>
            <w:vAlign w:val="center"/>
          </w:tcPr>
          <w:p w14:paraId="15FFCDEC">
            <w:pPr>
              <w:jc w:val="center"/>
              <w:rPr>
                <w:rFonts w:hint="eastAsia"/>
                <w:snapToGrid w:val="0"/>
                <w:kern w:val="21"/>
                <w:szCs w:val="21"/>
              </w:rPr>
            </w:pPr>
            <w:r>
              <w:rPr>
                <w:rFonts w:hint="eastAsia"/>
                <w:snapToGrid w:val="0"/>
                <w:color w:val="auto"/>
                <w:kern w:val="21"/>
                <w:szCs w:val="21"/>
              </w:rPr>
              <w:t>0t/a</w:t>
            </w:r>
          </w:p>
        </w:tc>
        <w:tc>
          <w:tcPr>
            <w:tcW w:w="1640" w:type="dxa"/>
            <w:shd w:val="clear" w:color="auto" w:fill="auto"/>
            <w:noWrap w:val="0"/>
            <w:vAlign w:val="center"/>
          </w:tcPr>
          <w:p w14:paraId="36CED88A">
            <w:pPr>
              <w:ind w:left="-84" w:leftChars="-40" w:right="-84" w:rightChars="-40"/>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0.12</w:t>
            </w:r>
            <w:r>
              <w:rPr>
                <w:rFonts w:hint="eastAsia"/>
                <w:snapToGrid w:val="0"/>
                <w:kern w:val="21"/>
                <w:szCs w:val="21"/>
              </w:rPr>
              <w:t>t/a</w:t>
            </w:r>
          </w:p>
        </w:tc>
        <w:tc>
          <w:tcPr>
            <w:tcW w:w="1366" w:type="dxa"/>
            <w:shd w:val="clear" w:color="auto" w:fill="auto"/>
            <w:noWrap w:val="0"/>
            <w:vAlign w:val="center"/>
          </w:tcPr>
          <w:p w14:paraId="7524538B">
            <w:pPr>
              <w:ind w:left="-84" w:leftChars="-40" w:right="-84" w:rightChars="-40"/>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+0.12</w:t>
            </w:r>
            <w:r>
              <w:rPr>
                <w:rFonts w:hint="eastAsia"/>
                <w:snapToGrid w:val="0"/>
                <w:kern w:val="21"/>
                <w:szCs w:val="21"/>
              </w:rPr>
              <w:t>t/a</w:t>
            </w:r>
          </w:p>
        </w:tc>
      </w:tr>
    </w:tbl>
    <w:p w14:paraId="53B99ED8">
      <w:pPr>
        <w:pStyle w:val="68"/>
        <w:spacing w:before="192" w:beforeLines="80" w:after="24"/>
        <w:jc w:val="left"/>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p>
    <w:sectPr>
      <w:footerReference r:id="rId9" w:type="default"/>
      <w:pgSz w:w="16838" w:h="11906" w:orient="landscape"/>
      <w:pgMar w:top="1417" w:right="1418" w:bottom="1417" w:left="124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DC43570-5C31-4487-8311-F7EF68D3718D}"/>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embedRegular r:id="rId2" w:fontKey="{9D18DB3E-0BE8-4C18-8197-C43CB94A6952}"/>
  </w:font>
  <w:font w:name="TimesNewRomanPSMT">
    <w:altName w:val="MS Gothic"/>
    <w:panose1 w:val="00000000000000000000"/>
    <w:charset w:val="80"/>
    <w:family w:val="auto"/>
    <w:pitch w:val="default"/>
    <w:sig w:usb0="00000000" w:usb1="00000000" w:usb2="00000010" w:usb3="00000000" w:csb0="00020000" w:csb1="00000000"/>
    <w:embedRegular r:id="rId3" w:fontKey="{6334D665-D869-4D83-978E-3B6747222D53}"/>
  </w:font>
  <w:font w:name="MS Gothic">
    <w:panose1 w:val="020B0609070205080204"/>
    <w:charset w:val="80"/>
    <w:family w:val="auto"/>
    <w:pitch w:val="default"/>
    <w:sig w:usb0="E00002FF" w:usb1="6AC7FDFB" w:usb2="08000012" w:usb3="00000000" w:csb0="4002009F" w:csb1="DFD70000"/>
  </w:font>
  <w:font w:name="楷体_GB2312">
    <w:altName w:val="楷体"/>
    <w:panose1 w:val="00000000000000000000"/>
    <w:charset w:val="86"/>
    <w:family w:val="modern"/>
    <w:pitch w:val="default"/>
    <w:sig w:usb0="00000000" w:usb1="00000000" w:usb2="00000000" w:usb3="00000000" w:csb0="00040000" w:csb1="00000000"/>
    <w:embedRegular r:id="rId4" w:fontKey="{D1FEE5AF-34FD-4948-90A2-C879C48DF756}"/>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embedRegular r:id="rId5" w:fontKey="{9DB31387-58AE-4A6D-9ACC-CC08644B9E1D}"/>
  </w:font>
  <w:font w:name="方正小标宋_GBK">
    <w:panose1 w:val="02000000000000000000"/>
    <w:charset w:val="86"/>
    <w:family w:val="script"/>
    <w:pitch w:val="default"/>
    <w:sig w:usb0="A00002BF" w:usb1="38CF7CFA" w:usb2="00082016" w:usb3="00000000" w:csb0="00040001" w:csb1="00000000"/>
    <w:embedRegular r:id="rId6" w:fontKey="{CB6461F3-B6C9-464E-805F-C4D3E8A201D3}"/>
  </w:font>
  <w:font w:name="华文仿宋">
    <w:panose1 w:val="02010600040101010101"/>
    <w:charset w:val="86"/>
    <w:family w:val="auto"/>
    <w:pitch w:val="default"/>
    <w:sig w:usb0="00000287" w:usb1="080F0000" w:usb2="00000000" w:usb3="00000000" w:csb0="0004009F" w:csb1="DFD70000"/>
    <w:embedRegular r:id="rId7" w:fontKey="{69D8C7BC-DA17-4E0F-88BF-AE020D65528E}"/>
  </w:font>
  <w:font w:name="仿宋">
    <w:panose1 w:val="02010609060101010101"/>
    <w:charset w:val="86"/>
    <w:family w:val="modern"/>
    <w:pitch w:val="default"/>
    <w:sig w:usb0="800002BF" w:usb1="38CF7CFA" w:usb2="00000016" w:usb3="00000000" w:csb0="00040001" w:csb1="00000000"/>
    <w:embedRegular r:id="rId8" w:fontKey="{16EAA2EC-F755-44AF-B500-4769086F1D09}"/>
  </w:font>
  <w:font w:name="Wingdings 2">
    <w:panose1 w:val="05020102010507070707"/>
    <w:charset w:val="02"/>
    <w:family w:val="roman"/>
    <w:pitch w:val="default"/>
    <w:sig w:usb0="00000000" w:usb1="00000000" w:usb2="00000000" w:usb3="00000000" w:csb0="80000000" w:csb1="00000000"/>
    <w:embedRegular r:id="rId9" w:fontKey="{6BCC913C-198F-4CFC-B5B3-5C8DCD903BE4}"/>
  </w:font>
  <w:font w:name="新宋体">
    <w:panose1 w:val="02010609030101010101"/>
    <w:charset w:val="86"/>
    <w:family w:val="auto"/>
    <w:pitch w:val="default"/>
    <w:sig w:usb0="00000283" w:usb1="288F0000" w:usb2="00000006" w:usb3="00000000" w:csb0="00040001" w:csb1="00000000"/>
    <w:embedRegular r:id="rId10" w:fontKey="{57ACF106-B900-4E28-BCA2-DEADAECBFC04}"/>
  </w:font>
  <w:font w:name="Segoe UI">
    <w:panose1 w:val="020B0502040204020203"/>
    <w:charset w:val="00"/>
    <w:family w:val="auto"/>
    <w:pitch w:val="default"/>
    <w:sig w:usb0="E4002EFF" w:usb1="C000E47F" w:usb2="00000009" w:usb3="00000000" w:csb0="200001FF" w:csb1="00000000"/>
    <w:embedRegular r:id="rId11" w:fontKey="{4BEEFFD3-8C6C-4E93-8004-35BE390F7B03}"/>
  </w:font>
  <w:font w:name="宋体_x0017_.伀.伀.">
    <w:altName w:val="宋体"/>
    <w:panose1 w:val="00000000000000000000"/>
    <w:charset w:val="86"/>
    <w:family w:val="roman"/>
    <w:pitch w:val="default"/>
    <w:sig w:usb0="00000000" w:usb1="00000000" w:usb2="00000010" w:usb3="00000000" w:csb0="00040000" w:csb1="00000000"/>
    <w:embedRegular r:id="rId12" w:fontKey="{8B81EA78-2E59-41B7-9028-A8E3859FBF63}"/>
  </w:font>
  <w:font w:name="WPSEMBED1">
    <w:panose1 w:val="02000000000000000000"/>
    <w:charset w:val="86"/>
    <w:family w:val="auto"/>
    <w:pitch w:val="default"/>
    <w:sig w:usb0="A00002BF" w:usb1="38CF7CFA" w:usb2="00082016" w:usb3="00000000" w:csb0="00040001" w:csb1="00000000"/>
  </w:font>
  <w:font w:name="楷体">
    <w:panose1 w:val="02010609060101010101"/>
    <w:charset w:val="86"/>
    <w:family w:val="auto"/>
    <w:pitch w:val="default"/>
    <w:sig w:usb0="800002BF" w:usb1="38CF7CFA" w:usb2="00000016" w:usb3="00000000" w:csb0="00040001" w:csb1="00000000"/>
  </w:font>
  <w:font w:name="WPSEMBED2">
    <w:panose1 w:val="02010600040101010101"/>
    <w:charset w:val="86"/>
    <w:family w:val="auto"/>
    <w:pitch w:val="default"/>
    <w:sig w:usb0="00000287" w:usb1="080F0000" w:usb2="00000000" w:usb3="00000000" w:csb0="0004009F" w:csb1="DFD7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27AF">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D9299">
    <w:pPr>
      <w:pStyle w:val="22"/>
      <w:framePr w:wrap="around" w:vAnchor="text" w:hAnchor="margin" w:xAlign="center" w:y="1"/>
      <w:rPr>
        <w:rStyle w:val="38"/>
      </w:rPr>
    </w:pPr>
    <w:r>
      <w:fldChar w:fldCharType="begin"/>
    </w:r>
    <w:r>
      <w:rPr>
        <w:rStyle w:val="38"/>
      </w:rPr>
      <w:instrText xml:space="preserve">PAGE  </w:instrText>
    </w:r>
    <w:r>
      <w:fldChar w:fldCharType="end"/>
    </w:r>
  </w:p>
  <w:p w14:paraId="6BA3E0EC">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30C7">
    <w:pPr>
      <w:pStyle w:val="2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69384E">
                          <w:pPr>
                            <w:pStyle w:val="22"/>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sz w:val="26"/>
                              <w:szCs w:val="26"/>
                            </w:rPr>
                            <w:fldChar w:fldCharType="begin"/>
                          </w:r>
                          <w:r>
                            <w:rPr>
                              <w:rStyle w:val="38"/>
                              <w:sz w:val="26"/>
                              <w:szCs w:val="26"/>
                            </w:rPr>
                            <w:instrText xml:space="preserve">PAGE  </w:instrText>
                          </w:r>
                          <w:r>
                            <w:rPr>
                              <w:sz w:val="26"/>
                              <w:szCs w:val="26"/>
                            </w:rPr>
                            <w:fldChar w:fldCharType="separate"/>
                          </w:r>
                          <w:r>
                            <w:rPr>
                              <w:rStyle w:val="38"/>
                              <w:sz w:val="26"/>
                              <w:szCs w:val="26"/>
                            </w:rPr>
                            <w:t>18</w:t>
                          </w:r>
                          <w:r>
                            <w:rPr>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dJFwPLAQAAnAMAAA4AAAAAAAAAAQAgAAAAHgEAAGRycy9lMm9E&#10;b2MueG1sUEsFBgAAAAAGAAYAWQEAAFsFAAAAAA==&#10;">
              <v:fill on="f" focussize="0,0"/>
              <v:stroke on="f"/>
              <v:imagedata o:title=""/>
              <o:lock v:ext="edit" aspectratio="f"/>
              <v:textbox inset="0mm,0mm,0mm,0mm" style="mso-fit-shape-to-text:t;">
                <w:txbxContent>
                  <w:p w14:paraId="4D69384E">
                    <w:pPr>
                      <w:pStyle w:val="22"/>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sz w:val="26"/>
                        <w:szCs w:val="26"/>
                      </w:rPr>
                      <w:fldChar w:fldCharType="begin"/>
                    </w:r>
                    <w:r>
                      <w:rPr>
                        <w:rStyle w:val="38"/>
                        <w:sz w:val="26"/>
                        <w:szCs w:val="26"/>
                      </w:rPr>
                      <w:instrText xml:space="preserve">PAGE  </w:instrText>
                    </w:r>
                    <w:r>
                      <w:rPr>
                        <w:sz w:val="26"/>
                        <w:szCs w:val="26"/>
                      </w:rPr>
                      <w:fldChar w:fldCharType="separate"/>
                    </w:r>
                    <w:r>
                      <w:rPr>
                        <w:rStyle w:val="38"/>
                        <w:sz w:val="26"/>
                        <w:szCs w:val="26"/>
                      </w:rPr>
                      <w:t>18</w:t>
                    </w:r>
                    <w:r>
                      <w:rPr>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621CF">
    <w:pPr>
      <w:pStyle w:val="2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47E543">
                          <w:pPr>
                            <w:pStyle w:val="22"/>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sz w:val="26"/>
                              <w:szCs w:val="26"/>
                            </w:rPr>
                            <w:fldChar w:fldCharType="begin"/>
                          </w:r>
                          <w:r>
                            <w:rPr>
                              <w:rStyle w:val="38"/>
                              <w:sz w:val="26"/>
                              <w:szCs w:val="26"/>
                            </w:rPr>
                            <w:instrText xml:space="preserve">PAGE  </w:instrText>
                          </w:r>
                          <w:r>
                            <w:rPr>
                              <w:sz w:val="26"/>
                              <w:szCs w:val="26"/>
                            </w:rPr>
                            <w:fldChar w:fldCharType="separate"/>
                          </w:r>
                          <w:r>
                            <w:rPr>
                              <w:rStyle w:val="38"/>
                              <w:sz w:val="26"/>
                              <w:szCs w:val="26"/>
                            </w:rPr>
                            <w:t>18</w:t>
                          </w:r>
                          <w:r>
                            <w:rPr>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qO18MsBAACdAwAADgAAAGRycy9lMm9Eb2MueG1srVPNjtMwEL4j8Q6W&#10;79TZg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3iJrykxHGLEz///HH+9ef8+ztZ&#10;Vq/eZIn6ADVm3gbMTcM7P2D67Ad0ZuaDijZ/kRPBOAp8uggsh0REfrRarlYVhgTG5gvis7vnIUJ6&#10;L70l2WhoxAkWYfnxI6QxdU7J1Zy/0caUKRr3nwMxs4fl3sces5WG3TAR2vn2hHx6HH5DHe46JeaD&#10;Q23znsxGnI3dbBxC1PuuLFKuB+HtIWETpbdcYYSdCuPUCrtpw/Ja/HsvWXd/1e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qjtfDLAQAAnQMAAA4AAAAAAAAAAQAgAAAAHgEAAGRycy9lMm9E&#10;b2MueG1sUEsFBgAAAAAGAAYAWQEAAFsFAAAAAA==&#10;">
              <v:fill on="f" focussize="0,0"/>
              <v:stroke on="f"/>
              <v:imagedata o:title=""/>
              <o:lock v:ext="edit" aspectratio="f"/>
              <v:textbox inset="0mm,0mm,0mm,0mm" style="mso-fit-shape-to-text:t;">
                <w:txbxContent>
                  <w:p w14:paraId="3847E543">
                    <w:pPr>
                      <w:pStyle w:val="22"/>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sz w:val="26"/>
                        <w:szCs w:val="26"/>
                      </w:rPr>
                      <w:fldChar w:fldCharType="begin"/>
                    </w:r>
                    <w:r>
                      <w:rPr>
                        <w:rStyle w:val="38"/>
                        <w:sz w:val="26"/>
                        <w:szCs w:val="26"/>
                      </w:rPr>
                      <w:instrText xml:space="preserve">PAGE  </w:instrText>
                    </w:r>
                    <w:r>
                      <w:rPr>
                        <w:sz w:val="26"/>
                        <w:szCs w:val="26"/>
                      </w:rPr>
                      <w:fldChar w:fldCharType="separate"/>
                    </w:r>
                    <w:r>
                      <w:rPr>
                        <w:rStyle w:val="38"/>
                        <w:sz w:val="26"/>
                        <w:szCs w:val="26"/>
                      </w:rPr>
                      <w:t>18</w:t>
                    </w:r>
                    <w:r>
                      <w:rPr>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37F4B">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EB05B">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5D066">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3E0F6"/>
    <w:multiLevelType w:val="singleLevel"/>
    <w:tmpl w:val="8393E0F6"/>
    <w:lvl w:ilvl="0" w:tentative="0">
      <w:start w:val="1"/>
      <w:numFmt w:val="decimal"/>
      <w:suff w:val="nothing"/>
      <w:lvlText w:val="%1"/>
      <w:lvlJc w:val="center"/>
      <w:pPr>
        <w:tabs>
          <w:tab w:val="left" w:pos="0"/>
        </w:tabs>
        <w:ind w:left="84" w:firstLine="0"/>
      </w:pPr>
      <w:rPr>
        <w:rFonts w:hint="default"/>
      </w:rPr>
    </w:lvl>
  </w:abstractNum>
  <w:abstractNum w:abstractNumId="1">
    <w:nsid w:val="A30EEF8A"/>
    <w:multiLevelType w:val="singleLevel"/>
    <w:tmpl w:val="A30EEF8A"/>
    <w:lvl w:ilvl="0" w:tentative="0">
      <w:start w:val="1"/>
      <w:numFmt w:val="decimalEnclosedCircleChinese"/>
      <w:suff w:val="nothing"/>
      <w:lvlText w:val="%1"/>
      <w:lvlJc w:val="left"/>
      <w:pPr>
        <w:tabs>
          <w:tab w:val="left" w:pos="0"/>
        </w:tabs>
        <w:ind w:left="380" w:firstLine="40"/>
      </w:pPr>
      <w:rPr>
        <w:rFonts w:hint="eastAsia" w:eastAsia="Times New Roman"/>
        <w:sz w:val="24"/>
      </w:rPr>
    </w:lvl>
  </w:abstractNum>
  <w:abstractNum w:abstractNumId="2">
    <w:nsid w:val="A57812E4"/>
    <w:multiLevelType w:val="singleLevel"/>
    <w:tmpl w:val="A57812E4"/>
    <w:lvl w:ilvl="0" w:tentative="0">
      <w:start w:val="1"/>
      <w:numFmt w:val="decimal"/>
      <w:suff w:val="nothing"/>
      <w:lvlText w:val="%1"/>
      <w:lvlJc w:val="left"/>
      <w:pPr>
        <w:tabs>
          <w:tab w:val="left" w:pos="0"/>
        </w:tabs>
        <w:ind w:left="0" w:firstLine="0"/>
      </w:pPr>
      <w:rPr>
        <w:rFonts w:hint="default" w:ascii="Times New Roman" w:hAnsi="Times New Roman"/>
      </w:rPr>
    </w:lvl>
  </w:abstractNum>
  <w:abstractNum w:abstractNumId="3">
    <w:nsid w:val="B9EA0893"/>
    <w:multiLevelType w:val="singleLevel"/>
    <w:tmpl w:val="B9EA0893"/>
    <w:lvl w:ilvl="0" w:tentative="0">
      <w:start w:val="1"/>
      <w:numFmt w:val="decimal"/>
      <w:suff w:val="nothing"/>
      <w:lvlText w:val="（%1）"/>
      <w:lvlJc w:val="left"/>
      <w:pPr>
        <w:tabs>
          <w:tab w:val="left" w:pos="0"/>
        </w:tabs>
        <w:ind w:left="0" w:firstLine="0"/>
      </w:pPr>
      <w:rPr>
        <w:rFonts w:hint="default"/>
        <w:b w:val="0"/>
        <w:sz w:val="24"/>
      </w:rPr>
    </w:lvl>
  </w:abstractNum>
  <w:abstractNum w:abstractNumId="4">
    <w:nsid w:val="CD13B488"/>
    <w:multiLevelType w:val="singleLevel"/>
    <w:tmpl w:val="CD13B488"/>
    <w:lvl w:ilvl="0" w:tentative="0">
      <w:start w:val="1"/>
      <w:numFmt w:val="decimal"/>
      <w:suff w:val="nothing"/>
      <w:lvlText w:val="（%1）"/>
      <w:lvlJc w:val="left"/>
      <w:pPr>
        <w:tabs>
          <w:tab w:val="left" w:pos="420"/>
        </w:tabs>
        <w:ind w:left="0" w:firstLine="0"/>
      </w:pPr>
      <w:rPr>
        <w:rFonts w:hint="default"/>
        <w:sz w:val="24"/>
      </w:rPr>
    </w:lvl>
  </w:abstractNum>
  <w:abstractNum w:abstractNumId="5">
    <w:nsid w:val="CF1D459D"/>
    <w:multiLevelType w:val="singleLevel"/>
    <w:tmpl w:val="CF1D459D"/>
    <w:lvl w:ilvl="0" w:tentative="0">
      <w:start w:val="1"/>
      <w:numFmt w:val="decimal"/>
      <w:suff w:val="nothing"/>
      <w:lvlText w:val="表4-%1  "/>
      <w:lvlJc w:val="left"/>
      <w:pPr>
        <w:tabs>
          <w:tab w:val="left" w:pos="0"/>
        </w:tabs>
        <w:ind w:left="0" w:firstLine="0"/>
      </w:pPr>
      <w:rPr>
        <w:rFonts w:hint="default"/>
        <w:b/>
        <w:sz w:val="24"/>
      </w:rPr>
    </w:lvl>
  </w:abstractNum>
  <w:abstractNum w:abstractNumId="6">
    <w:nsid w:val="E6CCA05A"/>
    <w:multiLevelType w:val="singleLevel"/>
    <w:tmpl w:val="E6CCA05A"/>
    <w:lvl w:ilvl="0" w:tentative="0">
      <w:start w:val="1"/>
      <w:numFmt w:val="decimal"/>
      <w:suff w:val="nothing"/>
      <w:lvlText w:val="表3-%1  "/>
      <w:lvlJc w:val="left"/>
      <w:pPr>
        <w:tabs>
          <w:tab w:val="left" w:pos="0"/>
        </w:tabs>
        <w:ind w:left="0" w:firstLine="0"/>
      </w:pPr>
      <w:rPr>
        <w:rFonts w:hint="default"/>
        <w:b/>
        <w:sz w:val="24"/>
      </w:rPr>
    </w:lvl>
  </w:abstractNum>
  <w:abstractNum w:abstractNumId="7">
    <w:nsid w:val="FB57D66A"/>
    <w:multiLevelType w:val="singleLevel"/>
    <w:tmpl w:val="FB57D66A"/>
    <w:lvl w:ilvl="0" w:tentative="0">
      <w:start w:val="1"/>
      <w:numFmt w:val="decimal"/>
      <w:suff w:val="nothing"/>
      <w:lvlText w:val="（%1）"/>
      <w:lvlJc w:val="left"/>
    </w:lvl>
  </w:abstractNum>
  <w:abstractNum w:abstractNumId="8">
    <w:nsid w:val="00000007"/>
    <w:multiLevelType w:val="singleLevel"/>
    <w:tmpl w:val="00000007"/>
    <w:lvl w:ilvl="0" w:tentative="0">
      <w:start w:val="1"/>
      <w:numFmt w:val="decimal"/>
      <w:suff w:val="nothing"/>
      <w:lvlText w:val="%1"/>
      <w:lvlJc w:val="center"/>
      <w:pPr>
        <w:tabs>
          <w:tab w:val="left" w:pos="0"/>
        </w:tabs>
        <w:ind w:left="84" w:firstLine="0"/>
      </w:pPr>
      <w:rPr>
        <w:rFonts w:hint="default"/>
      </w:rPr>
    </w:lvl>
  </w:abstractNum>
  <w:abstractNum w:abstractNumId="9">
    <w:nsid w:val="0657F811"/>
    <w:multiLevelType w:val="singleLevel"/>
    <w:tmpl w:val="0657F811"/>
    <w:lvl w:ilvl="0" w:tentative="0">
      <w:start w:val="1"/>
      <w:numFmt w:val="decimal"/>
      <w:suff w:val="nothing"/>
      <w:lvlText w:val="%1"/>
      <w:lvlJc w:val="center"/>
      <w:pPr>
        <w:tabs>
          <w:tab w:val="left" w:pos="0"/>
        </w:tabs>
        <w:ind w:left="84" w:firstLine="0"/>
      </w:pPr>
      <w:rPr>
        <w:rFonts w:hint="default"/>
      </w:rPr>
    </w:lvl>
  </w:abstractNum>
  <w:abstractNum w:abstractNumId="10">
    <w:nsid w:val="0F5A2922"/>
    <w:multiLevelType w:val="singleLevel"/>
    <w:tmpl w:val="0F5A2922"/>
    <w:lvl w:ilvl="0" w:tentative="0">
      <w:start w:val="1"/>
      <w:numFmt w:val="decimal"/>
      <w:suff w:val="nothing"/>
      <w:lvlText w:val="表2-%1  "/>
      <w:lvlJc w:val="left"/>
      <w:pPr>
        <w:tabs>
          <w:tab w:val="left" w:pos="0"/>
        </w:tabs>
        <w:ind w:left="0" w:firstLine="0"/>
      </w:pPr>
      <w:rPr>
        <w:rFonts w:hint="default"/>
        <w:b/>
        <w:sz w:val="24"/>
      </w:rPr>
    </w:lvl>
  </w:abstractNum>
  <w:abstractNum w:abstractNumId="11">
    <w:nsid w:val="1CC13AA8"/>
    <w:multiLevelType w:val="singleLevel"/>
    <w:tmpl w:val="1CC13AA8"/>
    <w:lvl w:ilvl="0" w:tentative="0">
      <w:start w:val="1"/>
      <w:numFmt w:val="decimal"/>
      <w:suff w:val="nothing"/>
      <w:lvlText w:val="图4-%1  "/>
      <w:lvlJc w:val="left"/>
      <w:pPr>
        <w:tabs>
          <w:tab w:val="left" w:pos="0"/>
        </w:tabs>
        <w:ind w:left="0" w:firstLine="0"/>
      </w:pPr>
      <w:rPr>
        <w:rFonts w:hint="default"/>
        <w:b/>
        <w:sz w:val="24"/>
      </w:rPr>
    </w:lvl>
  </w:abstractNum>
  <w:abstractNum w:abstractNumId="12">
    <w:nsid w:val="267D4F94"/>
    <w:multiLevelType w:val="multilevel"/>
    <w:tmpl w:val="267D4F94"/>
    <w:lvl w:ilvl="0" w:tentative="0">
      <w:start w:val="1"/>
      <w:numFmt w:val="decimal"/>
      <w:pStyle w:val="132"/>
      <w:suff w:val="nothing"/>
      <w:lvlText w:val="(%1)、"/>
      <w:lvlJc w:val="left"/>
      <w:pPr>
        <w:ind w:left="568" w:firstLine="0"/>
      </w:pPr>
      <w:rPr>
        <w:rFonts w:hint="default"/>
      </w:rPr>
    </w:lvl>
    <w:lvl w:ilvl="1" w:tentative="0">
      <w:start w:val="1"/>
      <w:numFmt w:val="lowerLetter"/>
      <w:lvlText w:val="%2)"/>
      <w:lvlJc w:val="left"/>
      <w:pPr>
        <w:ind w:left="2248" w:hanging="420"/>
      </w:pPr>
    </w:lvl>
    <w:lvl w:ilvl="2" w:tentative="0">
      <w:start w:val="1"/>
      <w:numFmt w:val="lowerRoman"/>
      <w:lvlText w:val="%3."/>
      <w:lvlJc w:val="right"/>
      <w:pPr>
        <w:ind w:left="2668" w:hanging="420"/>
      </w:pPr>
    </w:lvl>
    <w:lvl w:ilvl="3" w:tentative="0">
      <w:start w:val="1"/>
      <w:numFmt w:val="decimal"/>
      <w:lvlText w:val="%4."/>
      <w:lvlJc w:val="left"/>
      <w:pPr>
        <w:ind w:left="3088" w:hanging="420"/>
      </w:pPr>
    </w:lvl>
    <w:lvl w:ilvl="4" w:tentative="0">
      <w:start w:val="1"/>
      <w:numFmt w:val="lowerLetter"/>
      <w:lvlText w:val="%5)"/>
      <w:lvlJc w:val="left"/>
      <w:pPr>
        <w:ind w:left="3508" w:hanging="420"/>
      </w:pPr>
    </w:lvl>
    <w:lvl w:ilvl="5" w:tentative="0">
      <w:start w:val="1"/>
      <w:numFmt w:val="lowerRoman"/>
      <w:lvlText w:val="%6."/>
      <w:lvlJc w:val="right"/>
      <w:pPr>
        <w:ind w:left="3928" w:hanging="420"/>
      </w:pPr>
    </w:lvl>
    <w:lvl w:ilvl="6" w:tentative="0">
      <w:start w:val="1"/>
      <w:numFmt w:val="decimal"/>
      <w:lvlText w:val="%7."/>
      <w:lvlJc w:val="left"/>
      <w:pPr>
        <w:ind w:left="4348" w:hanging="420"/>
      </w:pPr>
    </w:lvl>
    <w:lvl w:ilvl="7" w:tentative="0">
      <w:start w:val="1"/>
      <w:numFmt w:val="lowerLetter"/>
      <w:lvlText w:val="%8)"/>
      <w:lvlJc w:val="left"/>
      <w:pPr>
        <w:ind w:left="4768" w:hanging="420"/>
      </w:pPr>
    </w:lvl>
    <w:lvl w:ilvl="8" w:tentative="0">
      <w:start w:val="1"/>
      <w:numFmt w:val="lowerRoman"/>
      <w:lvlText w:val="%9."/>
      <w:lvlJc w:val="right"/>
      <w:pPr>
        <w:ind w:left="5188" w:hanging="420"/>
      </w:pPr>
    </w:lvl>
  </w:abstractNum>
  <w:abstractNum w:abstractNumId="13">
    <w:nsid w:val="2F0C6D1A"/>
    <w:multiLevelType w:val="singleLevel"/>
    <w:tmpl w:val="2F0C6D1A"/>
    <w:lvl w:ilvl="0" w:tentative="0">
      <w:start w:val="1"/>
      <w:numFmt w:val="decimal"/>
      <w:suff w:val="nothing"/>
      <w:lvlText w:val="%1、"/>
      <w:lvlJc w:val="left"/>
    </w:lvl>
  </w:abstractNum>
  <w:abstractNum w:abstractNumId="14">
    <w:nsid w:val="3A8F7170"/>
    <w:multiLevelType w:val="singleLevel"/>
    <w:tmpl w:val="3A8F7170"/>
    <w:lvl w:ilvl="0" w:tentative="0">
      <w:start w:val="1"/>
      <w:numFmt w:val="decimal"/>
      <w:suff w:val="nothing"/>
      <w:lvlText w:val="（%1）"/>
      <w:lvlJc w:val="left"/>
    </w:lvl>
  </w:abstractNum>
  <w:abstractNum w:abstractNumId="15">
    <w:nsid w:val="3B3407A3"/>
    <w:multiLevelType w:val="singleLevel"/>
    <w:tmpl w:val="3B3407A3"/>
    <w:lvl w:ilvl="0" w:tentative="0">
      <w:start w:val="1"/>
      <w:numFmt w:val="decimal"/>
      <w:suff w:val="nothing"/>
      <w:lvlText w:val="表1-%1 "/>
      <w:lvlJc w:val="center"/>
      <w:pPr>
        <w:tabs>
          <w:tab w:val="left" w:pos="0"/>
        </w:tabs>
        <w:ind w:left="0" w:firstLine="0"/>
      </w:pPr>
      <w:rPr>
        <w:rFonts w:hint="default" w:ascii="Times New Roman" w:hAnsi="Times New Roman" w:eastAsia="宋体" w:cs="宋体"/>
        <w:b/>
        <w:sz w:val="24"/>
        <w:szCs w:val="21"/>
      </w:rPr>
    </w:lvl>
  </w:abstractNum>
  <w:abstractNum w:abstractNumId="16">
    <w:nsid w:val="4997DB42"/>
    <w:multiLevelType w:val="singleLevel"/>
    <w:tmpl w:val="4997DB42"/>
    <w:lvl w:ilvl="0" w:tentative="0">
      <w:start w:val="1"/>
      <w:numFmt w:val="decimal"/>
      <w:suff w:val="nothing"/>
      <w:lvlText w:val="%1"/>
      <w:lvlJc w:val="center"/>
      <w:pPr>
        <w:tabs>
          <w:tab w:val="left" w:pos="0"/>
        </w:tabs>
        <w:ind w:left="84" w:firstLine="0"/>
      </w:pPr>
      <w:rPr>
        <w:rFonts w:hint="default"/>
      </w:rPr>
    </w:lvl>
  </w:abstractNum>
  <w:abstractNum w:abstractNumId="17">
    <w:nsid w:val="529B38A7"/>
    <w:multiLevelType w:val="singleLevel"/>
    <w:tmpl w:val="529B38A7"/>
    <w:lvl w:ilvl="0" w:tentative="0">
      <w:start w:val="1"/>
      <w:numFmt w:val="decimal"/>
      <w:suff w:val="nothing"/>
      <w:lvlText w:val="表1-%1  "/>
      <w:lvlJc w:val="center"/>
      <w:pPr>
        <w:tabs>
          <w:tab w:val="left" w:pos="0"/>
        </w:tabs>
        <w:ind w:left="0" w:firstLine="0"/>
      </w:pPr>
      <w:rPr>
        <w:rFonts w:hint="default" w:ascii="Times New Roman" w:hAnsi="Times New Roman" w:eastAsia="宋体" w:cs="宋体"/>
        <w:b/>
        <w:sz w:val="24"/>
        <w:szCs w:val="21"/>
      </w:rPr>
    </w:lvl>
  </w:abstractNum>
  <w:abstractNum w:abstractNumId="18">
    <w:nsid w:val="5A40E611"/>
    <w:multiLevelType w:val="multilevel"/>
    <w:tmpl w:val="5A40E611"/>
    <w:lvl w:ilvl="0" w:tentative="0">
      <w:start w:val="1"/>
      <w:numFmt w:val="decimal"/>
      <w:isLgl/>
      <w:suff w:val="space"/>
      <w:lvlText w:val="第%1章"/>
      <w:lvlJc w:val="center"/>
      <w:pPr>
        <w:tabs>
          <w:tab w:val="left" w:pos="0"/>
        </w:tabs>
        <w:ind w:left="0" w:firstLine="0"/>
      </w:pPr>
      <w:rPr>
        <w:rFonts w:hint="default" w:ascii="Times New Roman" w:hAnsi="Times New Roman" w:eastAsia="宋体" w:cs="Times New Roman"/>
        <w:b/>
        <w:bCs/>
        <w:i w:val="0"/>
        <w:sz w:val="32"/>
        <w:szCs w:val="32"/>
        <w:lang w:val="en-US"/>
      </w:rPr>
    </w:lvl>
    <w:lvl w:ilvl="1" w:tentative="0">
      <w:start w:val="1"/>
      <w:numFmt w:val="decimal"/>
      <w:isLgl/>
      <w:suff w:val="space"/>
      <w:lvlText w:val="%1.%2"/>
      <w:lvlJc w:val="left"/>
      <w:pPr>
        <w:tabs>
          <w:tab w:val="left" w:pos="0"/>
        </w:tabs>
        <w:ind w:left="0" w:firstLine="0"/>
      </w:pPr>
      <w:rPr>
        <w:rFonts w:hint="default" w:ascii="Times New Roman" w:hAnsi="Times New Roman" w:eastAsia="宋体"/>
        <w:b/>
        <w:bCs/>
        <w:i w:val="0"/>
        <w:sz w:val="28"/>
        <w:szCs w:val="28"/>
      </w:rPr>
    </w:lvl>
    <w:lvl w:ilvl="2" w:tentative="0">
      <w:start w:val="1"/>
      <w:numFmt w:val="decimal"/>
      <w:isLgl/>
      <w:suff w:val="space"/>
      <w:lvlText w:val="%1.%2.%3"/>
      <w:lvlJc w:val="left"/>
      <w:pPr>
        <w:tabs>
          <w:tab w:val="left" w:pos="0"/>
        </w:tabs>
        <w:ind w:left="0" w:firstLine="0"/>
      </w:pPr>
      <w:rPr>
        <w:rFonts w:hint="default" w:ascii="Times New Roman" w:hAnsi="Times New Roman" w:eastAsia="宋体" w:cs="Times New Roman"/>
        <w:b/>
        <w:bCs/>
        <w:i w:val="0"/>
        <w:iCs w:val="0"/>
        <w:caps w:val="0"/>
        <w:smallCaps w:val="0"/>
        <w:strike w:val="0"/>
        <w:dstrike w:val="0"/>
        <w:outline w:val="0"/>
        <w:shadow w:val="0"/>
        <w:emboss w:val="0"/>
        <w:imprint w:val="0"/>
        <w:color w:val="auto"/>
        <w:spacing w:val="0"/>
        <w:w w:val="100"/>
        <w:kern w:val="0"/>
        <w:position w:val="0"/>
        <w:sz w:val="24"/>
        <w:szCs w:val="24"/>
        <w:u w:val="none"/>
        <w:shd w:val="clear" w:color="auto" w:fill="auto"/>
        <w:lang w:val="en-US" w:eastAsia="zh-CN"/>
      </w:rPr>
    </w:lvl>
    <w:lvl w:ilvl="3" w:tentative="0">
      <w:start w:val="1"/>
      <w:numFmt w:val="decimal"/>
      <w:pStyle w:val="5"/>
      <w:isLgl/>
      <w:suff w:val="space"/>
      <w:lvlText w:val="%1.%2.%3.%4"/>
      <w:lvlJc w:val="left"/>
      <w:pPr>
        <w:tabs>
          <w:tab w:val="left" w:pos="0"/>
        </w:tabs>
        <w:ind w:left="0" w:firstLine="0"/>
      </w:pPr>
      <w:rPr>
        <w:rFonts w:hint="default" w:ascii="Times New Roman" w:hAnsi="Times New Roman" w:eastAsia="宋体"/>
        <w:b/>
        <w:i w:val="0"/>
        <w:sz w:val="24"/>
      </w:rPr>
    </w:lvl>
    <w:lvl w:ilvl="4" w:tentative="0">
      <w:start w:val="1"/>
      <w:numFmt w:val="decimal"/>
      <w:isLgl/>
      <w:lvlText w:val="%1.%2.%3.%4.%5"/>
      <w:lvlJc w:val="left"/>
      <w:pPr>
        <w:tabs>
          <w:tab w:val="left" w:pos="1713"/>
        </w:tabs>
        <w:ind w:left="633" w:firstLine="0"/>
      </w:pPr>
      <w:rPr>
        <w:rFonts w:hint="default" w:ascii="Times New Roman" w:hAnsi="Times New Roman" w:eastAsia="宋体"/>
        <w:b/>
        <w:i w:val="0"/>
        <w:sz w:val="24"/>
      </w:rPr>
    </w:lvl>
    <w:lvl w:ilvl="5" w:tentative="0">
      <w:start w:val="1"/>
      <w:numFmt w:val="decimal"/>
      <w:isLgl/>
      <w:lvlText w:val="%1.%2.%3.%4.%5.%6"/>
      <w:lvlJc w:val="left"/>
      <w:pPr>
        <w:tabs>
          <w:tab w:val="left" w:pos="2433"/>
        </w:tabs>
        <w:ind w:left="1767" w:hanging="1134"/>
      </w:pPr>
      <w:rPr>
        <w:rFonts w:hint="eastAsia"/>
      </w:rPr>
    </w:lvl>
    <w:lvl w:ilvl="6" w:tentative="0">
      <w:start w:val="1"/>
      <w:numFmt w:val="decimal"/>
      <w:lvlText w:val="%1.%2.%3.%4.%5.%6.%7."/>
      <w:lvlJc w:val="left"/>
      <w:pPr>
        <w:tabs>
          <w:tab w:val="left" w:pos="1909"/>
        </w:tabs>
        <w:ind w:left="1909" w:hanging="1276"/>
      </w:pPr>
      <w:rPr>
        <w:rFonts w:hint="eastAsia"/>
      </w:rPr>
    </w:lvl>
    <w:lvl w:ilvl="7" w:tentative="0">
      <w:start w:val="1"/>
      <w:numFmt w:val="decimal"/>
      <w:lvlText w:val="%1.%2.%3.%4.%5.%6.%7.%8."/>
      <w:lvlJc w:val="left"/>
      <w:pPr>
        <w:tabs>
          <w:tab w:val="left" w:pos="2051"/>
        </w:tabs>
        <w:ind w:left="2051" w:hanging="1418"/>
      </w:pPr>
      <w:rPr>
        <w:rFonts w:hint="eastAsia"/>
      </w:rPr>
    </w:lvl>
    <w:lvl w:ilvl="8" w:tentative="0">
      <w:start w:val="1"/>
      <w:numFmt w:val="decimal"/>
      <w:lvlText w:val="%1.%2.%3.%4.%5.%6.%7.%8.%9."/>
      <w:lvlJc w:val="left"/>
      <w:pPr>
        <w:tabs>
          <w:tab w:val="left" w:pos="2192"/>
        </w:tabs>
        <w:ind w:left="2192" w:hanging="1559"/>
      </w:pPr>
      <w:rPr>
        <w:rFonts w:hint="eastAsia"/>
      </w:rPr>
    </w:lvl>
  </w:abstractNum>
  <w:abstractNum w:abstractNumId="19">
    <w:nsid w:val="6452D14C"/>
    <w:multiLevelType w:val="singleLevel"/>
    <w:tmpl w:val="6452D14C"/>
    <w:lvl w:ilvl="0" w:tentative="0">
      <w:start w:val="2"/>
      <w:numFmt w:val="decimal"/>
      <w:suff w:val="nothing"/>
      <w:lvlText w:val="%1、"/>
      <w:lvlJc w:val="left"/>
    </w:lvl>
  </w:abstractNum>
  <w:abstractNum w:abstractNumId="20">
    <w:nsid w:val="705FB6EC"/>
    <w:multiLevelType w:val="singleLevel"/>
    <w:tmpl w:val="705FB6EC"/>
    <w:lvl w:ilvl="0" w:tentative="0">
      <w:start w:val="1"/>
      <w:numFmt w:val="decimal"/>
      <w:suff w:val="nothing"/>
      <w:lvlText w:val="（%1）"/>
      <w:lvlJc w:val="left"/>
      <w:pPr>
        <w:tabs>
          <w:tab w:val="left" w:pos="0"/>
        </w:tabs>
      </w:pPr>
      <w:rPr>
        <w:rFonts w:hint="default"/>
        <w:sz w:val="24"/>
      </w:rPr>
    </w:lvl>
  </w:abstractNum>
  <w:abstractNum w:abstractNumId="21">
    <w:nsid w:val="7243B4F9"/>
    <w:multiLevelType w:val="singleLevel"/>
    <w:tmpl w:val="7243B4F9"/>
    <w:lvl w:ilvl="0" w:tentative="0">
      <w:start w:val="1"/>
      <w:numFmt w:val="decimal"/>
      <w:suff w:val="nothing"/>
      <w:lvlText w:val="图2-%1  "/>
      <w:lvlJc w:val="left"/>
      <w:pPr>
        <w:tabs>
          <w:tab w:val="left" w:pos="420"/>
        </w:tabs>
        <w:ind w:left="0" w:firstLine="0"/>
      </w:pPr>
      <w:rPr>
        <w:rFonts w:hint="default"/>
        <w:b/>
        <w:sz w:val="24"/>
      </w:rPr>
    </w:lvl>
  </w:abstractNum>
  <w:num w:numId="1">
    <w:abstractNumId w:val="18"/>
  </w:num>
  <w:num w:numId="2">
    <w:abstractNumId w:val="12"/>
  </w:num>
  <w:num w:numId="3">
    <w:abstractNumId w:val="15"/>
  </w:num>
  <w:num w:numId="4">
    <w:abstractNumId w:val="19"/>
  </w:num>
  <w:num w:numId="5">
    <w:abstractNumId w:val="4"/>
  </w:num>
  <w:num w:numId="6">
    <w:abstractNumId w:val="17"/>
  </w:num>
  <w:num w:numId="7">
    <w:abstractNumId w:val="10"/>
  </w:num>
  <w:num w:numId="8">
    <w:abstractNumId w:val="2"/>
  </w:num>
  <w:num w:numId="9">
    <w:abstractNumId w:val="1"/>
  </w:num>
  <w:num w:numId="10">
    <w:abstractNumId w:val="21"/>
  </w:num>
  <w:num w:numId="11">
    <w:abstractNumId w:val="3"/>
  </w:num>
  <w:num w:numId="12">
    <w:abstractNumId w:val="6"/>
  </w:num>
  <w:num w:numId="13">
    <w:abstractNumId w:val="5"/>
  </w:num>
  <w:num w:numId="14">
    <w:abstractNumId w:val="11"/>
  </w:num>
  <w:num w:numId="15">
    <w:abstractNumId w:val="16"/>
  </w:num>
  <w:num w:numId="16">
    <w:abstractNumId w:val="0"/>
  </w:num>
  <w:num w:numId="17">
    <w:abstractNumId w:val="9"/>
  </w:num>
  <w:num w:numId="18">
    <w:abstractNumId w:val="13"/>
  </w:num>
  <w:num w:numId="19">
    <w:abstractNumId w:val="20"/>
  </w:num>
  <w:num w:numId="20">
    <w:abstractNumId w:val="14"/>
  </w:num>
  <w:num w:numId="21">
    <w:abstractNumId w:val="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4N2E4YTY2NDIxODJjOTVlOTBmODU4Yzk0MTJkMTEifQ=="/>
  </w:docVars>
  <w:rsids>
    <w:rsidRoot w:val="00A14947"/>
    <w:rsid w:val="0000209C"/>
    <w:rsid w:val="00002EAF"/>
    <w:rsid w:val="000046AD"/>
    <w:rsid w:val="00005737"/>
    <w:rsid w:val="000058AD"/>
    <w:rsid w:val="00005D5C"/>
    <w:rsid w:val="00005E98"/>
    <w:rsid w:val="000060B3"/>
    <w:rsid w:val="0000647B"/>
    <w:rsid w:val="000073E4"/>
    <w:rsid w:val="000118A6"/>
    <w:rsid w:val="00013181"/>
    <w:rsid w:val="00014322"/>
    <w:rsid w:val="0001440C"/>
    <w:rsid w:val="000151E1"/>
    <w:rsid w:val="00015777"/>
    <w:rsid w:val="00015C31"/>
    <w:rsid w:val="00016DCC"/>
    <w:rsid w:val="00017831"/>
    <w:rsid w:val="000179F8"/>
    <w:rsid w:val="00017F09"/>
    <w:rsid w:val="0002019F"/>
    <w:rsid w:val="0002117A"/>
    <w:rsid w:val="00021FBC"/>
    <w:rsid w:val="000227C7"/>
    <w:rsid w:val="00023601"/>
    <w:rsid w:val="00025301"/>
    <w:rsid w:val="00025FA4"/>
    <w:rsid w:val="000276A3"/>
    <w:rsid w:val="00027B40"/>
    <w:rsid w:val="00027B42"/>
    <w:rsid w:val="00031F8B"/>
    <w:rsid w:val="000328A4"/>
    <w:rsid w:val="00032953"/>
    <w:rsid w:val="00035C57"/>
    <w:rsid w:val="00036409"/>
    <w:rsid w:val="000417B7"/>
    <w:rsid w:val="00042D48"/>
    <w:rsid w:val="0004364B"/>
    <w:rsid w:val="00043950"/>
    <w:rsid w:val="00043A4A"/>
    <w:rsid w:val="00043FCD"/>
    <w:rsid w:val="0004412B"/>
    <w:rsid w:val="00050FF8"/>
    <w:rsid w:val="00051CE1"/>
    <w:rsid w:val="0005304A"/>
    <w:rsid w:val="0005477B"/>
    <w:rsid w:val="00054A44"/>
    <w:rsid w:val="00061B1F"/>
    <w:rsid w:val="00063180"/>
    <w:rsid w:val="000655E8"/>
    <w:rsid w:val="00070F54"/>
    <w:rsid w:val="00072C34"/>
    <w:rsid w:val="000733C4"/>
    <w:rsid w:val="00073C54"/>
    <w:rsid w:val="00074069"/>
    <w:rsid w:val="00074783"/>
    <w:rsid w:val="00076835"/>
    <w:rsid w:val="0008070B"/>
    <w:rsid w:val="000810AC"/>
    <w:rsid w:val="0008139F"/>
    <w:rsid w:val="00081A02"/>
    <w:rsid w:val="00082231"/>
    <w:rsid w:val="00082A1E"/>
    <w:rsid w:val="00082A61"/>
    <w:rsid w:val="00086AAA"/>
    <w:rsid w:val="0009245A"/>
    <w:rsid w:val="00092D38"/>
    <w:rsid w:val="0009377B"/>
    <w:rsid w:val="00093B96"/>
    <w:rsid w:val="00094A3C"/>
    <w:rsid w:val="00095182"/>
    <w:rsid w:val="000A0474"/>
    <w:rsid w:val="000A20C9"/>
    <w:rsid w:val="000A6213"/>
    <w:rsid w:val="000B058F"/>
    <w:rsid w:val="000B3477"/>
    <w:rsid w:val="000B34D8"/>
    <w:rsid w:val="000B40D2"/>
    <w:rsid w:val="000B4467"/>
    <w:rsid w:val="000B4DB9"/>
    <w:rsid w:val="000B6281"/>
    <w:rsid w:val="000B66DA"/>
    <w:rsid w:val="000C09AC"/>
    <w:rsid w:val="000C395B"/>
    <w:rsid w:val="000C3AB4"/>
    <w:rsid w:val="000C5D26"/>
    <w:rsid w:val="000C65C8"/>
    <w:rsid w:val="000C767F"/>
    <w:rsid w:val="000D09B0"/>
    <w:rsid w:val="000D0F73"/>
    <w:rsid w:val="000D2623"/>
    <w:rsid w:val="000D29DC"/>
    <w:rsid w:val="000D47E0"/>
    <w:rsid w:val="000D5A44"/>
    <w:rsid w:val="000E2DD6"/>
    <w:rsid w:val="000E3170"/>
    <w:rsid w:val="000E3ED2"/>
    <w:rsid w:val="000E5B5F"/>
    <w:rsid w:val="000F0002"/>
    <w:rsid w:val="000F0A8D"/>
    <w:rsid w:val="000F48C8"/>
    <w:rsid w:val="00101D77"/>
    <w:rsid w:val="00104FA1"/>
    <w:rsid w:val="0010746F"/>
    <w:rsid w:val="00110E84"/>
    <w:rsid w:val="001111DC"/>
    <w:rsid w:val="001113BD"/>
    <w:rsid w:val="00115C78"/>
    <w:rsid w:val="001166C4"/>
    <w:rsid w:val="0012196D"/>
    <w:rsid w:val="00123710"/>
    <w:rsid w:val="0012566B"/>
    <w:rsid w:val="001267F0"/>
    <w:rsid w:val="00131942"/>
    <w:rsid w:val="00131B8D"/>
    <w:rsid w:val="00131F42"/>
    <w:rsid w:val="00132307"/>
    <w:rsid w:val="0013339E"/>
    <w:rsid w:val="00133BFE"/>
    <w:rsid w:val="001357F1"/>
    <w:rsid w:val="00136730"/>
    <w:rsid w:val="001409B5"/>
    <w:rsid w:val="00140E71"/>
    <w:rsid w:val="00140FA8"/>
    <w:rsid w:val="00142940"/>
    <w:rsid w:val="00142FEB"/>
    <w:rsid w:val="00143A2D"/>
    <w:rsid w:val="00145A41"/>
    <w:rsid w:val="001477DE"/>
    <w:rsid w:val="0015018B"/>
    <w:rsid w:val="00151675"/>
    <w:rsid w:val="0015339E"/>
    <w:rsid w:val="001541F3"/>
    <w:rsid w:val="001545FD"/>
    <w:rsid w:val="001565C0"/>
    <w:rsid w:val="001566A4"/>
    <w:rsid w:val="001570FF"/>
    <w:rsid w:val="00157435"/>
    <w:rsid w:val="00163B0A"/>
    <w:rsid w:val="00165CE9"/>
    <w:rsid w:val="00166426"/>
    <w:rsid w:val="0016744C"/>
    <w:rsid w:val="00167E50"/>
    <w:rsid w:val="001736F1"/>
    <w:rsid w:val="0017458F"/>
    <w:rsid w:val="00174875"/>
    <w:rsid w:val="00174A82"/>
    <w:rsid w:val="0017504D"/>
    <w:rsid w:val="001753CE"/>
    <w:rsid w:val="0017671A"/>
    <w:rsid w:val="00177308"/>
    <w:rsid w:val="00177422"/>
    <w:rsid w:val="001777EF"/>
    <w:rsid w:val="0018099E"/>
    <w:rsid w:val="00181C24"/>
    <w:rsid w:val="00181C3A"/>
    <w:rsid w:val="00184590"/>
    <w:rsid w:val="00186C17"/>
    <w:rsid w:val="001870D1"/>
    <w:rsid w:val="0018781E"/>
    <w:rsid w:val="00190A3B"/>
    <w:rsid w:val="00190B67"/>
    <w:rsid w:val="00191C23"/>
    <w:rsid w:val="0019262D"/>
    <w:rsid w:val="001932C4"/>
    <w:rsid w:val="00195490"/>
    <w:rsid w:val="00196A63"/>
    <w:rsid w:val="00197009"/>
    <w:rsid w:val="0019758C"/>
    <w:rsid w:val="001A1B35"/>
    <w:rsid w:val="001A303D"/>
    <w:rsid w:val="001A3400"/>
    <w:rsid w:val="001A366A"/>
    <w:rsid w:val="001A389F"/>
    <w:rsid w:val="001A42EB"/>
    <w:rsid w:val="001A48A2"/>
    <w:rsid w:val="001A5A91"/>
    <w:rsid w:val="001A5D1B"/>
    <w:rsid w:val="001A6241"/>
    <w:rsid w:val="001A6D04"/>
    <w:rsid w:val="001A6F61"/>
    <w:rsid w:val="001A77B5"/>
    <w:rsid w:val="001B0B7D"/>
    <w:rsid w:val="001B2972"/>
    <w:rsid w:val="001B35FF"/>
    <w:rsid w:val="001B6C94"/>
    <w:rsid w:val="001B72B8"/>
    <w:rsid w:val="001B7FCA"/>
    <w:rsid w:val="001C04D9"/>
    <w:rsid w:val="001C4C12"/>
    <w:rsid w:val="001C6602"/>
    <w:rsid w:val="001C69B3"/>
    <w:rsid w:val="001D06C5"/>
    <w:rsid w:val="001D1B4D"/>
    <w:rsid w:val="001D2FA5"/>
    <w:rsid w:val="001D5595"/>
    <w:rsid w:val="001D5E46"/>
    <w:rsid w:val="001D7874"/>
    <w:rsid w:val="001D7F22"/>
    <w:rsid w:val="001E0308"/>
    <w:rsid w:val="001E2D8E"/>
    <w:rsid w:val="001E3A0A"/>
    <w:rsid w:val="001F0F17"/>
    <w:rsid w:val="001F311D"/>
    <w:rsid w:val="001F3347"/>
    <w:rsid w:val="001F5883"/>
    <w:rsid w:val="001F5E2D"/>
    <w:rsid w:val="001F69E4"/>
    <w:rsid w:val="00203444"/>
    <w:rsid w:val="002038B2"/>
    <w:rsid w:val="00204904"/>
    <w:rsid w:val="00205BEC"/>
    <w:rsid w:val="002061AD"/>
    <w:rsid w:val="00206E0C"/>
    <w:rsid w:val="00206FF9"/>
    <w:rsid w:val="0020762F"/>
    <w:rsid w:val="00207E76"/>
    <w:rsid w:val="00212334"/>
    <w:rsid w:val="002125B4"/>
    <w:rsid w:val="00212FD0"/>
    <w:rsid w:val="002155B8"/>
    <w:rsid w:val="00215AA4"/>
    <w:rsid w:val="00221969"/>
    <w:rsid w:val="00224839"/>
    <w:rsid w:val="002249B2"/>
    <w:rsid w:val="00225BE2"/>
    <w:rsid w:val="00226574"/>
    <w:rsid w:val="002278EC"/>
    <w:rsid w:val="0023008F"/>
    <w:rsid w:val="0023280E"/>
    <w:rsid w:val="002337BE"/>
    <w:rsid w:val="002350A3"/>
    <w:rsid w:val="00235DBE"/>
    <w:rsid w:val="00236ECA"/>
    <w:rsid w:val="002377D1"/>
    <w:rsid w:val="00237A6E"/>
    <w:rsid w:val="00240642"/>
    <w:rsid w:val="0024097D"/>
    <w:rsid w:val="0024254C"/>
    <w:rsid w:val="0024366B"/>
    <w:rsid w:val="00246A2A"/>
    <w:rsid w:val="00246A7A"/>
    <w:rsid w:val="00247731"/>
    <w:rsid w:val="002506BC"/>
    <w:rsid w:val="00251016"/>
    <w:rsid w:val="00252EB3"/>
    <w:rsid w:val="00253083"/>
    <w:rsid w:val="002539F7"/>
    <w:rsid w:val="00254133"/>
    <w:rsid w:val="00254345"/>
    <w:rsid w:val="0025485F"/>
    <w:rsid w:val="0025542A"/>
    <w:rsid w:val="00260D82"/>
    <w:rsid w:val="00262652"/>
    <w:rsid w:val="002630BB"/>
    <w:rsid w:val="00264557"/>
    <w:rsid w:val="00264C83"/>
    <w:rsid w:val="00265DF9"/>
    <w:rsid w:val="00271D0F"/>
    <w:rsid w:val="00273E79"/>
    <w:rsid w:val="00274925"/>
    <w:rsid w:val="00274CFB"/>
    <w:rsid w:val="00276F47"/>
    <w:rsid w:val="0027739C"/>
    <w:rsid w:val="002805AB"/>
    <w:rsid w:val="00284204"/>
    <w:rsid w:val="00285B51"/>
    <w:rsid w:val="002878F5"/>
    <w:rsid w:val="00291773"/>
    <w:rsid w:val="00292198"/>
    <w:rsid w:val="00292F7D"/>
    <w:rsid w:val="00293214"/>
    <w:rsid w:val="00293843"/>
    <w:rsid w:val="0029435F"/>
    <w:rsid w:val="00295D7B"/>
    <w:rsid w:val="00295ED5"/>
    <w:rsid w:val="00297249"/>
    <w:rsid w:val="002A07A6"/>
    <w:rsid w:val="002A168C"/>
    <w:rsid w:val="002A2E02"/>
    <w:rsid w:val="002A2ECA"/>
    <w:rsid w:val="002A32C1"/>
    <w:rsid w:val="002A3AEC"/>
    <w:rsid w:val="002A3D8A"/>
    <w:rsid w:val="002A3DC7"/>
    <w:rsid w:val="002A516B"/>
    <w:rsid w:val="002A5D72"/>
    <w:rsid w:val="002A7850"/>
    <w:rsid w:val="002B1F67"/>
    <w:rsid w:val="002B413E"/>
    <w:rsid w:val="002B486B"/>
    <w:rsid w:val="002B49E2"/>
    <w:rsid w:val="002B7B00"/>
    <w:rsid w:val="002B7C44"/>
    <w:rsid w:val="002B7CE5"/>
    <w:rsid w:val="002C179B"/>
    <w:rsid w:val="002C2B17"/>
    <w:rsid w:val="002C4449"/>
    <w:rsid w:val="002C517C"/>
    <w:rsid w:val="002C5706"/>
    <w:rsid w:val="002C7723"/>
    <w:rsid w:val="002D157E"/>
    <w:rsid w:val="002D269B"/>
    <w:rsid w:val="002D28C8"/>
    <w:rsid w:val="002D3DD0"/>
    <w:rsid w:val="002D564D"/>
    <w:rsid w:val="002E1F3A"/>
    <w:rsid w:val="002E293A"/>
    <w:rsid w:val="002E298A"/>
    <w:rsid w:val="002E3CA6"/>
    <w:rsid w:val="002E5366"/>
    <w:rsid w:val="002E687C"/>
    <w:rsid w:val="002E7CE5"/>
    <w:rsid w:val="002F0AC5"/>
    <w:rsid w:val="002F0DB9"/>
    <w:rsid w:val="002F6C49"/>
    <w:rsid w:val="00301978"/>
    <w:rsid w:val="0030332C"/>
    <w:rsid w:val="00304356"/>
    <w:rsid w:val="003051C2"/>
    <w:rsid w:val="003059E9"/>
    <w:rsid w:val="003109E1"/>
    <w:rsid w:val="00312296"/>
    <w:rsid w:val="00313E26"/>
    <w:rsid w:val="00314F0E"/>
    <w:rsid w:val="00317041"/>
    <w:rsid w:val="003172B4"/>
    <w:rsid w:val="00321540"/>
    <w:rsid w:val="00321D8E"/>
    <w:rsid w:val="003228D3"/>
    <w:rsid w:val="003234F1"/>
    <w:rsid w:val="00325729"/>
    <w:rsid w:val="00325928"/>
    <w:rsid w:val="00327587"/>
    <w:rsid w:val="00331B69"/>
    <w:rsid w:val="003320AB"/>
    <w:rsid w:val="0033218D"/>
    <w:rsid w:val="00332863"/>
    <w:rsid w:val="003357D8"/>
    <w:rsid w:val="00335E25"/>
    <w:rsid w:val="00336130"/>
    <w:rsid w:val="0033634B"/>
    <w:rsid w:val="0033679B"/>
    <w:rsid w:val="0033684D"/>
    <w:rsid w:val="00336CF6"/>
    <w:rsid w:val="00336D24"/>
    <w:rsid w:val="00336D31"/>
    <w:rsid w:val="00337586"/>
    <w:rsid w:val="00337B42"/>
    <w:rsid w:val="003406BF"/>
    <w:rsid w:val="003410DC"/>
    <w:rsid w:val="003416A2"/>
    <w:rsid w:val="00341B42"/>
    <w:rsid w:val="00342423"/>
    <w:rsid w:val="0034348F"/>
    <w:rsid w:val="003434A3"/>
    <w:rsid w:val="00345AC7"/>
    <w:rsid w:val="00345FB4"/>
    <w:rsid w:val="00346106"/>
    <w:rsid w:val="00352D30"/>
    <w:rsid w:val="003532FE"/>
    <w:rsid w:val="00354B49"/>
    <w:rsid w:val="00356653"/>
    <w:rsid w:val="0035743F"/>
    <w:rsid w:val="003577A2"/>
    <w:rsid w:val="00357BE2"/>
    <w:rsid w:val="0036170C"/>
    <w:rsid w:val="003648BE"/>
    <w:rsid w:val="003662CF"/>
    <w:rsid w:val="00366E0F"/>
    <w:rsid w:val="003674D7"/>
    <w:rsid w:val="00370D3A"/>
    <w:rsid w:val="0037184C"/>
    <w:rsid w:val="00371B9B"/>
    <w:rsid w:val="003729C8"/>
    <w:rsid w:val="00373ACB"/>
    <w:rsid w:val="003752C8"/>
    <w:rsid w:val="003761C8"/>
    <w:rsid w:val="0037794C"/>
    <w:rsid w:val="00380897"/>
    <w:rsid w:val="00380BBE"/>
    <w:rsid w:val="00381A72"/>
    <w:rsid w:val="00382DEE"/>
    <w:rsid w:val="00384676"/>
    <w:rsid w:val="00384D81"/>
    <w:rsid w:val="00390857"/>
    <w:rsid w:val="00390858"/>
    <w:rsid w:val="00392485"/>
    <w:rsid w:val="0039586C"/>
    <w:rsid w:val="003A1BEC"/>
    <w:rsid w:val="003A4BF3"/>
    <w:rsid w:val="003A5E5A"/>
    <w:rsid w:val="003B0278"/>
    <w:rsid w:val="003B2DC5"/>
    <w:rsid w:val="003B420D"/>
    <w:rsid w:val="003B54D6"/>
    <w:rsid w:val="003C28DE"/>
    <w:rsid w:val="003C36F2"/>
    <w:rsid w:val="003C4D39"/>
    <w:rsid w:val="003C6C16"/>
    <w:rsid w:val="003C7A33"/>
    <w:rsid w:val="003D371B"/>
    <w:rsid w:val="003D7668"/>
    <w:rsid w:val="003D794D"/>
    <w:rsid w:val="003E0566"/>
    <w:rsid w:val="003E298D"/>
    <w:rsid w:val="003E302A"/>
    <w:rsid w:val="003E304A"/>
    <w:rsid w:val="003E3058"/>
    <w:rsid w:val="003E3423"/>
    <w:rsid w:val="003E435C"/>
    <w:rsid w:val="003E4C81"/>
    <w:rsid w:val="003E76A9"/>
    <w:rsid w:val="003F0809"/>
    <w:rsid w:val="003F2C9B"/>
    <w:rsid w:val="003F6A8C"/>
    <w:rsid w:val="003F755C"/>
    <w:rsid w:val="00402709"/>
    <w:rsid w:val="00403BEE"/>
    <w:rsid w:val="00405888"/>
    <w:rsid w:val="00406F01"/>
    <w:rsid w:val="00407ED7"/>
    <w:rsid w:val="00410BD7"/>
    <w:rsid w:val="00411CA3"/>
    <w:rsid w:val="00414D1A"/>
    <w:rsid w:val="00416AD4"/>
    <w:rsid w:val="00416D50"/>
    <w:rsid w:val="00416FD5"/>
    <w:rsid w:val="00417772"/>
    <w:rsid w:val="0042082E"/>
    <w:rsid w:val="00420E6A"/>
    <w:rsid w:val="0042408B"/>
    <w:rsid w:val="00425630"/>
    <w:rsid w:val="00425A9E"/>
    <w:rsid w:val="00425B43"/>
    <w:rsid w:val="00425D93"/>
    <w:rsid w:val="00426D6B"/>
    <w:rsid w:val="00430733"/>
    <w:rsid w:val="00431E6C"/>
    <w:rsid w:val="00432ABA"/>
    <w:rsid w:val="004331C2"/>
    <w:rsid w:val="00433788"/>
    <w:rsid w:val="00433CE7"/>
    <w:rsid w:val="0043413A"/>
    <w:rsid w:val="0043540F"/>
    <w:rsid w:val="00435A92"/>
    <w:rsid w:val="0044074B"/>
    <w:rsid w:val="00443541"/>
    <w:rsid w:val="0044381B"/>
    <w:rsid w:val="00446B96"/>
    <w:rsid w:val="004479E5"/>
    <w:rsid w:val="004511E2"/>
    <w:rsid w:val="004515C3"/>
    <w:rsid w:val="00452738"/>
    <w:rsid w:val="00453000"/>
    <w:rsid w:val="00453627"/>
    <w:rsid w:val="004538A2"/>
    <w:rsid w:val="004544DC"/>
    <w:rsid w:val="00455F1E"/>
    <w:rsid w:val="00456091"/>
    <w:rsid w:val="00456BCB"/>
    <w:rsid w:val="00456EBF"/>
    <w:rsid w:val="00457B9A"/>
    <w:rsid w:val="00460D54"/>
    <w:rsid w:val="00460F6D"/>
    <w:rsid w:val="00462077"/>
    <w:rsid w:val="00462095"/>
    <w:rsid w:val="004631A2"/>
    <w:rsid w:val="00466321"/>
    <w:rsid w:val="004672B9"/>
    <w:rsid w:val="0047558B"/>
    <w:rsid w:val="00476EDF"/>
    <w:rsid w:val="00484B9B"/>
    <w:rsid w:val="004855F6"/>
    <w:rsid w:val="004856D8"/>
    <w:rsid w:val="0048661E"/>
    <w:rsid w:val="00486B26"/>
    <w:rsid w:val="00490BD8"/>
    <w:rsid w:val="00494670"/>
    <w:rsid w:val="00496DC0"/>
    <w:rsid w:val="004A1407"/>
    <w:rsid w:val="004A3823"/>
    <w:rsid w:val="004A3980"/>
    <w:rsid w:val="004A3D56"/>
    <w:rsid w:val="004A5CC6"/>
    <w:rsid w:val="004A6C6B"/>
    <w:rsid w:val="004B0B20"/>
    <w:rsid w:val="004B48E1"/>
    <w:rsid w:val="004B6E40"/>
    <w:rsid w:val="004B780F"/>
    <w:rsid w:val="004C4F61"/>
    <w:rsid w:val="004C5EDE"/>
    <w:rsid w:val="004C64B0"/>
    <w:rsid w:val="004C7B74"/>
    <w:rsid w:val="004D13B2"/>
    <w:rsid w:val="004D2752"/>
    <w:rsid w:val="004D3DCF"/>
    <w:rsid w:val="004D4AEB"/>
    <w:rsid w:val="004D5DC8"/>
    <w:rsid w:val="004E1282"/>
    <w:rsid w:val="004E2CA9"/>
    <w:rsid w:val="004E32BB"/>
    <w:rsid w:val="004E37E9"/>
    <w:rsid w:val="004E38D2"/>
    <w:rsid w:val="004E3F4A"/>
    <w:rsid w:val="004E616D"/>
    <w:rsid w:val="004E6946"/>
    <w:rsid w:val="004F0B5B"/>
    <w:rsid w:val="004F1962"/>
    <w:rsid w:val="004F1AD8"/>
    <w:rsid w:val="004F1DA1"/>
    <w:rsid w:val="004F36F2"/>
    <w:rsid w:val="004F58AF"/>
    <w:rsid w:val="00500F86"/>
    <w:rsid w:val="005013DE"/>
    <w:rsid w:val="0050149C"/>
    <w:rsid w:val="00501C8F"/>
    <w:rsid w:val="00503750"/>
    <w:rsid w:val="005039CB"/>
    <w:rsid w:val="0050558F"/>
    <w:rsid w:val="00506286"/>
    <w:rsid w:val="00507B39"/>
    <w:rsid w:val="00510813"/>
    <w:rsid w:val="00511990"/>
    <w:rsid w:val="00511DE0"/>
    <w:rsid w:val="00514870"/>
    <w:rsid w:val="00514B9B"/>
    <w:rsid w:val="00514BE9"/>
    <w:rsid w:val="005173A6"/>
    <w:rsid w:val="00517F02"/>
    <w:rsid w:val="00524303"/>
    <w:rsid w:val="005258A2"/>
    <w:rsid w:val="005319D6"/>
    <w:rsid w:val="00534575"/>
    <w:rsid w:val="00537C28"/>
    <w:rsid w:val="005401AE"/>
    <w:rsid w:val="00542E07"/>
    <w:rsid w:val="00544592"/>
    <w:rsid w:val="00545424"/>
    <w:rsid w:val="005511ED"/>
    <w:rsid w:val="005516B4"/>
    <w:rsid w:val="005523D1"/>
    <w:rsid w:val="0055351D"/>
    <w:rsid w:val="00553601"/>
    <w:rsid w:val="00554A7B"/>
    <w:rsid w:val="0055572C"/>
    <w:rsid w:val="00556AA6"/>
    <w:rsid w:val="00557D21"/>
    <w:rsid w:val="005608A7"/>
    <w:rsid w:val="0056106A"/>
    <w:rsid w:val="005611F0"/>
    <w:rsid w:val="0056162C"/>
    <w:rsid w:val="00563990"/>
    <w:rsid w:val="005650C6"/>
    <w:rsid w:val="00566425"/>
    <w:rsid w:val="005664E9"/>
    <w:rsid w:val="00566900"/>
    <w:rsid w:val="005720AE"/>
    <w:rsid w:val="005729D7"/>
    <w:rsid w:val="00573A40"/>
    <w:rsid w:val="00575926"/>
    <w:rsid w:val="00581C4B"/>
    <w:rsid w:val="005845DC"/>
    <w:rsid w:val="00584C1D"/>
    <w:rsid w:val="0058523E"/>
    <w:rsid w:val="00585A49"/>
    <w:rsid w:val="00586799"/>
    <w:rsid w:val="00586FEC"/>
    <w:rsid w:val="00587385"/>
    <w:rsid w:val="005877AF"/>
    <w:rsid w:val="00592EE7"/>
    <w:rsid w:val="0059446A"/>
    <w:rsid w:val="00594D77"/>
    <w:rsid w:val="005969E4"/>
    <w:rsid w:val="005970AB"/>
    <w:rsid w:val="00597878"/>
    <w:rsid w:val="005A0355"/>
    <w:rsid w:val="005A06B7"/>
    <w:rsid w:val="005A0D91"/>
    <w:rsid w:val="005A1759"/>
    <w:rsid w:val="005A1833"/>
    <w:rsid w:val="005A68A7"/>
    <w:rsid w:val="005B0358"/>
    <w:rsid w:val="005B044D"/>
    <w:rsid w:val="005B1E0C"/>
    <w:rsid w:val="005B283F"/>
    <w:rsid w:val="005B34BC"/>
    <w:rsid w:val="005B3D38"/>
    <w:rsid w:val="005B5954"/>
    <w:rsid w:val="005B6071"/>
    <w:rsid w:val="005B6427"/>
    <w:rsid w:val="005C052E"/>
    <w:rsid w:val="005C2439"/>
    <w:rsid w:val="005C3F25"/>
    <w:rsid w:val="005C5DCA"/>
    <w:rsid w:val="005C5E21"/>
    <w:rsid w:val="005C65E0"/>
    <w:rsid w:val="005C6ADC"/>
    <w:rsid w:val="005C71DF"/>
    <w:rsid w:val="005D06C3"/>
    <w:rsid w:val="005D1B12"/>
    <w:rsid w:val="005D36AB"/>
    <w:rsid w:val="005D3DA7"/>
    <w:rsid w:val="005D6442"/>
    <w:rsid w:val="005D7FC0"/>
    <w:rsid w:val="005E0A95"/>
    <w:rsid w:val="005E1E46"/>
    <w:rsid w:val="005E2889"/>
    <w:rsid w:val="005E4D5A"/>
    <w:rsid w:val="005E52D1"/>
    <w:rsid w:val="005E7E41"/>
    <w:rsid w:val="005F00A2"/>
    <w:rsid w:val="005F131A"/>
    <w:rsid w:val="005F481F"/>
    <w:rsid w:val="005F5391"/>
    <w:rsid w:val="00600A71"/>
    <w:rsid w:val="00600ECC"/>
    <w:rsid w:val="00603CFB"/>
    <w:rsid w:val="00606B78"/>
    <w:rsid w:val="00610583"/>
    <w:rsid w:val="00611F81"/>
    <w:rsid w:val="00613BAE"/>
    <w:rsid w:val="00614053"/>
    <w:rsid w:val="006141AA"/>
    <w:rsid w:val="00614C67"/>
    <w:rsid w:val="00616E40"/>
    <w:rsid w:val="00617CC3"/>
    <w:rsid w:val="00621505"/>
    <w:rsid w:val="00622D09"/>
    <w:rsid w:val="0062534C"/>
    <w:rsid w:val="00626C4D"/>
    <w:rsid w:val="0063039A"/>
    <w:rsid w:val="00631259"/>
    <w:rsid w:val="0063275A"/>
    <w:rsid w:val="00635361"/>
    <w:rsid w:val="006360BD"/>
    <w:rsid w:val="006377A6"/>
    <w:rsid w:val="00637A3D"/>
    <w:rsid w:val="006407A2"/>
    <w:rsid w:val="00640815"/>
    <w:rsid w:val="006411EF"/>
    <w:rsid w:val="006416E2"/>
    <w:rsid w:val="00642BCE"/>
    <w:rsid w:val="00650697"/>
    <w:rsid w:val="00652091"/>
    <w:rsid w:val="00654165"/>
    <w:rsid w:val="00662223"/>
    <w:rsid w:val="00663BAE"/>
    <w:rsid w:val="00663F12"/>
    <w:rsid w:val="00665ADE"/>
    <w:rsid w:val="00667B21"/>
    <w:rsid w:val="006711BF"/>
    <w:rsid w:val="00671978"/>
    <w:rsid w:val="006729D6"/>
    <w:rsid w:val="006738AA"/>
    <w:rsid w:val="00674542"/>
    <w:rsid w:val="006748B8"/>
    <w:rsid w:val="006775C3"/>
    <w:rsid w:val="0067764C"/>
    <w:rsid w:val="00677DE7"/>
    <w:rsid w:val="006809C8"/>
    <w:rsid w:val="006838D9"/>
    <w:rsid w:val="00683BD9"/>
    <w:rsid w:val="00683C44"/>
    <w:rsid w:val="006901A8"/>
    <w:rsid w:val="00690C12"/>
    <w:rsid w:val="00691291"/>
    <w:rsid w:val="0069290A"/>
    <w:rsid w:val="00692CF3"/>
    <w:rsid w:val="00693514"/>
    <w:rsid w:val="0069474B"/>
    <w:rsid w:val="00694A51"/>
    <w:rsid w:val="006960DE"/>
    <w:rsid w:val="0069775A"/>
    <w:rsid w:val="00697813"/>
    <w:rsid w:val="006A1690"/>
    <w:rsid w:val="006A1DD1"/>
    <w:rsid w:val="006A3EE8"/>
    <w:rsid w:val="006A5FF1"/>
    <w:rsid w:val="006A72BF"/>
    <w:rsid w:val="006B03F2"/>
    <w:rsid w:val="006B2999"/>
    <w:rsid w:val="006B37DC"/>
    <w:rsid w:val="006B3E66"/>
    <w:rsid w:val="006B4F68"/>
    <w:rsid w:val="006B645E"/>
    <w:rsid w:val="006B6CF8"/>
    <w:rsid w:val="006C0592"/>
    <w:rsid w:val="006C272E"/>
    <w:rsid w:val="006C279F"/>
    <w:rsid w:val="006C2A7D"/>
    <w:rsid w:val="006C47C2"/>
    <w:rsid w:val="006C5479"/>
    <w:rsid w:val="006C5FD5"/>
    <w:rsid w:val="006C697A"/>
    <w:rsid w:val="006D13B5"/>
    <w:rsid w:val="006D5EE2"/>
    <w:rsid w:val="006D6F3B"/>
    <w:rsid w:val="006D7EDC"/>
    <w:rsid w:val="006E0BAF"/>
    <w:rsid w:val="006E12FF"/>
    <w:rsid w:val="006E2937"/>
    <w:rsid w:val="006E2CC8"/>
    <w:rsid w:val="006E2F64"/>
    <w:rsid w:val="006E4491"/>
    <w:rsid w:val="006E4B43"/>
    <w:rsid w:val="006E5881"/>
    <w:rsid w:val="006E5EB4"/>
    <w:rsid w:val="006E607E"/>
    <w:rsid w:val="006E7709"/>
    <w:rsid w:val="006F03A4"/>
    <w:rsid w:val="006F0863"/>
    <w:rsid w:val="006F0BD5"/>
    <w:rsid w:val="006F50ED"/>
    <w:rsid w:val="006F5258"/>
    <w:rsid w:val="006F578E"/>
    <w:rsid w:val="006F69AF"/>
    <w:rsid w:val="0070015E"/>
    <w:rsid w:val="00700D1A"/>
    <w:rsid w:val="00702BDE"/>
    <w:rsid w:val="00706C5D"/>
    <w:rsid w:val="00707442"/>
    <w:rsid w:val="0070754E"/>
    <w:rsid w:val="00710BBB"/>
    <w:rsid w:val="00711C41"/>
    <w:rsid w:val="007157AB"/>
    <w:rsid w:val="00716826"/>
    <w:rsid w:val="00717085"/>
    <w:rsid w:val="00717FAC"/>
    <w:rsid w:val="00721F68"/>
    <w:rsid w:val="007245DF"/>
    <w:rsid w:val="00724D56"/>
    <w:rsid w:val="0072716D"/>
    <w:rsid w:val="007273B1"/>
    <w:rsid w:val="00727648"/>
    <w:rsid w:val="00730041"/>
    <w:rsid w:val="007309AC"/>
    <w:rsid w:val="00731098"/>
    <w:rsid w:val="00731467"/>
    <w:rsid w:val="00732922"/>
    <w:rsid w:val="00732B41"/>
    <w:rsid w:val="00732C29"/>
    <w:rsid w:val="00736D1A"/>
    <w:rsid w:val="0074214B"/>
    <w:rsid w:val="0074522D"/>
    <w:rsid w:val="007459E2"/>
    <w:rsid w:val="0075162E"/>
    <w:rsid w:val="007520A2"/>
    <w:rsid w:val="00754034"/>
    <w:rsid w:val="007551AA"/>
    <w:rsid w:val="007555BE"/>
    <w:rsid w:val="0075615A"/>
    <w:rsid w:val="00756556"/>
    <w:rsid w:val="00757B9E"/>
    <w:rsid w:val="00757E22"/>
    <w:rsid w:val="00760215"/>
    <w:rsid w:val="007618C4"/>
    <w:rsid w:val="00765E48"/>
    <w:rsid w:val="00767980"/>
    <w:rsid w:val="00767DD9"/>
    <w:rsid w:val="00770B19"/>
    <w:rsid w:val="00770F00"/>
    <w:rsid w:val="00772A86"/>
    <w:rsid w:val="00772B32"/>
    <w:rsid w:val="00773428"/>
    <w:rsid w:val="0077463F"/>
    <w:rsid w:val="007806A1"/>
    <w:rsid w:val="007834D5"/>
    <w:rsid w:val="007836EA"/>
    <w:rsid w:val="00783939"/>
    <w:rsid w:val="00784CDA"/>
    <w:rsid w:val="00786A23"/>
    <w:rsid w:val="007906C4"/>
    <w:rsid w:val="00792482"/>
    <w:rsid w:val="00792665"/>
    <w:rsid w:val="007940EA"/>
    <w:rsid w:val="00794161"/>
    <w:rsid w:val="00795CFF"/>
    <w:rsid w:val="007967E8"/>
    <w:rsid w:val="007A1658"/>
    <w:rsid w:val="007A2170"/>
    <w:rsid w:val="007A22BF"/>
    <w:rsid w:val="007A328C"/>
    <w:rsid w:val="007A3323"/>
    <w:rsid w:val="007A68AE"/>
    <w:rsid w:val="007B01D7"/>
    <w:rsid w:val="007B0F58"/>
    <w:rsid w:val="007B3FF3"/>
    <w:rsid w:val="007B4195"/>
    <w:rsid w:val="007B5304"/>
    <w:rsid w:val="007B62C1"/>
    <w:rsid w:val="007B69C3"/>
    <w:rsid w:val="007B72B8"/>
    <w:rsid w:val="007B77E8"/>
    <w:rsid w:val="007B7A58"/>
    <w:rsid w:val="007C00D0"/>
    <w:rsid w:val="007C0F71"/>
    <w:rsid w:val="007C18B0"/>
    <w:rsid w:val="007C1DBC"/>
    <w:rsid w:val="007C21B5"/>
    <w:rsid w:val="007C38D4"/>
    <w:rsid w:val="007C3F55"/>
    <w:rsid w:val="007C5D60"/>
    <w:rsid w:val="007D015C"/>
    <w:rsid w:val="007D10FE"/>
    <w:rsid w:val="007D1CCE"/>
    <w:rsid w:val="007D41F9"/>
    <w:rsid w:val="007D535C"/>
    <w:rsid w:val="007D6560"/>
    <w:rsid w:val="007D6A53"/>
    <w:rsid w:val="007D70BD"/>
    <w:rsid w:val="007D7C6B"/>
    <w:rsid w:val="007E0EA9"/>
    <w:rsid w:val="007E2E54"/>
    <w:rsid w:val="007E2EF7"/>
    <w:rsid w:val="007E33FB"/>
    <w:rsid w:val="007E3501"/>
    <w:rsid w:val="007E45FC"/>
    <w:rsid w:val="007E4BD2"/>
    <w:rsid w:val="007E4CA5"/>
    <w:rsid w:val="007E669B"/>
    <w:rsid w:val="007F053D"/>
    <w:rsid w:val="007F18EC"/>
    <w:rsid w:val="007F470E"/>
    <w:rsid w:val="007F68D7"/>
    <w:rsid w:val="007F6F8E"/>
    <w:rsid w:val="00801393"/>
    <w:rsid w:val="00802B42"/>
    <w:rsid w:val="00802F88"/>
    <w:rsid w:val="0080395D"/>
    <w:rsid w:val="00805CF8"/>
    <w:rsid w:val="0080613B"/>
    <w:rsid w:val="00810F8E"/>
    <w:rsid w:val="0081127B"/>
    <w:rsid w:val="008112BE"/>
    <w:rsid w:val="008125BC"/>
    <w:rsid w:val="0081293E"/>
    <w:rsid w:val="00812A06"/>
    <w:rsid w:val="00814229"/>
    <w:rsid w:val="0081477F"/>
    <w:rsid w:val="008148CB"/>
    <w:rsid w:val="00815465"/>
    <w:rsid w:val="008158D9"/>
    <w:rsid w:val="00817E9A"/>
    <w:rsid w:val="0082056C"/>
    <w:rsid w:val="00820D04"/>
    <w:rsid w:val="00822C17"/>
    <w:rsid w:val="00824069"/>
    <w:rsid w:val="0082655B"/>
    <w:rsid w:val="00826C26"/>
    <w:rsid w:val="00826F98"/>
    <w:rsid w:val="008306BD"/>
    <w:rsid w:val="00830A6F"/>
    <w:rsid w:val="00831A80"/>
    <w:rsid w:val="00832B44"/>
    <w:rsid w:val="00833743"/>
    <w:rsid w:val="008340A4"/>
    <w:rsid w:val="00841234"/>
    <w:rsid w:val="00846033"/>
    <w:rsid w:val="008466E8"/>
    <w:rsid w:val="00847324"/>
    <w:rsid w:val="00847937"/>
    <w:rsid w:val="00850363"/>
    <w:rsid w:val="00853C44"/>
    <w:rsid w:val="00857489"/>
    <w:rsid w:val="00862D61"/>
    <w:rsid w:val="00865CE7"/>
    <w:rsid w:val="00866535"/>
    <w:rsid w:val="00866A1C"/>
    <w:rsid w:val="00867F1F"/>
    <w:rsid w:val="008702EB"/>
    <w:rsid w:val="008705E5"/>
    <w:rsid w:val="00870667"/>
    <w:rsid w:val="00870F77"/>
    <w:rsid w:val="0087135F"/>
    <w:rsid w:val="00872D94"/>
    <w:rsid w:val="008730C6"/>
    <w:rsid w:val="008758AE"/>
    <w:rsid w:val="00880364"/>
    <w:rsid w:val="00882767"/>
    <w:rsid w:val="00882F0C"/>
    <w:rsid w:val="00887C4B"/>
    <w:rsid w:val="00891592"/>
    <w:rsid w:val="00891694"/>
    <w:rsid w:val="00891E9E"/>
    <w:rsid w:val="00892839"/>
    <w:rsid w:val="008929D9"/>
    <w:rsid w:val="00895427"/>
    <w:rsid w:val="00897339"/>
    <w:rsid w:val="008A06B2"/>
    <w:rsid w:val="008A089E"/>
    <w:rsid w:val="008A0A95"/>
    <w:rsid w:val="008A2738"/>
    <w:rsid w:val="008A2F68"/>
    <w:rsid w:val="008B1F92"/>
    <w:rsid w:val="008B2DF3"/>
    <w:rsid w:val="008B4875"/>
    <w:rsid w:val="008B4FA6"/>
    <w:rsid w:val="008B5282"/>
    <w:rsid w:val="008B623A"/>
    <w:rsid w:val="008B6AC2"/>
    <w:rsid w:val="008B7C17"/>
    <w:rsid w:val="008C2D01"/>
    <w:rsid w:val="008C2EA3"/>
    <w:rsid w:val="008C3537"/>
    <w:rsid w:val="008C40E6"/>
    <w:rsid w:val="008C4937"/>
    <w:rsid w:val="008C6489"/>
    <w:rsid w:val="008C7CE4"/>
    <w:rsid w:val="008D0F7A"/>
    <w:rsid w:val="008D1569"/>
    <w:rsid w:val="008D1DDB"/>
    <w:rsid w:val="008D2310"/>
    <w:rsid w:val="008D68E4"/>
    <w:rsid w:val="008E0506"/>
    <w:rsid w:val="008E0CFF"/>
    <w:rsid w:val="008E337B"/>
    <w:rsid w:val="008E3E3E"/>
    <w:rsid w:val="008E4CB8"/>
    <w:rsid w:val="008E5508"/>
    <w:rsid w:val="008E5D6B"/>
    <w:rsid w:val="008E76F0"/>
    <w:rsid w:val="008F01A7"/>
    <w:rsid w:val="008F0678"/>
    <w:rsid w:val="008F127C"/>
    <w:rsid w:val="008F1359"/>
    <w:rsid w:val="008F15FE"/>
    <w:rsid w:val="008F2D29"/>
    <w:rsid w:val="008F5187"/>
    <w:rsid w:val="008F587C"/>
    <w:rsid w:val="008F60D8"/>
    <w:rsid w:val="008F6A77"/>
    <w:rsid w:val="008F77A3"/>
    <w:rsid w:val="0090084B"/>
    <w:rsid w:val="009017E9"/>
    <w:rsid w:val="00902727"/>
    <w:rsid w:val="0090312B"/>
    <w:rsid w:val="00904A67"/>
    <w:rsid w:val="00906786"/>
    <w:rsid w:val="00911742"/>
    <w:rsid w:val="00914B4E"/>
    <w:rsid w:val="00915BB6"/>
    <w:rsid w:val="0091736D"/>
    <w:rsid w:val="00920CA2"/>
    <w:rsid w:val="0092375B"/>
    <w:rsid w:val="009269A2"/>
    <w:rsid w:val="0093037A"/>
    <w:rsid w:val="0093161D"/>
    <w:rsid w:val="00933149"/>
    <w:rsid w:val="00934BAF"/>
    <w:rsid w:val="00935D72"/>
    <w:rsid w:val="00936276"/>
    <w:rsid w:val="009412FC"/>
    <w:rsid w:val="0094154D"/>
    <w:rsid w:val="00942A76"/>
    <w:rsid w:val="009433F9"/>
    <w:rsid w:val="00943F7A"/>
    <w:rsid w:val="00945403"/>
    <w:rsid w:val="0094794C"/>
    <w:rsid w:val="0095155F"/>
    <w:rsid w:val="009532A9"/>
    <w:rsid w:val="00954429"/>
    <w:rsid w:val="0095463D"/>
    <w:rsid w:val="00954E9A"/>
    <w:rsid w:val="009563CE"/>
    <w:rsid w:val="00960249"/>
    <w:rsid w:val="0096295F"/>
    <w:rsid w:val="009667FB"/>
    <w:rsid w:val="009700DE"/>
    <w:rsid w:val="00970CD9"/>
    <w:rsid w:val="00973FB8"/>
    <w:rsid w:val="00976328"/>
    <w:rsid w:val="0097680D"/>
    <w:rsid w:val="00976C28"/>
    <w:rsid w:val="009802C5"/>
    <w:rsid w:val="009816B1"/>
    <w:rsid w:val="00982438"/>
    <w:rsid w:val="0098404C"/>
    <w:rsid w:val="0098512D"/>
    <w:rsid w:val="00985283"/>
    <w:rsid w:val="009857B0"/>
    <w:rsid w:val="00987D55"/>
    <w:rsid w:val="00990848"/>
    <w:rsid w:val="00994575"/>
    <w:rsid w:val="0099480C"/>
    <w:rsid w:val="00995688"/>
    <w:rsid w:val="00995992"/>
    <w:rsid w:val="009A03E5"/>
    <w:rsid w:val="009A0F3B"/>
    <w:rsid w:val="009A1BB4"/>
    <w:rsid w:val="009A2628"/>
    <w:rsid w:val="009A3200"/>
    <w:rsid w:val="009A5857"/>
    <w:rsid w:val="009A6976"/>
    <w:rsid w:val="009A704A"/>
    <w:rsid w:val="009B0897"/>
    <w:rsid w:val="009B4358"/>
    <w:rsid w:val="009B7BD9"/>
    <w:rsid w:val="009C04A6"/>
    <w:rsid w:val="009C4AF6"/>
    <w:rsid w:val="009C50C1"/>
    <w:rsid w:val="009C7DD5"/>
    <w:rsid w:val="009D29B5"/>
    <w:rsid w:val="009D2DCD"/>
    <w:rsid w:val="009D3880"/>
    <w:rsid w:val="009D4FFF"/>
    <w:rsid w:val="009D77AF"/>
    <w:rsid w:val="009E030A"/>
    <w:rsid w:val="009E227D"/>
    <w:rsid w:val="009E23B1"/>
    <w:rsid w:val="009E251D"/>
    <w:rsid w:val="009E3358"/>
    <w:rsid w:val="009E38B6"/>
    <w:rsid w:val="009E5019"/>
    <w:rsid w:val="009E5A43"/>
    <w:rsid w:val="009F0992"/>
    <w:rsid w:val="00A00003"/>
    <w:rsid w:val="00A0449F"/>
    <w:rsid w:val="00A04F1B"/>
    <w:rsid w:val="00A0501B"/>
    <w:rsid w:val="00A05686"/>
    <w:rsid w:val="00A06CD2"/>
    <w:rsid w:val="00A1093C"/>
    <w:rsid w:val="00A116A3"/>
    <w:rsid w:val="00A14947"/>
    <w:rsid w:val="00A205DC"/>
    <w:rsid w:val="00A2566D"/>
    <w:rsid w:val="00A27748"/>
    <w:rsid w:val="00A32A83"/>
    <w:rsid w:val="00A3470B"/>
    <w:rsid w:val="00A35AB5"/>
    <w:rsid w:val="00A368DB"/>
    <w:rsid w:val="00A41B81"/>
    <w:rsid w:val="00A423AA"/>
    <w:rsid w:val="00A433C0"/>
    <w:rsid w:val="00A434BC"/>
    <w:rsid w:val="00A451A0"/>
    <w:rsid w:val="00A47E17"/>
    <w:rsid w:val="00A5103F"/>
    <w:rsid w:val="00A53EC6"/>
    <w:rsid w:val="00A544EF"/>
    <w:rsid w:val="00A55C0F"/>
    <w:rsid w:val="00A55F77"/>
    <w:rsid w:val="00A5631B"/>
    <w:rsid w:val="00A573DE"/>
    <w:rsid w:val="00A63E26"/>
    <w:rsid w:val="00A63E9A"/>
    <w:rsid w:val="00A65BA4"/>
    <w:rsid w:val="00A71D41"/>
    <w:rsid w:val="00A721F3"/>
    <w:rsid w:val="00A73A6D"/>
    <w:rsid w:val="00A740FB"/>
    <w:rsid w:val="00A7561E"/>
    <w:rsid w:val="00A769E1"/>
    <w:rsid w:val="00A805D8"/>
    <w:rsid w:val="00A81618"/>
    <w:rsid w:val="00A81624"/>
    <w:rsid w:val="00A83982"/>
    <w:rsid w:val="00A83AD0"/>
    <w:rsid w:val="00A8713F"/>
    <w:rsid w:val="00A90BA1"/>
    <w:rsid w:val="00A91B25"/>
    <w:rsid w:val="00A926DF"/>
    <w:rsid w:val="00A941BE"/>
    <w:rsid w:val="00A9499C"/>
    <w:rsid w:val="00A97A9A"/>
    <w:rsid w:val="00AA0671"/>
    <w:rsid w:val="00AA2531"/>
    <w:rsid w:val="00AA3599"/>
    <w:rsid w:val="00AA42C4"/>
    <w:rsid w:val="00AA52AC"/>
    <w:rsid w:val="00AA7F02"/>
    <w:rsid w:val="00AB0FAC"/>
    <w:rsid w:val="00AB1DEC"/>
    <w:rsid w:val="00AB1E09"/>
    <w:rsid w:val="00AB33BA"/>
    <w:rsid w:val="00AB3CC4"/>
    <w:rsid w:val="00AB4453"/>
    <w:rsid w:val="00AB5330"/>
    <w:rsid w:val="00AB63FA"/>
    <w:rsid w:val="00AB7747"/>
    <w:rsid w:val="00AC0174"/>
    <w:rsid w:val="00AC0E8C"/>
    <w:rsid w:val="00AC14CE"/>
    <w:rsid w:val="00AC21C1"/>
    <w:rsid w:val="00AC2A56"/>
    <w:rsid w:val="00AC3967"/>
    <w:rsid w:val="00AC3D94"/>
    <w:rsid w:val="00AC7D79"/>
    <w:rsid w:val="00AD055E"/>
    <w:rsid w:val="00AD1D60"/>
    <w:rsid w:val="00AD1DE4"/>
    <w:rsid w:val="00AD2209"/>
    <w:rsid w:val="00AD350C"/>
    <w:rsid w:val="00AD356B"/>
    <w:rsid w:val="00AD47A7"/>
    <w:rsid w:val="00AD74B9"/>
    <w:rsid w:val="00AE08E6"/>
    <w:rsid w:val="00AE12AE"/>
    <w:rsid w:val="00AE30B0"/>
    <w:rsid w:val="00AE4463"/>
    <w:rsid w:val="00AE4DCA"/>
    <w:rsid w:val="00AF0CBF"/>
    <w:rsid w:val="00AF257F"/>
    <w:rsid w:val="00AF2A69"/>
    <w:rsid w:val="00AF33CF"/>
    <w:rsid w:val="00AF4D50"/>
    <w:rsid w:val="00AF6179"/>
    <w:rsid w:val="00B00BD6"/>
    <w:rsid w:val="00B01FC4"/>
    <w:rsid w:val="00B02CA4"/>
    <w:rsid w:val="00B02F30"/>
    <w:rsid w:val="00B03B56"/>
    <w:rsid w:val="00B06CB6"/>
    <w:rsid w:val="00B10661"/>
    <w:rsid w:val="00B1295A"/>
    <w:rsid w:val="00B15902"/>
    <w:rsid w:val="00B1606D"/>
    <w:rsid w:val="00B2011F"/>
    <w:rsid w:val="00B20A45"/>
    <w:rsid w:val="00B22BA0"/>
    <w:rsid w:val="00B22C5C"/>
    <w:rsid w:val="00B23152"/>
    <w:rsid w:val="00B24F30"/>
    <w:rsid w:val="00B25664"/>
    <w:rsid w:val="00B31ABF"/>
    <w:rsid w:val="00B31C8B"/>
    <w:rsid w:val="00B32474"/>
    <w:rsid w:val="00B32F28"/>
    <w:rsid w:val="00B33BE3"/>
    <w:rsid w:val="00B34B6C"/>
    <w:rsid w:val="00B34E20"/>
    <w:rsid w:val="00B36693"/>
    <w:rsid w:val="00B36A7E"/>
    <w:rsid w:val="00B37804"/>
    <w:rsid w:val="00B37D2B"/>
    <w:rsid w:val="00B42EF5"/>
    <w:rsid w:val="00B441D1"/>
    <w:rsid w:val="00B442FB"/>
    <w:rsid w:val="00B50327"/>
    <w:rsid w:val="00B50D38"/>
    <w:rsid w:val="00B52363"/>
    <w:rsid w:val="00B53010"/>
    <w:rsid w:val="00B53104"/>
    <w:rsid w:val="00B53B5D"/>
    <w:rsid w:val="00B53C88"/>
    <w:rsid w:val="00B55294"/>
    <w:rsid w:val="00B561ED"/>
    <w:rsid w:val="00B6055E"/>
    <w:rsid w:val="00B60832"/>
    <w:rsid w:val="00B61012"/>
    <w:rsid w:val="00B62488"/>
    <w:rsid w:val="00B62846"/>
    <w:rsid w:val="00B6317D"/>
    <w:rsid w:val="00B644B0"/>
    <w:rsid w:val="00B64A6A"/>
    <w:rsid w:val="00B65C7B"/>
    <w:rsid w:val="00B66113"/>
    <w:rsid w:val="00B6694C"/>
    <w:rsid w:val="00B757FC"/>
    <w:rsid w:val="00B760B3"/>
    <w:rsid w:val="00B7723F"/>
    <w:rsid w:val="00B77DE0"/>
    <w:rsid w:val="00B80534"/>
    <w:rsid w:val="00B83614"/>
    <w:rsid w:val="00B8433C"/>
    <w:rsid w:val="00B86DFF"/>
    <w:rsid w:val="00B87491"/>
    <w:rsid w:val="00B909C8"/>
    <w:rsid w:val="00B910E9"/>
    <w:rsid w:val="00B91780"/>
    <w:rsid w:val="00B91D41"/>
    <w:rsid w:val="00B92BEF"/>
    <w:rsid w:val="00B92EAF"/>
    <w:rsid w:val="00B93F2F"/>
    <w:rsid w:val="00B9407A"/>
    <w:rsid w:val="00B94F28"/>
    <w:rsid w:val="00B95CDD"/>
    <w:rsid w:val="00BA29E9"/>
    <w:rsid w:val="00BA2C0D"/>
    <w:rsid w:val="00BA7142"/>
    <w:rsid w:val="00BB237C"/>
    <w:rsid w:val="00BB41A3"/>
    <w:rsid w:val="00BB770F"/>
    <w:rsid w:val="00BC24CD"/>
    <w:rsid w:val="00BC32DC"/>
    <w:rsid w:val="00BC35B6"/>
    <w:rsid w:val="00BC4F56"/>
    <w:rsid w:val="00BD0769"/>
    <w:rsid w:val="00BD088E"/>
    <w:rsid w:val="00BD0A20"/>
    <w:rsid w:val="00BD1B51"/>
    <w:rsid w:val="00BD4596"/>
    <w:rsid w:val="00BD6143"/>
    <w:rsid w:val="00BD719E"/>
    <w:rsid w:val="00BD791F"/>
    <w:rsid w:val="00BE1405"/>
    <w:rsid w:val="00BE1FCB"/>
    <w:rsid w:val="00BE2293"/>
    <w:rsid w:val="00BE312D"/>
    <w:rsid w:val="00BE32B5"/>
    <w:rsid w:val="00BE3EBC"/>
    <w:rsid w:val="00BE408C"/>
    <w:rsid w:val="00BE501A"/>
    <w:rsid w:val="00BE5EFF"/>
    <w:rsid w:val="00BE712B"/>
    <w:rsid w:val="00BF0B95"/>
    <w:rsid w:val="00BF1343"/>
    <w:rsid w:val="00BF1C20"/>
    <w:rsid w:val="00BF1CCE"/>
    <w:rsid w:val="00BF3EFA"/>
    <w:rsid w:val="00BF6408"/>
    <w:rsid w:val="00BF6535"/>
    <w:rsid w:val="00BF7789"/>
    <w:rsid w:val="00C011CF"/>
    <w:rsid w:val="00C02248"/>
    <w:rsid w:val="00C048B6"/>
    <w:rsid w:val="00C055C1"/>
    <w:rsid w:val="00C10578"/>
    <w:rsid w:val="00C10E5A"/>
    <w:rsid w:val="00C12690"/>
    <w:rsid w:val="00C135BC"/>
    <w:rsid w:val="00C14267"/>
    <w:rsid w:val="00C14B91"/>
    <w:rsid w:val="00C15C95"/>
    <w:rsid w:val="00C172FE"/>
    <w:rsid w:val="00C179E8"/>
    <w:rsid w:val="00C20072"/>
    <w:rsid w:val="00C2596A"/>
    <w:rsid w:val="00C25DF1"/>
    <w:rsid w:val="00C2614E"/>
    <w:rsid w:val="00C262CC"/>
    <w:rsid w:val="00C274C0"/>
    <w:rsid w:val="00C27537"/>
    <w:rsid w:val="00C31B68"/>
    <w:rsid w:val="00C328FE"/>
    <w:rsid w:val="00C33507"/>
    <w:rsid w:val="00C33BB8"/>
    <w:rsid w:val="00C355DF"/>
    <w:rsid w:val="00C36562"/>
    <w:rsid w:val="00C36CBB"/>
    <w:rsid w:val="00C37EAF"/>
    <w:rsid w:val="00C4065F"/>
    <w:rsid w:val="00C409A6"/>
    <w:rsid w:val="00C411A9"/>
    <w:rsid w:val="00C41EC7"/>
    <w:rsid w:val="00C423B0"/>
    <w:rsid w:val="00C431E0"/>
    <w:rsid w:val="00C4409D"/>
    <w:rsid w:val="00C44E72"/>
    <w:rsid w:val="00C45A06"/>
    <w:rsid w:val="00C475E6"/>
    <w:rsid w:val="00C47E5B"/>
    <w:rsid w:val="00C50140"/>
    <w:rsid w:val="00C50D8E"/>
    <w:rsid w:val="00C519E6"/>
    <w:rsid w:val="00C521D3"/>
    <w:rsid w:val="00C54DDE"/>
    <w:rsid w:val="00C56B8F"/>
    <w:rsid w:val="00C602E4"/>
    <w:rsid w:val="00C604DF"/>
    <w:rsid w:val="00C61E4B"/>
    <w:rsid w:val="00C64B18"/>
    <w:rsid w:val="00C64BFF"/>
    <w:rsid w:val="00C65C1A"/>
    <w:rsid w:val="00C665C2"/>
    <w:rsid w:val="00C6773E"/>
    <w:rsid w:val="00C704E9"/>
    <w:rsid w:val="00C72207"/>
    <w:rsid w:val="00C7344B"/>
    <w:rsid w:val="00C763C9"/>
    <w:rsid w:val="00C80057"/>
    <w:rsid w:val="00C82232"/>
    <w:rsid w:val="00C82913"/>
    <w:rsid w:val="00C829A1"/>
    <w:rsid w:val="00C84FE4"/>
    <w:rsid w:val="00C85024"/>
    <w:rsid w:val="00C8625D"/>
    <w:rsid w:val="00C868E1"/>
    <w:rsid w:val="00C91B17"/>
    <w:rsid w:val="00C9506F"/>
    <w:rsid w:val="00C957F9"/>
    <w:rsid w:val="00C972B1"/>
    <w:rsid w:val="00CA03C1"/>
    <w:rsid w:val="00CA2CCE"/>
    <w:rsid w:val="00CA3434"/>
    <w:rsid w:val="00CA393E"/>
    <w:rsid w:val="00CA4166"/>
    <w:rsid w:val="00CA43FD"/>
    <w:rsid w:val="00CA604F"/>
    <w:rsid w:val="00CA7EF8"/>
    <w:rsid w:val="00CB37FA"/>
    <w:rsid w:val="00CB3C5F"/>
    <w:rsid w:val="00CB6A4A"/>
    <w:rsid w:val="00CC02D1"/>
    <w:rsid w:val="00CC0400"/>
    <w:rsid w:val="00CC0822"/>
    <w:rsid w:val="00CC128E"/>
    <w:rsid w:val="00CC489B"/>
    <w:rsid w:val="00CC6081"/>
    <w:rsid w:val="00CC6DDB"/>
    <w:rsid w:val="00CC72EF"/>
    <w:rsid w:val="00CD0678"/>
    <w:rsid w:val="00CD2B4B"/>
    <w:rsid w:val="00CD2BCD"/>
    <w:rsid w:val="00CD3A4C"/>
    <w:rsid w:val="00CD4562"/>
    <w:rsid w:val="00CD4D65"/>
    <w:rsid w:val="00CD693F"/>
    <w:rsid w:val="00CE10E9"/>
    <w:rsid w:val="00CE2910"/>
    <w:rsid w:val="00CE3602"/>
    <w:rsid w:val="00CE5393"/>
    <w:rsid w:val="00CE55C1"/>
    <w:rsid w:val="00CE5EB4"/>
    <w:rsid w:val="00CF1FCD"/>
    <w:rsid w:val="00CF36BE"/>
    <w:rsid w:val="00CF375B"/>
    <w:rsid w:val="00CF43A9"/>
    <w:rsid w:val="00CF6000"/>
    <w:rsid w:val="00CF648D"/>
    <w:rsid w:val="00CF64D9"/>
    <w:rsid w:val="00CF65F7"/>
    <w:rsid w:val="00CF719E"/>
    <w:rsid w:val="00D003F3"/>
    <w:rsid w:val="00D00FF7"/>
    <w:rsid w:val="00D01ECC"/>
    <w:rsid w:val="00D01F32"/>
    <w:rsid w:val="00D026DF"/>
    <w:rsid w:val="00D03026"/>
    <w:rsid w:val="00D0364F"/>
    <w:rsid w:val="00D05DAF"/>
    <w:rsid w:val="00D06145"/>
    <w:rsid w:val="00D06834"/>
    <w:rsid w:val="00D106A6"/>
    <w:rsid w:val="00D11751"/>
    <w:rsid w:val="00D11F09"/>
    <w:rsid w:val="00D12140"/>
    <w:rsid w:val="00D13EF4"/>
    <w:rsid w:val="00D14602"/>
    <w:rsid w:val="00D15C87"/>
    <w:rsid w:val="00D237D7"/>
    <w:rsid w:val="00D27454"/>
    <w:rsid w:val="00D303DF"/>
    <w:rsid w:val="00D308A7"/>
    <w:rsid w:val="00D308ED"/>
    <w:rsid w:val="00D335AB"/>
    <w:rsid w:val="00D34C5D"/>
    <w:rsid w:val="00D36142"/>
    <w:rsid w:val="00D36D0D"/>
    <w:rsid w:val="00D36D86"/>
    <w:rsid w:val="00D37372"/>
    <w:rsid w:val="00D37717"/>
    <w:rsid w:val="00D40018"/>
    <w:rsid w:val="00D424E0"/>
    <w:rsid w:val="00D42842"/>
    <w:rsid w:val="00D428AA"/>
    <w:rsid w:val="00D42C77"/>
    <w:rsid w:val="00D437AE"/>
    <w:rsid w:val="00D444BB"/>
    <w:rsid w:val="00D4548E"/>
    <w:rsid w:val="00D46520"/>
    <w:rsid w:val="00D5063D"/>
    <w:rsid w:val="00D50A34"/>
    <w:rsid w:val="00D52C59"/>
    <w:rsid w:val="00D53E97"/>
    <w:rsid w:val="00D53EFA"/>
    <w:rsid w:val="00D5408A"/>
    <w:rsid w:val="00D54B23"/>
    <w:rsid w:val="00D62B05"/>
    <w:rsid w:val="00D62D44"/>
    <w:rsid w:val="00D6591F"/>
    <w:rsid w:val="00D70859"/>
    <w:rsid w:val="00D70B3A"/>
    <w:rsid w:val="00D7129C"/>
    <w:rsid w:val="00D719CA"/>
    <w:rsid w:val="00D73254"/>
    <w:rsid w:val="00D75AEB"/>
    <w:rsid w:val="00D813DF"/>
    <w:rsid w:val="00D83630"/>
    <w:rsid w:val="00D843A1"/>
    <w:rsid w:val="00D85C77"/>
    <w:rsid w:val="00D866E7"/>
    <w:rsid w:val="00D91BA6"/>
    <w:rsid w:val="00D91D05"/>
    <w:rsid w:val="00D926A6"/>
    <w:rsid w:val="00D9402A"/>
    <w:rsid w:val="00D94A7C"/>
    <w:rsid w:val="00D95896"/>
    <w:rsid w:val="00D974AE"/>
    <w:rsid w:val="00DA02C5"/>
    <w:rsid w:val="00DA0677"/>
    <w:rsid w:val="00DA1791"/>
    <w:rsid w:val="00DA3159"/>
    <w:rsid w:val="00DA3A2C"/>
    <w:rsid w:val="00DA3CEE"/>
    <w:rsid w:val="00DB12B8"/>
    <w:rsid w:val="00DB18E9"/>
    <w:rsid w:val="00DB1920"/>
    <w:rsid w:val="00DB2983"/>
    <w:rsid w:val="00DB3384"/>
    <w:rsid w:val="00DC085A"/>
    <w:rsid w:val="00DC1257"/>
    <w:rsid w:val="00DC22B9"/>
    <w:rsid w:val="00DC2B9C"/>
    <w:rsid w:val="00DC3DC0"/>
    <w:rsid w:val="00DC5B2B"/>
    <w:rsid w:val="00DC6632"/>
    <w:rsid w:val="00DD06DA"/>
    <w:rsid w:val="00DD0B1B"/>
    <w:rsid w:val="00DD2540"/>
    <w:rsid w:val="00DD318D"/>
    <w:rsid w:val="00DD7911"/>
    <w:rsid w:val="00DD7D6C"/>
    <w:rsid w:val="00DE0B11"/>
    <w:rsid w:val="00DE4B50"/>
    <w:rsid w:val="00DE4F26"/>
    <w:rsid w:val="00DE5438"/>
    <w:rsid w:val="00DF09DF"/>
    <w:rsid w:val="00DF2E12"/>
    <w:rsid w:val="00DF514A"/>
    <w:rsid w:val="00DF54CD"/>
    <w:rsid w:val="00DF6690"/>
    <w:rsid w:val="00DF6804"/>
    <w:rsid w:val="00E03045"/>
    <w:rsid w:val="00E0358D"/>
    <w:rsid w:val="00E0368F"/>
    <w:rsid w:val="00E04323"/>
    <w:rsid w:val="00E04A88"/>
    <w:rsid w:val="00E06C6D"/>
    <w:rsid w:val="00E06F8A"/>
    <w:rsid w:val="00E07021"/>
    <w:rsid w:val="00E070A2"/>
    <w:rsid w:val="00E111E9"/>
    <w:rsid w:val="00E11D0D"/>
    <w:rsid w:val="00E1280F"/>
    <w:rsid w:val="00E216E6"/>
    <w:rsid w:val="00E21E35"/>
    <w:rsid w:val="00E22F63"/>
    <w:rsid w:val="00E2542E"/>
    <w:rsid w:val="00E25725"/>
    <w:rsid w:val="00E2656A"/>
    <w:rsid w:val="00E26D13"/>
    <w:rsid w:val="00E307FE"/>
    <w:rsid w:val="00E32D33"/>
    <w:rsid w:val="00E33E45"/>
    <w:rsid w:val="00E3561E"/>
    <w:rsid w:val="00E3589D"/>
    <w:rsid w:val="00E3627F"/>
    <w:rsid w:val="00E36564"/>
    <w:rsid w:val="00E412D0"/>
    <w:rsid w:val="00E428C0"/>
    <w:rsid w:val="00E44640"/>
    <w:rsid w:val="00E44DF3"/>
    <w:rsid w:val="00E457E6"/>
    <w:rsid w:val="00E477B2"/>
    <w:rsid w:val="00E54D24"/>
    <w:rsid w:val="00E552E9"/>
    <w:rsid w:val="00E56322"/>
    <w:rsid w:val="00E573B1"/>
    <w:rsid w:val="00E60982"/>
    <w:rsid w:val="00E62C62"/>
    <w:rsid w:val="00E654C1"/>
    <w:rsid w:val="00E65D97"/>
    <w:rsid w:val="00E709A1"/>
    <w:rsid w:val="00E71124"/>
    <w:rsid w:val="00E717D8"/>
    <w:rsid w:val="00E72A5A"/>
    <w:rsid w:val="00E73354"/>
    <w:rsid w:val="00E73B22"/>
    <w:rsid w:val="00E73F60"/>
    <w:rsid w:val="00E75D93"/>
    <w:rsid w:val="00E768E4"/>
    <w:rsid w:val="00E77EBF"/>
    <w:rsid w:val="00E910FD"/>
    <w:rsid w:val="00E91A49"/>
    <w:rsid w:val="00E9242D"/>
    <w:rsid w:val="00E92DA9"/>
    <w:rsid w:val="00E934FE"/>
    <w:rsid w:val="00E939A5"/>
    <w:rsid w:val="00E9466D"/>
    <w:rsid w:val="00E9500A"/>
    <w:rsid w:val="00E9604F"/>
    <w:rsid w:val="00E968C5"/>
    <w:rsid w:val="00E97C83"/>
    <w:rsid w:val="00EA058C"/>
    <w:rsid w:val="00EA0EF9"/>
    <w:rsid w:val="00EA251D"/>
    <w:rsid w:val="00EA3057"/>
    <w:rsid w:val="00EA388F"/>
    <w:rsid w:val="00EA7A26"/>
    <w:rsid w:val="00EA7E04"/>
    <w:rsid w:val="00EB1744"/>
    <w:rsid w:val="00EB2CAF"/>
    <w:rsid w:val="00EB3E1F"/>
    <w:rsid w:val="00EB4183"/>
    <w:rsid w:val="00EB5255"/>
    <w:rsid w:val="00EB579E"/>
    <w:rsid w:val="00EB5C47"/>
    <w:rsid w:val="00EB60B2"/>
    <w:rsid w:val="00EB6AE0"/>
    <w:rsid w:val="00EC01D9"/>
    <w:rsid w:val="00EC2967"/>
    <w:rsid w:val="00EC5AF1"/>
    <w:rsid w:val="00EC60F4"/>
    <w:rsid w:val="00EC735B"/>
    <w:rsid w:val="00ED0639"/>
    <w:rsid w:val="00ED1281"/>
    <w:rsid w:val="00ED1E23"/>
    <w:rsid w:val="00ED47CB"/>
    <w:rsid w:val="00ED4945"/>
    <w:rsid w:val="00ED56F9"/>
    <w:rsid w:val="00ED64B4"/>
    <w:rsid w:val="00ED6BFD"/>
    <w:rsid w:val="00ED6FC2"/>
    <w:rsid w:val="00ED7010"/>
    <w:rsid w:val="00EE02A1"/>
    <w:rsid w:val="00EE588D"/>
    <w:rsid w:val="00EE592A"/>
    <w:rsid w:val="00EE5D97"/>
    <w:rsid w:val="00EE681D"/>
    <w:rsid w:val="00EF0AB5"/>
    <w:rsid w:val="00EF18C9"/>
    <w:rsid w:val="00EF3B92"/>
    <w:rsid w:val="00EF4755"/>
    <w:rsid w:val="00EF7135"/>
    <w:rsid w:val="00EF7380"/>
    <w:rsid w:val="00F0108F"/>
    <w:rsid w:val="00F0130A"/>
    <w:rsid w:val="00F01AAF"/>
    <w:rsid w:val="00F02389"/>
    <w:rsid w:val="00F027DB"/>
    <w:rsid w:val="00F068ED"/>
    <w:rsid w:val="00F071C2"/>
    <w:rsid w:val="00F10755"/>
    <w:rsid w:val="00F10BEC"/>
    <w:rsid w:val="00F14A7A"/>
    <w:rsid w:val="00F22985"/>
    <w:rsid w:val="00F25787"/>
    <w:rsid w:val="00F263B9"/>
    <w:rsid w:val="00F32BFC"/>
    <w:rsid w:val="00F3375D"/>
    <w:rsid w:val="00F3383E"/>
    <w:rsid w:val="00F420AA"/>
    <w:rsid w:val="00F42E8D"/>
    <w:rsid w:val="00F43560"/>
    <w:rsid w:val="00F463E1"/>
    <w:rsid w:val="00F46560"/>
    <w:rsid w:val="00F465A7"/>
    <w:rsid w:val="00F47DFB"/>
    <w:rsid w:val="00F50B7C"/>
    <w:rsid w:val="00F51911"/>
    <w:rsid w:val="00F526B8"/>
    <w:rsid w:val="00F550E6"/>
    <w:rsid w:val="00F56026"/>
    <w:rsid w:val="00F560A8"/>
    <w:rsid w:val="00F56E48"/>
    <w:rsid w:val="00F633B6"/>
    <w:rsid w:val="00F65208"/>
    <w:rsid w:val="00F70199"/>
    <w:rsid w:val="00F71ED1"/>
    <w:rsid w:val="00F73E03"/>
    <w:rsid w:val="00F740A3"/>
    <w:rsid w:val="00F74345"/>
    <w:rsid w:val="00F74413"/>
    <w:rsid w:val="00F75487"/>
    <w:rsid w:val="00F7696C"/>
    <w:rsid w:val="00F77FB7"/>
    <w:rsid w:val="00F802BE"/>
    <w:rsid w:val="00F80A0A"/>
    <w:rsid w:val="00F8257A"/>
    <w:rsid w:val="00F8281B"/>
    <w:rsid w:val="00F82B19"/>
    <w:rsid w:val="00F842B0"/>
    <w:rsid w:val="00F843FF"/>
    <w:rsid w:val="00F85C39"/>
    <w:rsid w:val="00F9212D"/>
    <w:rsid w:val="00F951B0"/>
    <w:rsid w:val="00F962BB"/>
    <w:rsid w:val="00F965C5"/>
    <w:rsid w:val="00F965DA"/>
    <w:rsid w:val="00FA063F"/>
    <w:rsid w:val="00FA2603"/>
    <w:rsid w:val="00FA406A"/>
    <w:rsid w:val="00FA4DA7"/>
    <w:rsid w:val="00FA5841"/>
    <w:rsid w:val="00FA728B"/>
    <w:rsid w:val="00FA7FDA"/>
    <w:rsid w:val="00FB0CFF"/>
    <w:rsid w:val="00FB1025"/>
    <w:rsid w:val="00FB1AA5"/>
    <w:rsid w:val="00FB503A"/>
    <w:rsid w:val="00FB516C"/>
    <w:rsid w:val="00FB7A0E"/>
    <w:rsid w:val="00FC3D8E"/>
    <w:rsid w:val="00FC68AC"/>
    <w:rsid w:val="00FD0236"/>
    <w:rsid w:val="00FD18F4"/>
    <w:rsid w:val="00FD4261"/>
    <w:rsid w:val="00FD4EB3"/>
    <w:rsid w:val="00FD54DB"/>
    <w:rsid w:val="00FD5E38"/>
    <w:rsid w:val="00FD619F"/>
    <w:rsid w:val="00FD6860"/>
    <w:rsid w:val="00FD6A6F"/>
    <w:rsid w:val="00FD70DB"/>
    <w:rsid w:val="00FD7404"/>
    <w:rsid w:val="00FE1F37"/>
    <w:rsid w:val="00FE469A"/>
    <w:rsid w:val="00FE7642"/>
    <w:rsid w:val="00FF4699"/>
    <w:rsid w:val="01001B5E"/>
    <w:rsid w:val="0100390C"/>
    <w:rsid w:val="010351AA"/>
    <w:rsid w:val="010827C0"/>
    <w:rsid w:val="010D3379"/>
    <w:rsid w:val="010D6029"/>
    <w:rsid w:val="01113D6B"/>
    <w:rsid w:val="0112363F"/>
    <w:rsid w:val="01146951"/>
    <w:rsid w:val="01170C55"/>
    <w:rsid w:val="011A7BAC"/>
    <w:rsid w:val="011B6997"/>
    <w:rsid w:val="011D2710"/>
    <w:rsid w:val="011D6E67"/>
    <w:rsid w:val="011E0A90"/>
    <w:rsid w:val="011E7A06"/>
    <w:rsid w:val="01204AB9"/>
    <w:rsid w:val="01204FE7"/>
    <w:rsid w:val="012060DD"/>
    <w:rsid w:val="01211AD4"/>
    <w:rsid w:val="01233A9E"/>
    <w:rsid w:val="012408A7"/>
    <w:rsid w:val="012515C4"/>
    <w:rsid w:val="01264FE9"/>
    <w:rsid w:val="012872C5"/>
    <w:rsid w:val="01290F7E"/>
    <w:rsid w:val="012F5F9F"/>
    <w:rsid w:val="013115A7"/>
    <w:rsid w:val="0132783D"/>
    <w:rsid w:val="013B0C6D"/>
    <w:rsid w:val="013C06BC"/>
    <w:rsid w:val="013E613C"/>
    <w:rsid w:val="013E6E1F"/>
    <w:rsid w:val="014337F8"/>
    <w:rsid w:val="01437C9C"/>
    <w:rsid w:val="01466F12"/>
    <w:rsid w:val="0147702B"/>
    <w:rsid w:val="014A2DD9"/>
    <w:rsid w:val="015106CE"/>
    <w:rsid w:val="01521C8D"/>
    <w:rsid w:val="01536131"/>
    <w:rsid w:val="01536B74"/>
    <w:rsid w:val="01543C57"/>
    <w:rsid w:val="0156352C"/>
    <w:rsid w:val="01564087"/>
    <w:rsid w:val="015772A4"/>
    <w:rsid w:val="015D1E09"/>
    <w:rsid w:val="015E4AD6"/>
    <w:rsid w:val="0160084E"/>
    <w:rsid w:val="01630EE0"/>
    <w:rsid w:val="01664BF8"/>
    <w:rsid w:val="01675B7A"/>
    <w:rsid w:val="016874B2"/>
    <w:rsid w:val="01695955"/>
    <w:rsid w:val="016A306B"/>
    <w:rsid w:val="016D6AC7"/>
    <w:rsid w:val="01735D76"/>
    <w:rsid w:val="017442FA"/>
    <w:rsid w:val="01773039"/>
    <w:rsid w:val="01787946"/>
    <w:rsid w:val="017A163D"/>
    <w:rsid w:val="017D4F5C"/>
    <w:rsid w:val="01800398"/>
    <w:rsid w:val="018112F2"/>
    <w:rsid w:val="0181291D"/>
    <w:rsid w:val="01853E11"/>
    <w:rsid w:val="018551D2"/>
    <w:rsid w:val="01891B53"/>
    <w:rsid w:val="018A1427"/>
    <w:rsid w:val="018C33F1"/>
    <w:rsid w:val="018D0F17"/>
    <w:rsid w:val="018F7A2B"/>
    <w:rsid w:val="01960024"/>
    <w:rsid w:val="01973B44"/>
    <w:rsid w:val="01995B0E"/>
    <w:rsid w:val="019A45A8"/>
    <w:rsid w:val="019C2363"/>
    <w:rsid w:val="01A4698D"/>
    <w:rsid w:val="01A87AFF"/>
    <w:rsid w:val="01AA1AC9"/>
    <w:rsid w:val="01AB198E"/>
    <w:rsid w:val="01AB335C"/>
    <w:rsid w:val="01AC75F0"/>
    <w:rsid w:val="01B42DF8"/>
    <w:rsid w:val="01B6046E"/>
    <w:rsid w:val="01B70B0C"/>
    <w:rsid w:val="01B91D0C"/>
    <w:rsid w:val="01BF37C7"/>
    <w:rsid w:val="01C22E0C"/>
    <w:rsid w:val="01C54B55"/>
    <w:rsid w:val="01CA5CC8"/>
    <w:rsid w:val="01CC5EE4"/>
    <w:rsid w:val="01CC7C92"/>
    <w:rsid w:val="01CE3A0A"/>
    <w:rsid w:val="01D32DCE"/>
    <w:rsid w:val="01D549AE"/>
    <w:rsid w:val="01D60B10"/>
    <w:rsid w:val="01D857E9"/>
    <w:rsid w:val="01D9415D"/>
    <w:rsid w:val="01DF0DDA"/>
    <w:rsid w:val="01E054EB"/>
    <w:rsid w:val="01E07299"/>
    <w:rsid w:val="01E11822"/>
    <w:rsid w:val="01E1703D"/>
    <w:rsid w:val="01E21263"/>
    <w:rsid w:val="01E274B5"/>
    <w:rsid w:val="01E5599D"/>
    <w:rsid w:val="01E73C46"/>
    <w:rsid w:val="01EC5C3E"/>
    <w:rsid w:val="01EF37B6"/>
    <w:rsid w:val="01EF3980"/>
    <w:rsid w:val="01EF572E"/>
    <w:rsid w:val="01F114A6"/>
    <w:rsid w:val="01F1594A"/>
    <w:rsid w:val="01F3017A"/>
    <w:rsid w:val="01F40F97"/>
    <w:rsid w:val="01F86CD9"/>
    <w:rsid w:val="01F9035B"/>
    <w:rsid w:val="01F91143"/>
    <w:rsid w:val="01F96EC8"/>
    <w:rsid w:val="01FA1B8E"/>
    <w:rsid w:val="01FB0577"/>
    <w:rsid w:val="01FF3BC3"/>
    <w:rsid w:val="02015FE5"/>
    <w:rsid w:val="02040F47"/>
    <w:rsid w:val="0204567E"/>
    <w:rsid w:val="020531A4"/>
    <w:rsid w:val="02054F52"/>
    <w:rsid w:val="02062685"/>
    <w:rsid w:val="020A2568"/>
    <w:rsid w:val="020B07BA"/>
    <w:rsid w:val="020E6AD8"/>
    <w:rsid w:val="021234BD"/>
    <w:rsid w:val="0213766F"/>
    <w:rsid w:val="02166173"/>
    <w:rsid w:val="02184C85"/>
    <w:rsid w:val="021A6C4F"/>
    <w:rsid w:val="021F75A6"/>
    <w:rsid w:val="021F7DC1"/>
    <w:rsid w:val="02203B3A"/>
    <w:rsid w:val="02206E0A"/>
    <w:rsid w:val="0224187C"/>
    <w:rsid w:val="02255D92"/>
    <w:rsid w:val="022655F4"/>
    <w:rsid w:val="02290C40"/>
    <w:rsid w:val="022B38DD"/>
    <w:rsid w:val="022D6BD4"/>
    <w:rsid w:val="022E1342"/>
    <w:rsid w:val="02324FB9"/>
    <w:rsid w:val="0233386D"/>
    <w:rsid w:val="02337D11"/>
    <w:rsid w:val="023870D5"/>
    <w:rsid w:val="02397D48"/>
    <w:rsid w:val="023A2E4D"/>
    <w:rsid w:val="023A4BFB"/>
    <w:rsid w:val="023C403F"/>
    <w:rsid w:val="023D293E"/>
    <w:rsid w:val="02433E45"/>
    <w:rsid w:val="02443476"/>
    <w:rsid w:val="024737BC"/>
    <w:rsid w:val="024912E2"/>
    <w:rsid w:val="02496521"/>
    <w:rsid w:val="024A0BB7"/>
    <w:rsid w:val="024A64B1"/>
    <w:rsid w:val="024B5DDB"/>
    <w:rsid w:val="024D6822"/>
    <w:rsid w:val="02502671"/>
    <w:rsid w:val="0250441F"/>
    <w:rsid w:val="02541D7F"/>
    <w:rsid w:val="02565064"/>
    <w:rsid w:val="025727E8"/>
    <w:rsid w:val="0259765B"/>
    <w:rsid w:val="025A704C"/>
    <w:rsid w:val="025D2311"/>
    <w:rsid w:val="026305F6"/>
    <w:rsid w:val="026732B6"/>
    <w:rsid w:val="02697903"/>
    <w:rsid w:val="026C4FD1"/>
    <w:rsid w:val="026C6D7F"/>
    <w:rsid w:val="0273010D"/>
    <w:rsid w:val="027345B1"/>
    <w:rsid w:val="02777BFD"/>
    <w:rsid w:val="027A5940"/>
    <w:rsid w:val="027A76EE"/>
    <w:rsid w:val="027C3466"/>
    <w:rsid w:val="028247F4"/>
    <w:rsid w:val="02852E92"/>
    <w:rsid w:val="02867E41"/>
    <w:rsid w:val="02897931"/>
    <w:rsid w:val="028B36A9"/>
    <w:rsid w:val="028D5673"/>
    <w:rsid w:val="028E13EB"/>
    <w:rsid w:val="028E3199"/>
    <w:rsid w:val="02931E56"/>
    <w:rsid w:val="0295277A"/>
    <w:rsid w:val="029D33DC"/>
    <w:rsid w:val="029E2E94"/>
    <w:rsid w:val="029F53A6"/>
    <w:rsid w:val="02A12ECC"/>
    <w:rsid w:val="02A91D81"/>
    <w:rsid w:val="02B26E88"/>
    <w:rsid w:val="02B52978"/>
    <w:rsid w:val="02B67D66"/>
    <w:rsid w:val="02B726F0"/>
    <w:rsid w:val="02B81FC4"/>
    <w:rsid w:val="02BC7D06"/>
    <w:rsid w:val="02BE10CC"/>
    <w:rsid w:val="02C10DFF"/>
    <w:rsid w:val="02C1356F"/>
    <w:rsid w:val="02C24BF1"/>
    <w:rsid w:val="02C62933"/>
    <w:rsid w:val="02C7081A"/>
    <w:rsid w:val="02CF5EEA"/>
    <w:rsid w:val="02D0730E"/>
    <w:rsid w:val="02D45050"/>
    <w:rsid w:val="02D5292F"/>
    <w:rsid w:val="02D908B8"/>
    <w:rsid w:val="02DA018C"/>
    <w:rsid w:val="02DB7B66"/>
    <w:rsid w:val="02DD1A2B"/>
    <w:rsid w:val="02DE2EF8"/>
    <w:rsid w:val="02E1392C"/>
    <w:rsid w:val="02E4100B"/>
    <w:rsid w:val="02E52EF6"/>
    <w:rsid w:val="02E72B1A"/>
    <w:rsid w:val="02E806FA"/>
    <w:rsid w:val="02E8197C"/>
    <w:rsid w:val="02F310BD"/>
    <w:rsid w:val="02F57EEE"/>
    <w:rsid w:val="02F72AEC"/>
    <w:rsid w:val="02F96569"/>
    <w:rsid w:val="02F96864"/>
    <w:rsid w:val="02F96FD4"/>
    <w:rsid w:val="02FC45A7"/>
    <w:rsid w:val="03015719"/>
    <w:rsid w:val="03031491"/>
    <w:rsid w:val="03082F4B"/>
    <w:rsid w:val="03101E00"/>
    <w:rsid w:val="03127926"/>
    <w:rsid w:val="03140B0F"/>
    <w:rsid w:val="0317318F"/>
    <w:rsid w:val="03183A61"/>
    <w:rsid w:val="031E020B"/>
    <w:rsid w:val="031E03CF"/>
    <w:rsid w:val="031E276F"/>
    <w:rsid w:val="031F3DF1"/>
    <w:rsid w:val="03201948"/>
    <w:rsid w:val="03231B33"/>
    <w:rsid w:val="0328714A"/>
    <w:rsid w:val="032A1114"/>
    <w:rsid w:val="03306F17"/>
    <w:rsid w:val="03340AC7"/>
    <w:rsid w:val="03343D40"/>
    <w:rsid w:val="033C49A3"/>
    <w:rsid w:val="03423791"/>
    <w:rsid w:val="03433F84"/>
    <w:rsid w:val="03465822"/>
    <w:rsid w:val="03476509"/>
    <w:rsid w:val="0348159A"/>
    <w:rsid w:val="034B2E38"/>
    <w:rsid w:val="034B47D7"/>
    <w:rsid w:val="03546FCA"/>
    <w:rsid w:val="03561459"/>
    <w:rsid w:val="035E3114"/>
    <w:rsid w:val="035E3634"/>
    <w:rsid w:val="036208AE"/>
    <w:rsid w:val="03653EFA"/>
    <w:rsid w:val="036A59B4"/>
    <w:rsid w:val="036B5288"/>
    <w:rsid w:val="036C34DA"/>
    <w:rsid w:val="036C573B"/>
    <w:rsid w:val="036D2DAF"/>
    <w:rsid w:val="03710AF1"/>
    <w:rsid w:val="03716D43"/>
    <w:rsid w:val="03724869"/>
    <w:rsid w:val="03782989"/>
    <w:rsid w:val="037A11E6"/>
    <w:rsid w:val="037E320E"/>
    <w:rsid w:val="037E6D6A"/>
    <w:rsid w:val="03800D34"/>
    <w:rsid w:val="03806F86"/>
    <w:rsid w:val="0382267F"/>
    <w:rsid w:val="038237EF"/>
    <w:rsid w:val="038A15DD"/>
    <w:rsid w:val="038A33AB"/>
    <w:rsid w:val="038E3A87"/>
    <w:rsid w:val="03906A9D"/>
    <w:rsid w:val="03912F41"/>
    <w:rsid w:val="03984646"/>
    <w:rsid w:val="039849B2"/>
    <w:rsid w:val="039B2BEF"/>
    <w:rsid w:val="039E565E"/>
    <w:rsid w:val="039F78D2"/>
    <w:rsid w:val="03A10CAA"/>
    <w:rsid w:val="03A32C74"/>
    <w:rsid w:val="03A367D0"/>
    <w:rsid w:val="03A82039"/>
    <w:rsid w:val="03AA7B5F"/>
    <w:rsid w:val="03B24C65"/>
    <w:rsid w:val="03B46C2F"/>
    <w:rsid w:val="03B629A7"/>
    <w:rsid w:val="03B94246"/>
    <w:rsid w:val="03BA01AE"/>
    <w:rsid w:val="03BD5EFC"/>
    <w:rsid w:val="03BE185C"/>
    <w:rsid w:val="03C36E72"/>
    <w:rsid w:val="03C4523A"/>
    <w:rsid w:val="03C843EE"/>
    <w:rsid w:val="03C84E6D"/>
    <w:rsid w:val="03CF3A69"/>
    <w:rsid w:val="03D2472D"/>
    <w:rsid w:val="03D332D6"/>
    <w:rsid w:val="03D446F6"/>
    <w:rsid w:val="03D472D2"/>
    <w:rsid w:val="03D66BA6"/>
    <w:rsid w:val="03D8291E"/>
    <w:rsid w:val="03DA2A74"/>
    <w:rsid w:val="03DB0660"/>
    <w:rsid w:val="03DB41BC"/>
    <w:rsid w:val="03DE3CAC"/>
    <w:rsid w:val="03E25383"/>
    <w:rsid w:val="03E33071"/>
    <w:rsid w:val="03E56DE9"/>
    <w:rsid w:val="03EA7B21"/>
    <w:rsid w:val="03EB3DC4"/>
    <w:rsid w:val="03EE0DBF"/>
    <w:rsid w:val="03EE3EEF"/>
    <w:rsid w:val="03F51722"/>
    <w:rsid w:val="03F60FF6"/>
    <w:rsid w:val="03F646E2"/>
    <w:rsid w:val="03F700FE"/>
    <w:rsid w:val="03FE4564"/>
    <w:rsid w:val="03FE4719"/>
    <w:rsid w:val="04021749"/>
    <w:rsid w:val="04032C48"/>
    <w:rsid w:val="04047550"/>
    <w:rsid w:val="0405748B"/>
    <w:rsid w:val="04075C0E"/>
    <w:rsid w:val="040B7FAD"/>
    <w:rsid w:val="040D00EE"/>
    <w:rsid w:val="040E2F10"/>
    <w:rsid w:val="0410030A"/>
    <w:rsid w:val="04117BDE"/>
    <w:rsid w:val="0413049A"/>
    <w:rsid w:val="04155920"/>
    <w:rsid w:val="04194CE4"/>
    <w:rsid w:val="041E2A05"/>
    <w:rsid w:val="04206073"/>
    <w:rsid w:val="042353E7"/>
    <w:rsid w:val="04246559"/>
    <w:rsid w:val="04284AA8"/>
    <w:rsid w:val="042A0CA0"/>
    <w:rsid w:val="042A26E9"/>
    <w:rsid w:val="042A3104"/>
    <w:rsid w:val="042C0DCB"/>
    <w:rsid w:val="042F2C60"/>
    <w:rsid w:val="0431202E"/>
    <w:rsid w:val="043164D2"/>
    <w:rsid w:val="04335DA6"/>
    <w:rsid w:val="0439707F"/>
    <w:rsid w:val="043B2184"/>
    <w:rsid w:val="043C039F"/>
    <w:rsid w:val="044356D7"/>
    <w:rsid w:val="044779E7"/>
    <w:rsid w:val="044A30F0"/>
    <w:rsid w:val="044C50BA"/>
    <w:rsid w:val="044E2BE0"/>
    <w:rsid w:val="04533DF5"/>
    <w:rsid w:val="0457381A"/>
    <w:rsid w:val="045954B6"/>
    <w:rsid w:val="045B7DD6"/>
    <w:rsid w:val="045F303F"/>
    <w:rsid w:val="046702C7"/>
    <w:rsid w:val="04671EF4"/>
    <w:rsid w:val="04673CA2"/>
    <w:rsid w:val="046A2A3A"/>
    <w:rsid w:val="046E6115"/>
    <w:rsid w:val="046E6DDE"/>
    <w:rsid w:val="04700DA8"/>
    <w:rsid w:val="047107B7"/>
    <w:rsid w:val="04714B20"/>
    <w:rsid w:val="047168CE"/>
    <w:rsid w:val="04722D72"/>
    <w:rsid w:val="0475016D"/>
    <w:rsid w:val="0475638A"/>
    <w:rsid w:val="04787C5D"/>
    <w:rsid w:val="047A1C27"/>
    <w:rsid w:val="047B14FB"/>
    <w:rsid w:val="047F2D99"/>
    <w:rsid w:val="04826322"/>
    <w:rsid w:val="04891E6A"/>
    <w:rsid w:val="048E4BB2"/>
    <w:rsid w:val="04926F71"/>
    <w:rsid w:val="049727D9"/>
    <w:rsid w:val="049820AD"/>
    <w:rsid w:val="049975B9"/>
    <w:rsid w:val="049A4077"/>
    <w:rsid w:val="049D1650"/>
    <w:rsid w:val="049D5915"/>
    <w:rsid w:val="049F343C"/>
    <w:rsid w:val="049F3CA4"/>
    <w:rsid w:val="04A171B4"/>
    <w:rsid w:val="04A2573B"/>
    <w:rsid w:val="04A3389B"/>
    <w:rsid w:val="04A86794"/>
    <w:rsid w:val="04A91479"/>
    <w:rsid w:val="04A930A7"/>
    <w:rsid w:val="04AA38CE"/>
    <w:rsid w:val="04AC4FFA"/>
    <w:rsid w:val="04AE18D1"/>
    <w:rsid w:val="04B0389B"/>
    <w:rsid w:val="04B1084F"/>
    <w:rsid w:val="04B113EE"/>
    <w:rsid w:val="04B47551"/>
    <w:rsid w:val="04B50EB1"/>
    <w:rsid w:val="04B52C5F"/>
    <w:rsid w:val="04B844FD"/>
    <w:rsid w:val="04B9408F"/>
    <w:rsid w:val="04BB33AF"/>
    <w:rsid w:val="04BC3FEE"/>
    <w:rsid w:val="04C17856"/>
    <w:rsid w:val="04C44C50"/>
    <w:rsid w:val="04C9670A"/>
    <w:rsid w:val="04CD61FB"/>
    <w:rsid w:val="04CE00F8"/>
    <w:rsid w:val="04D72BD5"/>
    <w:rsid w:val="04D806FC"/>
    <w:rsid w:val="04DA0918"/>
    <w:rsid w:val="04DA26C6"/>
    <w:rsid w:val="04DB26FC"/>
    <w:rsid w:val="04DF2D7C"/>
    <w:rsid w:val="04E11CA6"/>
    <w:rsid w:val="04E4536A"/>
    <w:rsid w:val="04E711E8"/>
    <w:rsid w:val="04EA554A"/>
    <w:rsid w:val="04EB042F"/>
    <w:rsid w:val="04EB21F1"/>
    <w:rsid w:val="04ED014B"/>
    <w:rsid w:val="04ED41A7"/>
    <w:rsid w:val="04EE3309"/>
    <w:rsid w:val="04F03C97"/>
    <w:rsid w:val="04F12CB8"/>
    <w:rsid w:val="04F13418"/>
    <w:rsid w:val="04F25C61"/>
    <w:rsid w:val="04F33787"/>
    <w:rsid w:val="04F4516E"/>
    <w:rsid w:val="04F512AE"/>
    <w:rsid w:val="04F574FF"/>
    <w:rsid w:val="04F73E4E"/>
    <w:rsid w:val="04FA2D68"/>
    <w:rsid w:val="04FA431E"/>
    <w:rsid w:val="04FC263C"/>
    <w:rsid w:val="05035BC7"/>
    <w:rsid w:val="05040802"/>
    <w:rsid w:val="05045994"/>
    <w:rsid w:val="05070317"/>
    <w:rsid w:val="05085485"/>
    <w:rsid w:val="050B287F"/>
    <w:rsid w:val="0510733D"/>
    <w:rsid w:val="05191440"/>
    <w:rsid w:val="051A60E2"/>
    <w:rsid w:val="051C683A"/>
    <w:rsid w:val="051F632A"/>
    <w:rsid w:val="05212DAC"/>
    <w:rsid w:val="05216546"/>
    <w:rsid w:val="05243941"/>
    <w:rsid w:val="05283431"/>
    <w:rsid w:val="05290E6D"/>
    <w:rsid w:val="05290F57"/>
    <w:rsid w:val="05291032"/>
    <w:rsid w:val="052A53FB"/>
    <w:rsid w:val="052B4CCF"/>
    <w:rsid w:val="052D0A47"/>
    <w:rsid w:val="053251E7"/>
    <w:rsid w:val="05341DD6"/>
    <w:rsid w:val="0534627A"/>
    <w:rsid w:val="05351C19"/>
    <w:rsid w:val="05354B61"/>
    <w:rsid w:val="05362A09"/>
    <w:rsid w:val="05375A47"/>
    <w:rsid w:val="053D0CC8"/>
    <w:rsid w:val="053D1A99"/>
    <w:rsid w:val="053D7FEC"/>
    <w:rsid w:val="053E4A03"/>
    <w:rsid w:val="053E7324"/>
    <w:rsid w:val="0544022B"/>
    <w:rsid w:val="05461B09"/>
    <w:rsid w:val="05483AD3"/>
    <w:rsid w:val="054A409D"/>
    <w:rsid w:val="054B35C3"/>
    <w:rsid w:val="054C21D8"/>
    <w:rsid w:val="054C69BD"/>
    <w:rsid w:val="054D3C9F"/>
    <w:rsid w:val="054E09BE"/>
    <w:rsid w:val="054F315D"/>
    <w:rsid w:val="055204AE"/>
    <w:rsid w:val="05561E22"/>
    <w:rsid w:val="05571F68"/>
    <w:rsid w:val="05590644"/>
    <w:rsid w:val="055B5E8C"/>
    <w:rsid w:val="05612280"/>
    <w:rsid w:val="05645491"/>
    <w:rsid w:val="056921F6"/>
    <w:rsid w:val="056A5EC4"/>
    <w:rsid w:val="056B1570"/>
    <w:rsid w:val="056E08C6"/>
    <w:rsid w:val="05726DA2"/>
    <w:rsid w:val="05737154"/>
    <w:rsid w:val="05740424"/>
    <w:rsid w:val="05760640"/>
    <w:rsid w:val="05784086"/>
    <w:rsid w:val="05790131"/>
    <w:rsid w:val="057D1AFC"/>
    <w:rsid w:val="057E12A3"/>
    <w:rsid w:val="058648FE"/>
    <w:rsid w:val="05882122"/>
    <w:rsid w:val="058D7738"/>
    <w:rsid w:val="058E660D"/>
    <w:rsid w:val="0591547A"/>
    <w:rsid w:val="05982F92"/>
    <w:rsid w:val="0599432F"/>
    <w:rsid w:val="059E1945"/>
    <w:rsid w:val="05A01219"/>
    <w:rsid w:val="05A30D0A"/>
    <w:rsid w:val="05A607FA"/>
    <w:rsid w:val="05A9398B"/>
    <w:rsid w:val="05A957CD"/>
    <w:rsid w:val="05AF5900"/>
    <w:rsid w:val="05B1320D"/>
    <w:rsid w:val="05B22981"/>
    <w:rsid w:val="05B253F0"/>
    <w:rsid w:val="05B64EE1"/>
    <w:rsid w:val="05BA3E5F"/>
    <w:rsid w:val="05BB272D"/>
    <w:rsid w:val="05C018BB"/>
    <w:rsid w:val="05C42D45"/>
    <w:rsid w:val="05C85D9A"/>
    <w:rsid w:val="05C87A08"/>
    <w:rsid w:val="05CD5D86"/>
    <w:rsid w:val="05CF7786"/>
    <w:rsid w:val="05D40E99"/>
    <w:rsid w:val="05D435B9"/>
    <w:rsid w:val="05D84E57"/>
    <w:rsid w:val="05DB36AB"/>
    <w:rsid w:val="05DC0DD7"/>
    <w:rsid w:val="05DD246D"/>
    <w:rsid w:val="05DE61E6"/>
    <w:rsid w:val="05DE7F94"/>
    <w:rsid w:val="05E03D0C"/>
    <w:rsid w:val="05E11832"/>
    <w:rsid w:val="05ED01D7"/>
    <w:rsid w:val="05EF03F3"/>
    <w:rsid w:val="05F17CC7"/>
    <w:rsid w:val="05F6352F"/>
    <w:rsid w:val="05F83EAE"/>
    <w:rsid w:val="05F91FC1"/>
    <w:rsid w:val="05F9301F"/>
    <w:rsid w:val="05FD666C"/>
    <w:rsid w:val="060101C2"/>
    <w:rsid w:val="06035C4C"/>
    <w:rsid w:val="06046B53"/>
    <w:rsid w:val="06053772"/>
    <w:rsid w:val="06055520"/>
    <w:rsid w:val="0607573C"/>
    <w:rsid w:val="060905E2"/>
    <w:rsid w:val="060A2B37"/>
    <w:rsid w:val="060C68AF"/>
    <w:rsid w:val="060E1B99"/>
    <w:rsid w:val="06107CC7"/>
    <w:rsid w:val="06110369"/>
    <w:rsid w:val="061340E1"/>
    <w:rsid w:val="0613588B"/>
    <w:rsid w:val="06141C07"/>
    <w:rsid w:val="0616515F"/>
    <w:rsid w:val="06177EE0"/>
    <w:rsid w:val="06187987"/>
    <w:rsid w:val="06191786"/>
    <w:rsid w:val="06191FF7"/>
    <w:rsid w:val="06192012"/>
    <w:rsid w:val="061D6D0E"/>
    <w:rsid w:val="062063B3"/>
    <w:rsid w:val="062112BF"/>
    <w:rsid w:val="06230D18"/>
    <w:rsid w:val="06235774"/>
    <w:rsid w:val="06250FB8"/>
    <w:rsid w:val="0627193B"/>
    <w:rsid w:val="062C0CFF"/>
    <w:rsid w:val="062E4A77"/>
    <w:rsid w:val="063244A1"/>
    <w:rsid w:val="06361B7E"/>
    <w:rsid w:val="063D2F0C"/>
    <w:rsid w:val="063D4CBA"/>
    <w:rsid w:val="063E7D85"/>
    <w:rsid w:val="064416AA"/>
    <w:rsid w:val="06470AB2"/>
    <w:rsid w:val="06497B03"/>
    <w:rsid w:val="064F2C3F"/>
    <w:rsid w:val="064F49ED"/>
    <w:rsid w:val="06510766"/>
    <w:rsid w:val="065336FB"/>
    <w:rsid w:val="065344DE"/>
    <w:rsid w:val="06562220"/>
    <w:rsid w:val="06587D46"/>
    <w:rsid w:val="065D710A"/>
    <w:rsid w:val="06620BC5"/>
    <w:rsid w:val="06622973"/>
    <w:rsid w:val="066E17CD"/>
    <w:rsid w:val="066E7569"/>
    <w:rsid w:val="066F0A20"/>
    <w:rsid w:val="066F6E3E"/>
    <w:rsid w:val="06700432"/>
    <w:rsid w:val="06725923"/>
    <w:rsid w:val="06734B80"/>
    <w:rsid w:val="06782F47"/>
    <w:rsid w:val="067A5F0E"/>
    <w:rsid w:val="067F1777"/>
    <w:rsid w:val="06862B05"/>
    <w:rsid w:val="068648B3"/>
    <w:rsid w:val="068723D9"/>
    <w:rsid w:val="0687687D"/>
    <w:rsid w:val="068813F6"/>
    <w:rsid w:val="068A3C77"/>
    <w:rsid w:val="06935222"/>
    <w:rsid w:val="0693639D"/>
    <w:rsid w:val="0695635D"/>
    <w:rsid w:val="06976844"/>
    <w:rsid w:val="069D1BFD"/>
    <w:rsid w:val="069D7E4F"/>
    <w:rsid w:val="069F2838"/>
    <w:rsid w:val="06A50AB1"/>
    <w:rsid w:val="06A61C42"/>
    <w:rsid w:val="06A66D03"/>
    <w:rsid w:val="06A72A7B"/>
    <w:rsid w:val="06A765D7"/>
    <w:rsid w:val="06AA11A6"/>
    <w:rsid w:val="06AB059F"/>
    <w:rsid w:val="06AB73E8"/>
    <w:rsid w:val="06B05CCC"/>
    <w:rsid w:val="06B2316A"/>
    <w:rsid w:val="06B3316B"/>
    <w:rsid w:val="06B35C66"/>
    <w:rsid w:val="06B47B7A"/>
    <w:rsid w:val="06B56F46"/>
    <w:rsid w:val="06B74CAA"/>
    <w:rsid w:val="06BA455D"/>
    <w:rsid w:val="06BA630B"/>
    <w:rsid w:val="06BF1B73"/>
    <w:rsid w:val="06C04DDC"/>
    <w:rsid w:val="06C21663"/>
    <w:rsid w:val="06C74ECC"/>
    <w:rsid w:val="06CB5B54"/>
    <w:rsid w:val="06CC603E"/>
    <w:rsid w:val="06D03D80"/>
    <w:rsid w:val="06D05B2E"/>
    <w:rsid w:val="06D11853"/>
    <w:rsid w:val="06D73361"/>
    <w:rsid w:val="06D80E87"/>
    <w:rsid w:val="06D82C35"/>
    <w:rsid w:val="06DB2CC3"/>
    <w:rsid w:val="06DF5D71"/>
    <w:rsid w:val="06E25862"/>
    <w:rsid w:val="06E53255"/>
    <w:rsid w:val="06E61CA5"/>
    <w:rsid w:val="06E72E78"/>
    <w:rsid w:val="06E8731C"/>
    <w:rsid w:val="06E96BF0"/>
    <w:rsid w:val="06EA101E"/>
    <w:rsid w:val="06EB0BBA"/>
    <w:rsid w:val="06EC048E"/>
    <w:rsid w:val="06EE4206"/>
    <w:rsid w:val="06EF6EAB"/>
    <w:rsid w:val="06F04422"/>
    <w:rsid w:val="06F16339"/>
    <w:rsid w:val="06FA118D"/>
    <w:rsid w:val="06FC2A3B"/>
    <w:rsid w:val="07017D69"/>
    <w:rsid w:val="07027CB2"/>
    <w:rsid w:val="07046D8D"/>
    <w:rsid w:val="070505FF"/>
    <w:rsid w:val="07091E7D"/>
    <w:rsid w:val="070D3824"/>
    <w:rsid w:val="070E3E31"/>
    <w:rsid w:val="070E58EA"/>
    <w:rsid w:val="07107BC6"/>
    <w:rsid w:val="071300FA"/>
    <w:rsid w:val="07131EBF"/>
    <w:rsid w:val="071870C5"/>
    <w:rsid w:val="071C5217"/>
    <w:rsid w:val="071D13D8"/>
    <w:rsid w:val="071D4AEC"/>
    <w:rsid w:val="071E3DC1"/>
    <w:rsid w:val="071F0864"/>
    <w:rsid w:val="07235607"/>
    <w:rsid w:val="07245D79"/>
    <w:rsid w:val="07293586"/>
    <w:rsid w:val="07295285"/>
    <w:rsid w:val="072B7208"/>
    <w:rsid w:val="072D4D2F"/>
    <w:rsid w:val="07300CC3"/>
    <w:rsid w:val="073562D9"/>
    <w:rsid w:val="07370F8E"/>
    <w:rsid w:val="073B743D"/>
    <w:rsid w:val="073C2FE8"/>
    <w:rsid w:val="073C7E17"/>
    <w:rsid w:val="07413B34"/>
    <w:rsid w:val="07416A2C"/>
    <w:rsid w:val="074402CA"/>
    <w:rsid w:val="0744651C"/>
    <w:rsid w:val="07481B68"/>
    <w:rsid w:val="0749768F"/>
    <w:rsid w:val="074D3623"/>
    <w:rsid w:val="074D59A5"/>
    <w:rsid w:val="074F5BE1"/>
    <w:rsid w:val="07520C39"/>
    <w:rsid w:val="075449B1"/>
    <w:rsid w:val="07577FFE"/>
    <w:rsid w:val="07593D76"/>
    <w:rsid w:val="075B5D40"/>
    <w:rsid w:val="075F5104"/>
    <w:rsid w:val="075F6EB2"/>
    <w:rsid w:val="07610E7C"/>
    <w:rsid w:val="07636392"/>
    <w:rsid w:val="076411DC"/>
    <w:rsid w:val="076518BD"/>
    <w:rsid w:val="07660513"/>
    <w:rsid w:val="07660A33"/>
    <w:rsid w:val="07666493"/>
    <w:rsid w:val="07676A01"/>
    <w:rsid w:val="0768045D"/>
    <w:rsid w:val="0768708F"/>
    <w:rsid w:val="076B5857"/>
    <w:rsid w:val="076D15CF"/>
    <w:rsid w:val="076F17EB"/>
    <w:rsid w:val="076F5347"/>
    <w:rsid w:val="07707311"/>
    <w:rsid w:val="0774295E"/>
    <w:rsid w:val="077527CF"/>
    <w:rsid w:val="077706A0"/>
    <w:rsid w:val="07770C56"/>
    <w:rsid w:val="07783E0F"/>
    <w:rsid w:val="077A1F3E"/>
    <w:rsid w:val="077B71C1"/>
    <w:rsid w:val="07846919"/>
    <w:rsid w:val="07862691"/>
    <w:rsid w:val="07863B16"/>
    <w:rsid w:val="078A2181"/>
    <w:rsid w:val="078B414B"/>
    <w:rsid w:val="078D7EC3"/>
    <w:rsid w:val="07921036"/>
    <w:rsid w:val="0797489E"/>
    <w:rsid w:val="0797664C"/>
    <w:rsid w:val="079E5C2C"/>
    <w:rsid w:val="07A0147A"/>
    <w:rsid w:val="07A1571D"/>
    <w:rsid w:val="07A2040D"/>
    <w:rsid w:val="07A34EDC"/>
    <w:rsid w:val="07A656A9"/>
    <w:rsid w:val="07A70F85"/>
    <w:rsid w:val="07AA03DF"/>
    <w:rsid w:val="07AB0349"/>
    <w:rsid w:val="07AD40C1"/>
    <w:rsid w:val="07AE458E"/>
    <w:rsid w:val="07AF1BE8"/>
    <w:rsid w:val="07B13BB2"/>
    <w:rsid w:val="07B216D8"/>
    <w:rsid w:val="07B436A2"/>
    <w:rsid w:val="07B70A9C"/>
    <w:rsid w:val="07B90CB8"/>
    <w:rsid w:val="07BA49ED"/>
    <w:rsid w:val="07BD6B2C"/>
    <w:rsid w:val="07BD796A"/>
    <w:rsid w:val="07BF30B9"/>
    <w:rsid w:val="07C02047"/>
    <w:rsid w:val="07C1191B"/>
    <w:rsid w:val="07C442AC"/>
    <w:rsid w:val="07C92227"/>
    <w:rsid w:val="07CA4C73"/>
    <w:rsid w:val="07D17DB0"/>
    <w:rsid w:val="07D23B28"/>
    <w:rsid w:val="07DB720D"/>
    <w:rsid w:val="07DC1E60"/>
    <w:rsid w:val="07DC1F53"/>
    <w:rsid w:val="07DC6755"/>
    <w:rsid w:val="07DD0873"/>
    <w:rsid w:val="07DE7496"/>
    <w:rsid w:val="07E07FF3"/>
    <w:rsid w:val="07E37AE3"/>
    <w:rsid w:val="07E72487"/>
    <w:rsid w:val="07E908C9"/>
    <w:rsid w:val="07EA2C20"/>
    <w:rsid w:val="07EA4B5E"/>
    <w:rsid w:val="07EC0192"/>
    <w:rsid w:val="07F124B6"/>
    <w:rsid w:val="07F20CC5"/>
    <w:rsid w:val="07F43A9E"/>
    <w:rsid w:val="07F72D3E"/>
    <w:rsid w:val="07F86C65"/>
    <w:rsid w:val="07F92E63"/>
    <w:rsid w:val="07FB6BDB"/>
    <w:rsid w:val="07FD7076"/>
    <w:rsid w:val="0802440D"/>
    <w:rsid w:val="08031F33"/>
    <w:rsid w:val="08033CE1"/>
    <w:rsid w:val="08052254"/>
    <w:rsid w:val="08053EFD"/>
    <w:rsid w:val="08057A5A"/>
    <w:rsid w:val="0807128C"/>
    <w:rsid w:val="08071A24"/>
    <w:rsid w:val="0808032A"/>
    <w:rsid w:val="080812F8"/>
    <w:rsid w:val="080C0DE8"/>
    <w:rsid w:val="080C528C"/>
    <w:rsid w:val="080C703A"/>
    <w:rsid w:val="080F2686"/>
    <w:rsid w:val="08114650"/>
    <w:rsid w:val="08144EEC"/>
    <w:rsid w:val="08157D0A"/>
    <w:rsid w:val="081B102B"/>
    <w:rsid w:val="081C5B30"/>
    <w:rsid w:val="081D1247"/>
    <w:rsid w:val="08206641"/>
    <w:rsid w:val="08217023"/>
    <w:rsid w:val="0822060B"/>
    <w:rsid w:val="08236132"/>
    <w:rsid w:val="08243401"/>
    <w:rsid w:val="08251EAA"/>
    <w:rsid w:val="08275C22"/>
    <w:rsid w:val="082A74C0"/>
    <w:rsid w:val="082C0402"/>
    <w:rsid w:val="082C148A"/>
    <w:rsid w:val="082E5202"/>
    <w:rsid w:val="082F4AD6"/>
    <w:rsid w:val="083112AF"/>
    <w:rsid w:val="08332819"/>
    <w:rsid w:val="0834033F"/>
    <w:rsid w:val="0838381A"/>
    <w:rsid w:val="083A66F8"/>
    <w:rsid w:val="083B00CB"/>
    <w:rsid w:val="083D3ED3"/>
    <w:rsid w:val="083D71F3"/>
    <w:rsid w:val="083E4D1A"/>
    <w:rsid w:val="084120E9"/>
    <w:rsid w:val="08420CAE"/>
    <w:rsid w:val="0845254C"/>
    <w:rsid w:val="0849203C"/>
    <w:rsid w:val="084C38DA"/>
    <w:rsid w:val="0850455A"/>
    <w:rsid w:val="085602B5"/>
    <w:rsid w:val="08594552"/>
    <w:rsid w:val="085B58CB"/>
    <w:rsid w:val="085D6318"/>
    <w:rsid w:val="085E7023"/>
    <w:rsid w:val="08607386"/>
    <w:rsid w:val="086329D2"/>
    <w:rsid w:val="086450FE"/>
    <w:rsid w:val="08646E76"/>
    <w:rsid w:val="08663D8C"/>
    <w:rsid w:val="08680D77"/>
    <w:rsid w:val="08681565"/>
    <w:rsid w:val="086C1F56"/>
    <w:rsid w:val="086F75C9"/>
    <w:rsid w:val="08716E9D"/>
    <w:rsid w:val="08732C15"/>
    <w:rsid w:val="087345A0"/>
    <w:rsid w:val="087B2722"/>
    <w:rsid w:val="087D3E5F"/>
    <w:rsid w:val="088034E8"/>
    <w:rsid w:val="08850A8D"/>
    <w:rsid w:val="08856DEC"/>
    <w:rsid w:val="088717BD"/>
    <w:rsid w:val="0888458F"/>
    <w:rsid w:val="08892439"/>
    <w:rsid w:val="088968DD"/>
    <w:rsid w:val="088C017B"/>
    <w:rsid w:val="088C3CD7"/>
    <w:rsid w:val="088F5575"/>
    <w:rsid w:val="08907C6B"/>
    <w:rsid w:val="08931509"/>
    <w:rsid w:val="08935065"/>
    <w:rsid w:val="089B03BE"/>
    <w:rsid w:val="08A059D4"/>
    <w:rsid w:val="08A13C26"/>
    <w:rsid w:val="08A234FA"/>
    <w:rsid w:val="08A41020"/>
    <w:rsid w:val="08AC409F"/>
    <w:rsid w:val="08AF79C5"/>
    <w:rsid w:val="08B6462D"/>
    <w:rsid w:val="08BA4CE8"/>
    <w:rsid w:val="08BB280E"/>
    <w:rsid w:val="08BC0A60"/>
    <w:rsid w:val="08C16076"/>
    <w:rsid w:val="08C311B8"/>
    <w:rsid w:val="08C6368D"/>
    <w:rsid w:val="08CA5EF0"/>
    <w:rsid w:val="08DA2C94"/>
    <w:rsid w:val="08DD09D6"/>
    <w:rsid w:val="08DF3D86"/>
    <w:rsid w:val="08E1375F"/>
    <w:rsid w:val="08E16062"/>
    <w:rsid w:val="08E26C00"/>
    <w:rsid w:val="08EE04EE"/>
    <w:rsid w:val="08F05D16"/>
    <w:rsid w:val="08F17FDE"/>
    <w:rsid w:val="08F37A02"/>
    <w:rsid w:val="08F875BE"/>
    <w:rsid w:val="08FA50E4"/>
    <w:rsid w:val="08FC0CCA"/>
    <w:rsid w:val="08FF7C67"/>
    <w:rsid w:val="09000221"/>
    <w:rsid w:val="090225E2"/>
    <w:rsid w:val="090441B5"/>
    <w:rsid w:val="090715AF"/>
    <w:rsid w:val="09093579"/>
    <w:rsid w:val="090B1DF6"/>
    <w:rsid w:val="09166F09"/>
    <w:rsid w:val="09181A0E"/>
    <w:rsid w:val="09187C60"/>
    <w:rsid w:val="091A7E4E"/>
    <w:rsid w:val="091B505B"/>
    <w:rsid w:val="091D0DD3"/>
    <w:rsid w:val="091E4412"/>
    <w:rsid w:val="091F0FEF"/>
    <w:rsid w:val="092217DD"/>
    <w:rsid w:val="092255F6"/>
    <w:rsid w:val="092263E9"/>
    <w:rsid w:val="092509E7"/>
    <w:rsid w:val="0925575C"/>
    <w:rsid w:val="0926412B"/>
    <w:rsid w:val="09271C52"/>
    <w:rsid w:val="09273A00"/>
    <w:rsid w:val="09281493"/>
    <w:rsid w:val="09290360"/>
    <w:rsid w:val="0929337E"/>
    <w:rsid w:val="093446B7"/>
    <w:rsid w:val="0935611C"/>
    <w:rsid w:val="09360D5B"/>
    <w:rsid w:val="093700E7"/>
    <w:rsid w:val="093733C9"/>
    <w:rsid w:val="09376339"/>
    <w:rsid w:val="09393E1B"/>
    <w:rsid w:val="093A7294"/>
    <w:rsid w:val="093B131A"/>
    <w:rsid w:val="093C74AB"/>
    <w:rsid w:val="093D20B4"/>
    <w:rsid w:val="093E76C7"/>
    <w:rsid w:val="094112A1"/>
    <w:rsid w:val="094B1DE4"/>
    <w:rsid w:val="094D16B8"/>
    <w:rsid w:val="09505959"/>
    <w:rsid w:val="095104FE"/>
    <w:rsid w:val="09524F20"/>
    <w:rsid w:val="09540C99"/>
    <w:rsid w:val="09565C33"/>
    <w:rsid w:val="09565F9E"/>
    <w:rsid w:val="095664BF"/>
    <w:rsid w:val="095852CB"/>
    <w:rsid w:val="0959519B"/>
    <w:rsid w:val="095A3DD5"/>
    <w:rsid w:val="095C18FB"/>
    <w:rsid w:val="095D5673"/>
    <w:rsid w:val="095F1D10"/>
    <w:rsid w:val="0963712E"/>
    <w:rsid w:val="09670057"/>
    <w:rsid w:val="096802A0"/>
    <w:rsid w:val="096D1D5A"/>
    <w:rsid w:val="096D55BB"/>
    <w:rsid w:val="096D58B6"/>
    <w:rsid w:val="097237E4"/>
    <w:rsid w:val="0973310E"/>
    <w:rsid w:val="097525CD"/>
    <w:rsid w:val="097F383C"/>
    <w:rsid w:val="09815214"/>
    <w:rsid w:val="098456E1"/>
    <w:rsid w:val="098470A4"/>
    <w:rsid w:val="098B3F8E"/>
    <w:rsid w:val="098C55A3"/>
    <w:rsid w:val="09907166"/>
    <w:rsid w:val="0990731B"/>
    <w:rsid w:val="099217C1"/>
    <w:rsid w:val="09954E0D"/>
    <w:rsid w:val="099D2F7B"/>
    <w:rsid w:val="099E0166"/>
    <w:rsid w:val="099F7A3A"/>
    <w:rsid w:val="09A11A04"/>
    <w:rsid w:val="09A2275D"/>
    <w:rsid w:val="09A33F5B"/>
    <w:rsid w:val="09A3752A"/>
    <w:rsid w:val="09A60DC8"/>
    <w:rsid w:val="09AA6B0A"/>
    <w:rsid w:val="09AD03A9"/>
    <w:rsid w:val="09AD3BFF"/>
    <w:rsid w:val="09B41737"/>
    <w:rsid w:val="09B5199D"/>
    <w:rsid w:val="09B63701"/>
    <w:rsid w:val="09B71227"/>
    <w:rsid w:val="09B94F9F"/>
    <w:rsid w:val="09BB0D18"/>
    <w:rsid w:val="09BE7CE3"/>
    <w:rsid w:val="09C13E54"/>
    <w:rsid w:val="09C53944"/>
    <w:rsid w:val="09C6146A"/>
    <w:rsid w:val="09C83435"/>
    <w:rsid w:val="09CB082F"/>
    <w:rsid w:val="09D61B19"/>
    <w:rsid w:val="09D83D52"/>
    <w:rsid w:val="09D92F4C"/>
    <w:rsid w:val="09DA2AFC"/>
    <w:rsid w:val="09DB3168"/>
    <w:rsid w:val="09DB6AD2"/>
    <w:rsid w:val="09DC0C8E"/>
    <w:rsid w:val="09DD1183"/>
    <w:rsid w:val="09DE0562"/>
    <w:rsid w:val="09E0252C"/>
    <w:rsid w:val="09E10052"/>
    <w:rsid w:val="09E22B15"/>
    <w:rsid w:val="09E65669"/>
    <w:rsid w:val="09EA5159"/>
    <w:rsid w:val="09EE4CD9"/>
    <w:rsid w:val="09F361E9"/>
    <w:rsid w:val="09F47BF4"/>
    <w:rsid w:val="09F7266F"/>
    <w:rsid w:val="09F875A4"/>
    <w:rsid w:val="09FE29B2"/>
    <w:rsid w:val="0A00497C"/>
    <w:rsid w:val="0A051BCB"/>
    <w:rsid w:val="0A075D0B"/>
    <w:rsid w:val="0A08006A"/>
    <w:rsid w:val="0A086CFC"/>
    <w:rsid w:val="0A0A1357"/>
    <w:rsid w:val="0A0A75A9"/>
    <w:rsid w:val="0A0D7099"/>
    <w:rsid w:val="0A0F696E"/>
    <w:rsid w:val="0A1265BB"/>
    <w:rsid w:val="0A1341F3"/>
    <w:rsid w:val="0A134A7F"/>
    <w:rsid w:val="0A165F4E"/>
    <w:rsid w:val="0A173A74"/>
    <w:rsid w:val="0A1E3055"/>
    <w:rsid w:val="0A206DCD"/>
    <w:rsid w:val="0A216D3B"/>
    <w:rsid w:val="0A221267"/>
    <w:rsid w:val="0A222B45"/>
    <w:rsid w:val="0A2262F9"/>
    <w:rsid w:val="0A23652E"/>
    <w:rsid w:val="0A2368BD"/>
    <w:rsid w:val="0A256191"/>
    <w:rsid w:val="0A263993"/>
    <w:rsid w:val="0A27015B"/>
    <w:rsid w:val="0A285C81"/>
    <w:rsid w:val="0A2D3AC2"/>
    <w:rsid w:val="0A2F0DBE"/>
    <w:rsid w:val="0A3035BA"/>
    <w:rsid w:val="0A326B00"/>
    <w:rsid w:val="0A342878"/>
    <w:rsid w:val="0A347112"/>
    <w:rsid w:val="0A36214C"/>
    <w:rsid w:val="0A382368"/>
    <w:rsid w:val="0A407F4A"/>
    <w:rsid w:val="0A426D43"/>
    <w:rsid w:val="0A434869"/>
    <w:rsid w:val="0A464179"/>
    <w:rsid w:val="0A4A7809"/>
    <w:rsid w:val="0A4B75EA"/>
    <w:rsid w:val="0A4B7CC0"/>
    <w:rsid w:val="0A4C118F"/>
    <w:rsid w:val="0A4E393A"/>
    <w:rsid w:val="0A516F86"/>
    <w:rsid w:val="0A5514EB"/>
    <w:rsid w:val="0A560A40"/>
    <w:rsid w:val="0A59408D"/>
    <w:rsid w:val="0A5A1386"/>
    <w:rsid w:val="0A5C592B"/>
    <w:rsid w:val="0A5E61D5"/>
    <w:rsid w:val="0A5F5B47"/>
    <w:rsid w:val="0A5F7C51"/>
    <w:rsid w:val="0A622F41"/>
    <w:rsid w:val="0A6273E5"/>
    <w:rsid w:val="0A627DCC"/>
    <w:rsid w:val="0A636CB9"/>
    <w:rsid w:val="0A684239"/>
    <w:rsid w:val="0A690774"/>
    <w:rsid w:val="0A69348C"/>
    <w:rsid w:val="0A6A629A"/>
    <w:rsid w:val="0A6B46AB"/>
    <w:rsid w:val="0A6D18E6"/>
    <w:rsid w:val="0A7333A0"/>
    <w:rsid w:val="0A740EC6"/>
    <w:rsid w:val="0A7942C5"/>
    <w:rsid w:val="0A794631"/>
    <w:rsid w:val="0A79499C"/>
    <w:rsid w:val="0A7A49BE"/>
    <w:rsid w:val="0A7B4003"/>
    <w:rsid w:val="0A7D7D7B"/>
    <w:rsid w:val="0A7F3024"/>
    <w:rsid w:val="0A805ABD"/>
    <w:rsid w:val="0A8455AD"/>
    <w:rsid w:val="0A846EC3"/>
    <w:rsid w:val="0A8729A8"/>
    <w:rsid w:val="0A8A2498"/>
    <w:rsid w:val="0A8A61FF"/>
    <w:rsid w:val="0A911A78"/>
    <w:rsid w:val="0A913826"/>
    <w:rsid w:val="0A922082"/>
    <w:rsid w:val="0A9450C5"/>
    <w:rsid w:val="0A9642EF"/>
    <w:rsid w:val="0A96708F"/>
    <w:rsid w:val="0A9F3ACB"/>
    <w:rsid w:val="0AA25921"/>
    <w:rsid w:val="0AA277E2"/>
    <w:rsid w:val="0AA43F7D"/>
    <w:rsid w:val="0AA755DF"/>
    <w:rsid w:val="0AA84C3E"/>
    <w:rsid w:val="0AA94C29"/>
    <w:rsid w:val="0AA95014"/>
    <w:rsid w:val="0AA96DC2"/>
    <w:rsid w:val="0AAA2B3A"/>
    <w:rsid w:val="0AAA48E8"/>
    <w:rsid w:val="0AAF0151"/>
    <w:rsid w:val="0AB45767"/>
    <w:rsid w:val="0AB508C2"/>
    <w:rsid w:val="0AB614DF"/>
    <w:rsid w:val="0AB94B2B"/>
    <w:rsid w:val="0ABA2D7D"/>
    <w:rsid w:val="0ABA79C4"/>
    <w:rsid w:val="0ABB6AF5"/>
    <w:rsid w:val="0ABC1B74"/>
    <w:rsid w:val="0ABF0394"/>
    <w:rsid w:val="0AC37758"/>
    <w:rsid w:val="0AC736EC"/>
    <w:rsid w:val="0AC8421B"/>
    <w:rsid w:val="0ACC0D02"/>
    <w:rsid w:val="0ACE2BAA"/>
    <w:rsid w:val="0ACF33A9"/>
    <w:rsid w:val="0AD02CD3"/>
    <w:rsid w:val="0AD32091"/>
    <w:rsid w:val="0AD33E3F"/>
    <w:rsid w:val="0AD81455"/>
    <w:rsid w:val="0ADA341F"/>
    <w:rsid w:val="0ADA51CD"/>
    <w:rsid w:val="0AE20526"/>
    <w:rsid w:val="0AE47DFA"/>
    <w:rsid w:val="0AE53B72"/>
    <w:rsid w:val="0AE620BB"/>
    <w:rsid w:val="0AE71698"/>
    <w:rsid w:val="0AEA2E24"/>
    <w:rsid w:val="0AEB73DB"/>
    <w:rsid w:val="0AEF0DDC"/>
    <w:rsid w:val="0AF22D2F"/>
    <w:rsid w:val="0AF52007"/>
    <w:rsid w:val="0AF85654"/>
    <w:rsid w:val="0AFB2620"/>
    <w:rsid w:val="0AFD710E"/>
    <w:rsid w:val="0AFF48CA"/>
    <w:rsid w:val="0B0112A4"/>
    <w:rsid w:val="0B043FF8"/>
    <w:rsid w:val="0B052047"/>
    <w:rsid w:val="0B065FC2"/>
    <w:rsid w:val="0B097861"/>
    <w:rsid w:val="0B0A3E9B"/>
    <w:rsid w:val="0B0A7E1A"/>
    <w:rsid w:val="0B0C7351"/>
    <w:rsid w:val="0B0E42E3"/>
    <w:rsid w:val="0B0E651D"/>
    <w:rsid w:val="0B120D44"/>
    <w:rsid w:val="0B13248D"/>
    <w:rsid w:val="0B143A4A"/>
    <w:rsid w:val="0B15047F"/>
    <w:rsid w:val="0B16053C"/>
    <w:rsid w:val="0B187AA4"/>
    <w:rsid w:val="0B19257F"/>
    <w:rsid w:val="0B195CF0"/>
    <w:rsid w:val="0B1D155E"/>
    <w:rsid w:val="0B2428ED"/>
    <w:rsid w:val="0B2522D8"/>
    <w:rsid w:val="0B252B64"/>
    <w:rsid w:val="0B297F03"/>
    <w:rsid w:val="0B2B3C7B"/>
    <w:rsid w:val="0B2B5A29"/>
    <w:rsid w:val="0B2B7565"/>
    <w:rsid w:val="0B354AFA"/>
    <w:rsid w:val="0B3568A8"/>
    <w:rsid w:val="0B380146"/>
    <w:rsid w:val="0B3A3C21"/>
    <w:rsid w:val="0B3A5C6C"/>
    <w:rsid w:val="0B3C7C36"/>
    <w:rsid w:val="0B3F3282"/>
    <w:rsid w:val="0B3F7726"/>
    <w:rsid w:val="0B422C1A"/>
    <w:rsid w:val="0B425013"/>
    <w:rsid w:val="0B4808AE"/>
    <w:rsid w:val="0B4A3F7D"/>
    <w:rsid w:val="0B4B7E79"/>
    <w:rsid w:val="0B4C4C98"/>
    <w:rsid w:val="0B521208"/>
    <w:rsid w:val="0B53768A"/>
    <w:rsid w:val="0B552AA6"/>
    <w:rsid w:val="0B554854"/>
    <w:rsid w:val="0B582596"/>
    <w:rsid w:val="0B5B2331"/>
    <w:rsid w:val="0B5C5BE2"/>
    <w:rsid w:val="0B5E2A33"/>
    <w:rsid w:val="0B602C14"/>
    <w:rsid w:val="0B646908"/>
    <w:rsid w:val="0B666A61"/>
    <w:rsid w:val="0B687DEF"/>
    <w:rsid w:val="0B692B37"/>
    <w:rsid w:val="0B696551"/>
    <w:rsid w:val="0B6A2FA3"/>
    <w:rsid w:val="0B6B12B4"/>
    <w:rsid w:val="0B6D1EB1"/>
    <w:rsid w:val="0B6E3B68"/>
    <w:rsid w:val="0B6E61C8"/>
    <w:rsid w:val="0B703F6E"/>
    <w:rsid w:val="0B705B32"/>
    <w:rsid w:val="0B7678C0"/>
    <w:rsid w:val="0B785C4C"/>
    <w:rsid w:val="0B7C0033"/>
    <w:rsid w:val="0B867103"/>
    <w:rsid w:val="0B867FFD"/>
    <w:rsid w:val="0B8769D7"/>
    <w:rsid w:val="0B884C29"/>
    <w:rsid w:val="0B886036"/>
    <w:rsid w:val="0B891F50"/>
    <w:rsid w:val="0B8A040B"/>
    <w:rsid w:val="0B8B471A"/>
    <w:rsid w:val="0B8C17B4"/>
    <w:rsid w:val="0B8E7D66"/>
    <w:rsid w:val="0B925AA8"/>
    <w:rsid w:val="0B927856"/>
    <w:rsid w:val="0B971310"/>
    <w:rsid w:val="0B996E37"/>
    <w:rsid w:val="0B9E444D"/>
    <w:rsid w:val="0B9F6417"/>
    <w:rsid w:val="0BA35047"/>
    <w:rsid w:val="0BA61553"/>
    <w:rsid w:val="0BA80E28"/>
    <w:rsid w:val="0BA96AD9"/>
    <w:rsid w:val="0BAA6E7F"/>
    <w:rsid w:val="0BAB0918"/>
    <w:rsid w:val="0BAB4DBC"/>
    <w:rsid w:val="0BB05F2E"/>
    <w:rsid w:val="0BB70D95"/>
    <w:rsid w:val="0BB772BD"/>
    <w:rsid w:val="0BB91287"/>
    <w:rsid w:val="0BB9723C"/>
    <w:rsid w:val="0BBA6DAD"/>
    <w:rsid w:val="0BC1013B"/>
    <w:rsid w:val="0BC33EB3"/>
    <w:rsid w:val="0BC867E1"/>
    <w:rsid w:val="0BCB2D68"/>
    <w:rsid w:val="0BCD3D94"/>
    <w:rsid w:val="0BD11F3C"/>
    <w:rsid w:val="0BD240F7"/>
    <w:rsid w:val="0BD25CE6"/>
    <w:rsid w:val="0BD27BF6"/>
    <w:rsid w:val="0BD51E39"/>
    <w:rsid w:val="0BD7170D"/>
    <w:rsid w:val="0BDA11FD"/>
    <w:rsid w:val="0BDA37C7"/>
    <w:rsid w:val="0BE20898"/>
    <w:rsid w:val="0BE300B2"/>
    <w:rsid w:val="0BE45BD8"/>
    <w:rsid w:val="0BE65DF4"/>
    <w:rsid w:val="0BEA58E4"/>
    <w:rsid w:val="0BEB51B8"/>
    <w:rsid w:val="0BEC6504"/>
    <w:rsid w:val="0BF70001"/>
    <w:rsid w:val="0BF751B0"/>
    <w:rsid w:val="0BF80710"/>
    <w:rsid w:val="0BF91683"/>
    <w:rsid w:val="0BFB189F"/>
    <w:rsid w:val="0BFC5617"/>
    <w:rsid w:val="0C0A7D34"/>
    <w:rsid w:val="0C0E410A"/>
    <w:rsid w:val="0C105683"/>
    <w:rsid w:val="0C105729"/>
    <w:rsid w:val="0C160487"/>
    <w:rsid w:val="0C165A64"/>
    <w:rsid w:val="0C193AD3"/>
    <w:rsid w:val="0C1A58DD"/>
    <w:rsid w:val="0C1B3CF0"/>
    <w:rsid w:val="0C1B5A9E"/>
    <w:rsid w:val="0C201306"/>
    <w:rsid w:val="0C215FF4"/>
    <w:rsid w:val="0C22507E"/>
    <w:rsid w:val="0C246232"/>
    <w:rsid w:val="0C261E8C"/>
    <w:rsid w:val="0C281F69"/>
    <w:rsid w:val="0C28640C"/>
    <w:rsid w:val="0C2A0A31"/>
    <w:rsid w:val="0C2A7462"/>
    <w:rsid w:val="0C2B15D0"/>
    <w:rsid w:val="0C2C1FAA"/>
    <w:rsid w:val="0C2C306F"/>
    <w:rsid w:val="0C2C4BA5"/>
    <w:rsid w:val="0C2C5C40"/>
    <w:rsid w:val="0C324B95"/>
    <w:rsid w:val="0C3628D7"/>
    <w:rsid w:val="0C37664F"/>
    <w:rsid w:val="0C3B3C7D"/>
    <w:rsid w:val="0C3C5A14"/>
    <w:rsid w:val="0C3E2FB2"/>
    <w:rsid w:val="0C3F0C7F"/>
    <w:rsid w:val="0C4072B2"/>
    <w:rsid w:val="0C450D6C"/>
    <w:rsid w:val="0C4535DF"/>
    <w:rsid w:val="0C4A01D3"/>
    <w:rsid w:val="0C4A6383"/>
    <w:rsid w:val="0C4A7332"/>
    <w:rsid w:val="0C4E7B4A"/>
    <w:rsid w:val="0C5040D2"/>
    <w:rsid w:val="0C523489"/>
    <w:rsid w:val="0C525237"/>
    <w:rsid w:val="0C550884"/>
    <w:rsid w:val="0C564D28"/>
    <w:rsid w:val="0C5828E9"/>
    <w:rsid w:val="0C5837CD"/>
    <w:rsid w:val="0C5B214E"/>
    <w:rsid w:val="0C5C5076"/>
    <w:rsid w:val="0C5D60B6"/>
    <w:rsid w:val="0C690BAD"/>
    <w:rsid w:val="0C6A2581"/>
    <w:rsid w:val="0C6C62F9"/>
    <w:rsid w:val="0C6D2071"/>
    <w:rsid w:val="0C6F5DE9"/>
    <w:rsid w:val="0C7451AE"/>
    <w:rsid w:val="0C746EAB"/>
    <w:rsid w:val="0C75314F"/>
    <w:rsid w:val="0C757885"/>
    <w:rsid w:val="0C7927C4"/>
    <w:rsid w:val="0C7C4062"/>
    <w:rsid w:val="0C7E602C"/>
    <w:rsid w:val="0C807FF6"/>
    <w:rsid w:val="0C831895"/>
    <w:rsid w:val="0C833643"/>
    <w:rsid w:val="0C842194"/>
    <w:rsid w:val="0C8573BB"/>
    <w:rsid w:val="0C873133"/>
    <w:rsid w:val="0C880C59"/>
    <w:rsid w:val="0C883FC7"/>
    <w:rsid w:val="0C8B4272"/>
    <w:rsid w:val="0C8C0CE0"/>
    <w:rsid w:val="0C8C699B"/>
    <w:rsid w:val="0C8D16BA"/>
    <w:rsid w:val="0C8F15D7"/>
    <w:rsid w:val="0C8F1FE8"/>
    <w:rsid w:val="0C8F2C33"/>
    <w:rsid w:val="0C9144C5"/>
    <w:rsid w:val="0C937D2A"/>
    <w:rsid w:val="0C9B273A"/>
    <w:rsid w:val="0CA041F5"/>
    <w:rsid w:val="0CA06781"/>
    <w:rsid w:val="0CA21D1B"/>
    <w:rsid w:val="0CA27F6D"/>
    <w:rsid w:val="0CA5278C"/>
    <w:rsid w:val="0CA57A5D"/>
    <w:rsid w:val="0CA77331"/>
    <w:rsid w:val="0CAB2EAE"/>
    <w:rsid w:val="0CB3217A"/>
    <w:rsid w:val="0CB358A1"/>
    <w:rsid w:val="0CB6128E"/>
    <w:rsid w:val="0CBD0903"/>
    <w:rsid w:val="0CBD508D"/>
    <w:rsid w:val="0CBE22B8"/>
    <w:rsid w:val="0CBE28CD"/>
    <w:rsid w:val="0CC25F19"/>
    <w:rsid w:val="0CC7352F"/>
    <w:rsid w:val="0CC779D3"/>
    <w:rsid w:val="0CCD3E11"/>
    <w:rsid w:val="0CD21ED4"/>
    <w:rsid w:val="0CD43E9E"/>
    <w:rsid w:val="0CD45C4C"/>
    <w:rsid w:val="0CD65E68"/>
    <w:rsid w:val="0CD914B5"/>
    <w:rsid w:val="0CD93263"/>
    <w:rsid w:val="0CDA7793"/>
    <w:rsid w:val="0CDB31C5"/>
    <w:rsid w:val="0CDC615A"/>
    <w:rsid w:val="0CDD473D"/>
    <w:rsid w:val="0CDE5C52"/>
    <w:rsid w:val="0CDF178E"/>
    <w:rsid w:val="0CE00A95"/>
    <w:rsid w:val="0CE265BB"/>
    <w:rsid w:val="0CE307A8"/>
    <w:rsid w:val="0CEA0261"/>
    <w:rsid w:val="0CF06F2A"/>
    <w:rsid w:val="0CF34325"/>
    <w:rsid w:val="0CF54541"/>
    <w:rsid w:val="0CF85DDF"/>
    <w:rsid w:val="0CF91064"/>
    <w:rsid w:val="0CFF716D"/>
    <w:rsid w:val="0D0251B4"/>
    <w:rsid w:val="0D0354AF"/>
    <w:rsid w:val="0D042A38"/>
    <w:rsid w:val="0D06617E"/>
    <w:rsid w:val="0D072DEE"/>
    <w:rsid w:val="0D0D3811"/>
    <w:rsid w:val="0D0E115E"/>
    <w:rsid w:val="0D1241E1"/>
    <w:rsid w:val="0D185A20"/>
    <w:rsid w:val="0D197B03"/>
    <w:rsid w:val="0D1A5D55"/>
    <w:rsid w:val="0D227E2F"/>
    <w:rsid w:val="0D272220"/>
    <w:rsid w:val="0D2725B8"/>
    <w:rsid w:val="0D273EDC"/>
    <w:rsid w:val="0D274753"/>
    <w:rsid w:val="0D2A1D10"/>
    <w:rsid w:val="0D2A3ABE"/>
    <w:rsid w:val="0D2E7A52"/>
    <w:rsid w:val="0D3122B2"/>
    <w:rsid w:val="0D344206"/>
    <w:rsid w:val="0D35493D"/>
    <w:rsid w:val="0D38267F"/>
    <w:rsid w:val="0D3861DB"/>
    <w:rsid w:val="0D3A1F53"/>
    <w:rsid w:val="0D3B3F1D"/>
    <w:rsid w:val="0D3D7C96"/>
    <w:rsid w:val="0D3F57BC"/>
    <w:rsid w:val="0D402D62"/>
    <w:rsid w:val="0D416AB9"/>
    <w:rsid w:val="0D417786"/>
    <w:rsid w:val="0D49488C"/>
    <w:rsid w:val="0D496892"/>
    <w:rsid w:val="0D4B4161"/>
    <w:rsid w:val="0D4E2DF0"/>
    <w:rsid w:val="0D531267"/>
    <w:rsid w:val="0D544BF4"/>
    <w:rsid w:val="0D5C45C0"/>
    <w:rsid w:val="0D5D466A"/>
    <w:rsid w:val="0D611BD6"/>
    <w:rsid w:val="0D6214AA"/>
    <w:rsid w:val="0D621C7D"/>
    <w:rsid w:val="0D62237D"/>
    <w:rsid w:val="0D6225EB"/>
    <w:rsid w:val="0D643474"/>
    <w:rsid w:val="0D735465"/>
    <w:rsid w:val="0D7511DD"/>
    <w:rsid w:val="0D752442"/>
    <w:rsid w:val="0D770EE0"/>
    <w:rsid w:val="0D783AF3"/>
    <w:rsid w:val="0D7868C1"/>
    <w:rsid w:val="0D7A6610"/>
    <w:rsid w:val="0D7C7916"/>
    <w:rsid w:val="0D7D0092"/>
    <w:rsid w:val="0D7F205C"/>
    <w:rsid w:val="0D815336"/>
    <w:rsid w:val="0D815DD4"/>
    <w:rsid w:val="0D860F51"/>
    <w:rsid w:val="0D8633EB"/>
    <w:rsid w:val="0D870F11"/>
    <w:rsid w:val="0D892EDB"/>
    <w:rsid w:val="0D8A1D43"/>
    <w:rsid w:val="0D8C63D3"/>
    <w:rsid w:val="0D8E6743"/>
    <w:rsid w:val="0D921D8F"/>
    <w:rsid w:val="0D9755F8"/>
    <w:rsid w:val="0D984ECC"/>
    <w:rsid w:val="0D991370"/>
    <w:rsid w:val="0D9941F9"/>
    <w:rsid w:val="0D9943AF"/>
    <w:rsid w:val="0D9F1A6C"/>
    <w:rsid w:val="0D9F31D6"/>
    <w:rsid w:val="0D9F625A"/>
    <w:rsid w:val="0DA303ED"/>
    <w:rsid w:val="0DA6583B"/>
    <w:rsid w:val="0DA8151C"/>
    <w:rsid w:val="0DA87805"/>
    <w:rsid w:val="0DA90E87"/>
    <w:rsid w:val="0DAC49E8"/>
    <w:rsid w:val="0DB02216"/>
    <w:rsid w:val="0DB22432"/>
    <w:rsid w:val="0DB241E0"/>
    <w:rsid w:val="0DB429A2"/>
    <w:rsid w:val="0DB611B3"/>
    <w:rsid w:val="0DB74E46"/>
    <w:rsid w:val="0DB8731C"/>
    <w:rsid w:val="0DBA12E6"/>
    <w:rsid w:val="0DBA7538"/>
    <w:rsid w:val="0DBD4932"/>
    <w:rsid w:val="0DBE0DD6"/>
    <w:rsid w:val="0DC14423"/>
    <w:rsid w:val="0DCD2DC7"/>
    <w:rsid w:val="0DCD726B"/>
    <w:rsid w:val="0DCE6B40"/>
    <w:rsid w:val="0DD1795C"/>
    <w:rsid w:val="0DD21C31"/>
    <w:rsid w:val="0DD6470C"/>
    <w:rsid w:val="0DDA1988"/>
    <w:rsid w:val="0DDF1A07"/>
    <w:rsid w:val="0DDF1DCE"/>
    <w:rsid w:val="0DDF2139"/>
    <w:rsid w:val="0DDF2AFB"/>
    <w:rsid w:val="0DE24882"/>
    <w:rsid w:val="0DE342EC"/>
    <w:rsid w:val="0DE501C6"/>
    <w:rsid w:val="0DED16BC"/>
    <w:rsid w:val="0DED7DC2"/>
    <w:rsid w:val="0DEE2D3E"/>
    <w:rsid w:val="0DEF32DD"/>
    <w:rsid w:val="0DEF3493"/>
    <w:rsid w:val="0DF06C33"/>
    <w:rsid w:val="0DF35375"/>
    <w:rsid w:val="0DF50570"/>
    <w:rsid w:val="0DF540CC"/>
    <w:rsid w:val="0DFA16E3"/>
    <w:rsid w:val="0DFC545B"/>
    <w:rsid w:val="0DFD5905"/>
    <w:rsid w:val="0E032C8D"/>
    <w:rsid w:val="0E082052"/>
    <w:rsid w:val="0E090A68"/>
    <w:rsid w:val="0E0A5DCA"/>
    <w:rsid w:val="0E0F33E0"/>
    <w:rsid w:val="0E1327A4"/>
    <w:rsid w:val="0E1A1D85"/>
    <w:rsid w:val="0E1B6683"/>
    <w:rsid w:val="0E1C3D4F"/>
    <w:rsid w:val="0E1C7049"/>
    <w:rsid w:val="0E1E7AC7"/>
    <w:rsid w:val="0E213113"/>
    <w:rsid w:val="0E2350DD"/>
    <w:rsid w:val="0E29509C"/>
    <w:rsid w:val="0E2A021A"/>
    <w:rsid w:val="0E2F65FE"/>
    <w:rsid w:val="0E302745"/>
    <w:rsid w:val="0E39045D"/>
    <w:rsid w:val="0E3C7F4D"/>
    <w:rsid w:val="0E3D736F"/>
    <w:rsid w:val="0E4137B5"/>
    <w:rsid w:val="0E440BB0"/>
    <w:rsid w:val="0E460F3E"/>
    <w:rsid w:val="0E46145F"/>
    <w:rsid w:val="0E4806A0"/>
    <w:rsid w:val="0E4A3C2F"/>
    <w:rsid w:val="0E4F1A2E"/>
    <w:rsid w:val="0E5232CD"/>
    <w:rsid w:val="0E5300C7"/>
    <w:rsid w:val="0E5434E9"/>
    <w:rsid w:val="0E547045"/>
    <w:rsid w:val="0E552DBD"/>
    <w:rsid w:val="0E56100F"/>
    <w:rsid w:val="0E567261"/>
    <w:rsid w:val="0E576B35"/>
    <w:rsid w:val="0E5928AD"/>
    <w:rsid w:val="0E5E6115"/>
    <w:rsid w:val="0E5E7B56"/>
    <w:rsid w:val="0E61080B"/>
    <w:rsid w:val="0E62709A"/>
    <w:rsid w:val="0E651252"/>
    <w:rsid w:val="0E664FCA"/>
    <w:rsid w:val="0E680D42"/>
    <w:rsid w:val="0E6B438E"/>
    <w:rsid w:val="0E6F0323"/>
    <w:rsid w:val="0E73034D"/>
    <w:rsid w:val="0E753DFD"/>
    <w:rsid w:val="0E7616B1"/>
    <w:rsid w:val="0E833DCE"/>
    <w:rsid w:val="0E8E4378"/>
    <w:rsid w:val="0E8F2773"/>
    <w:rsid w:val="0E8F62CF"/>
    <w:rsid w:val="0E903DF5"/>
    <w:rsid w:val="0E9438E5"/>
    <w:rsid w:val="0E9503CA"/>
    <w:rsid w:val="0E96765D"/>
    <w:rsid w:val="0E9B2EC6"/>
    <w:rsid w:val="0E9C038E"/>
    <w:rsid w:val="0E9D4E90"/>
    <w:rsid w:val="0E9E4764"/>
    <w:rsid w:val="0E9F3F9C"/>
    <w:rsid w:val="0EA33B28"/>
    <w:rsid w:val="0EA53CF4"/>
    <w:rsid w:val="0EA62B24"/>
    <w:rsid w:val="0EA7186A"/>
    <w:rsid w:val="0EA77ABC"/>
    <w:rsid w:val="0EAA293A"/>
    <w:rsid w:val="0EAC6E81"/>
    <w:rsid w:val="0EB421D9"/>
    <w:rsid w:val="0EB46E08"/>
    <w:rsid w:val="0EB6385C"/>
    <w:rsid w:val="0EB775D4"/>
    <w:rsid w:val="0EB94E27"/>
    <w:rsid w:val="0EBC288C"/>
    <w:rsid w:val="0EBE6BB4"/>
    <w:rsid w:val="0EC00B7E"/>
    <w:rsid w:val="0EC0292C"/>
    <w:rsid w:val="0EC407C6"/>
    <w:rsid w:val="0EC56195"/>
    <w:rsid w:val="0EC87299"/>
    <w:rsid w:val="0ECA70A2"/>
    <w:rsid w:val="0ECB733C"/>
    <w:rsid w:val="0ECE329B"/>
    <w:rsid w:val="0ECF161C"/>
    <w:rsid w:val="0ED66D86"/>
    <w:rsid w:val="0ED907D7"/>
    <w:rsid w:val="0ED94565"/>
    <w:rsid w:val="0ED96E48"/>
    <w:rsid w:val="0EDB59B8"/>
    <w:rsid w:val="0EDE2CE5"/>
    <w:rsid w:val="0EDE2DB2"/>
    <w:rsid w:val="0EDF7256"/>
    <w:rsid w:val="0EE0705A"/>
    <w:rsid w:val="0EE52393"/>
    <w:rsid w:val="0EE62DD0"/>
    <w:rsid w:val="0EE91E83"/>
    <w:rsid w:val="0EEC3721"/>
    <w:rsid w:val="0EEE7499"/>
    <w:rsid w:val="0EF03FAC"/>
    <w:rsid w:val="0EF12AE6"/>
    <w:rsid w:val="0EF56A7A"/>
    <w:rsid w:val="0EF820C6"/>
    <w:rsid w:val="0EF835F7"/>
    <w:rsid w:val="0EF95E3E"/>
    <w:rsid w:val="0EFC2CC8"/>
    <w:rsid w:val="0EFD76DC"/>
    <w:rsid w:val="0EFF16A6"/>
    <w:rsid w:val="0F00541F"/>
    <w:rsid w:val="0F020616"/>
    <w:rsid w:val="0F046C72"/>
    <w:rsid w:val="0F0547E3"/>
    <w:rsid w:val="0F0A1DF9"/>
    <w:rsid w:val="0F0A3BA7"/>
    <w:rsid w:val="0F0D5446"/>
    <w:rsid w:val="0F13775A"/>
    <w:rsid w:val="0F144A26"/>
    <w:rsid w:val="0F16079E"/>
    <w:rsid w:val="0F184516"/>
    <w:rsid w:val="0F1A402A"/>
    <w:rsid w:val="0F1B027F"/>
    <w:rsid w:val="0F1B5DB5"/>
    <w:rsid w:val="0F1F3AF7"/>
    <w:rsid w:val="0F1F58A5"/>
    <w:rsid w:val="0F205179"/>
    <w:rsid w:val="0F2729AB"/>
    <w:rsid w:val="0F274759"/>
    <w:rsid w:val="0F296723"/>
    <w:rsid w:val="0F3330FE"/>
    <w:rsid w:val="0F340C24"/>
    <w:rsid w:val="0F386966"/>
    <w:rsid w:val="0F390621"/>
    <w:rsid w:val="0F397436"/>
    <w:rsid w:val="0F3D3F7D"/>
    <w:rsid w:val="0F3F75AE"/>
    <w:rsid w:val="0F4075C9"/>
    <w:rsid w:val="0F4672D5"/>
    <w:rsid w:val="0F4D22AC"/>
    <w:rsid w:val="0F4E618A"/>
    <w:rsid w:val="0F4E6CC3"/>
    <w:rsid w:val="0F4F5A5E"/>
    <w:rsid w:val="0F4F5AC2"/>
    <w:rsid w:val="0F5117D6"/>
    <w:rsid w:val="0F515C7A"/>
    <w:rsid w:val="0F53507C"/>
    <w:rsid w:val="0F53554E"/>
    <w:rsid w:val="0F580DB7"/>
    <w:rsid w:val="0F59068B"/>
    <w:rsid w:val="0F5C24F2"/>
    <w:rsid w:val="0F5C3E92"/>
    <w:rsid w:val="0F5F4247"/>
    <w:rsid w:val="0F5F45FE"/>
    <w:rsid w:val="0F621C35"/>
    <w:rsid w:val="0F6312FE"/>
    <w:rsid w:val="0F661726"/>
    <w:rsid w:val="0F692FC4"/>
    <w:rsid w:val="0F6C1914"/>
    <w:rsid w:val="0F704352"/>
    <w:rsid w:val="0F7756E1"/>
    <w:rsid w:val="0F790775"/>
    <w:rsid w:val="0F7B6853"/>
    <w:rsid w:val="0F7B7906"/>
    <w:rsid w:val="0F7C2CF7"/>
    <w:rsid w:val="0F826515"/>
    <w:rsid w:val="0F827BE2"/>
    <w:rsid w:val="0F847DFE"/>
    <w:rsid w:val="0F8554ED"/>
    <w:rsid w:val="0F8648F6"/>
    <w:rsid w:val="0F864B0D"/>
    <w:rsid w:val="0F865924"/>
    <w:rsid w:val="0F8E2A2A"/>
    <w:rsid w:val="0F987405"/>
    <w:rsid w:val="0F9A112B"/>
    <w:rsid w:val="0F9D0EBF"/>
    <w:rsid w:val="0FA12732"/>
    <w:rsid w:val="0FA20284"/>
    <w:rsid w:val="0FA318B0"/>
    <w:rsid w:val="0FAC4C5F"/>
    <w:rsid w:val="0FB13802"/>
    <w:rsid w:val="0FB66BBB"/>
    <w:rsid w:val="0FBA55CD"/>
    <w:rsid w:val="0FBF0E36"/>
    <w:rsid w:val="0FC1695C"/>
    <w:rsid w:val="0FC65D20"/>
    <w:rsid w:val="0FCC70AF"/>
    <w:rsid w:val="0FCF7645"/>
    <w:rsid w:val="0FD04DF1"/>
    <w:rsid w:val="0FD50659"/>
    <w:rsid w:val="0FD92952"/>
    <w:rsid w:val="0FDA1211"/>
    <w:rsid w:val="0FDC101C"/>
    <w:rsid w:val="0FDC7E43"/>
    <w:rsid w:val="0FDD12BC"/>
    <w:rsid w:val="0FE50EF5"/>
    <w:rsid w:val="0FE61BA2"/>
    <w:rsid w:val="0FE67B78"/>
    <w:rsid w:val="0FE73EE9"/>
    <w:rsid w:val="0FE8038D"/>
    <w:rsid w:val="0FEB55C0"/>
    <w:rsid w:val="0FEB5787"/>
    <w:rsid w:val="0FF02D9D"/>
    <w:rsid w:val="0FF55E19"/>
    <w:rsid w:val="0FF87EA4"/>
    <w:rsid w:val="0FFA735C"/>
    <w:rsid w:val="10005D5C"/>
    <w:rsid w:val="100131FC"/>
    <w:rsid w:val="10036F74"/>
    <w:rsid w:val="100827DD"/>
    <w:rsid w:val="100910F7"/>
    <w:rsid w:val="10092CB6"/>
    <w:rsid w:val="100A0A21"/>
    <w:rsid w:val="100A27E6"/>
    <w:rsid w:val="100B407B"/>
    <w:rsid w:val="100B4360"/>
    <w:rsid w:val="100C32CF"/>
    <w:rsid w:val="1010343F"/>
    <w:rsid w:val="10106A15"/>
    <w:rsid w:val="101173EF"/>
    <w:rsid w:val="10125409"/>
    <w:rsid w:val="10130B2C"/>
    <w:rsid w:val="10155BE4"/>
    <w:rsid w:val="10156BFC"/>
    <w:rsid w:val="10157FD4"/>
    <w:rsid w:val="10173A8A"/>
    <w:rsid w:val="101879CC"/>
    <w:rsid w:val="101F1B29"/>
    <w:rsid w:val="10233173"/>
    <w:rsid w:val="10257014"/>
    <w:rsid w:val="10264A11"/>
    <w:rsid w:val="102659DB"/>
    <w:rsid w:val="10284C2D"/>
    <w:rsid w:val="102962AF"/>
    <w:rsid w:val="102B0279"/>
    <w:rsid w:val="102B279D"/>
    <w:rsid w:val="102D2243"/>
    <w:rsid w:val="102D3FF1"/>
    <w:rsid w:val="10301A7D"/>
    <w:rsid w:val="103501B8"/>
    <w:rsid w:val="10352977"/>
    <w:rsid w:val="10352EA6"/>
    <w:rsid w:val="103532AC"/>
    <w:rsid w:val="103709CC"/>
    <w:rsid w:val="10374E70"/>
    <w:rsid w:val="10375DC2"/>
    <w:rsid w:val="103947FE"/>
    <w:rsid w:val="103959CF"/>
    <w:rsid w:val="103A04BC"/>
    <w:rsid w:val="103A226A"/>
    <w:rsid w:val="103B4960"/>
    <w:rsid w:val="103C5FE2"/>
    <w:rsid w:val="10423AAD"/>
    <w:rsid w:val="1046543F"/>
    <w:rsid w:val="104B091B"/>
    <w:rsid w:val="104B26C9"/>
    <w:rsid w:val="104D6442"/>
    <w:rsid w:val="104E486C"/>
    <w:rsid w:val="104E5D16"/>
    <w:rsid w:val="104F3F68"/>
    <w:rsid w:val="10540C60"/>
    <w:rsid w:val="105477D0"/>
    <w:rsid w:val="105C02DA"/>
    <w:rsid w:val="105F7F23"/>
    <w:rsid w:val="10612472"/>
    <w:rsid w:val="106317C1"/>
    <w:rsid w:val="106875CB"/>
    <w:rsid w:val="10693290"/>
    <w:rsid w:val="106A6FF4"/>
    <w:rsid w:val="106D2640"/>
    <w:rsid w:val="106D2F64"/>
    <w:rsid w:val="10700789"/>
    <w:rsid w:val="10727C56"/>
    <w:rsid w:val="107439CE"/>
    <w:rsid w:val="10757746"/>
    <w:rsid w:val="10794994"/>
    <w:rsid w:val="107A6B0B"/>
    <w:rsid w:val="107B4D5D"/>
    <w:rsid w:val="107E363C"/>
    <w:rsid w:val="10806A76"/>
    <w:rsid w:val="108125EE"/>
    <w:rsid w:val="10857989"/>
    <w:rsid w:val="1088779B"/>
    <w:rsid w:val="108A1444"/>
    <w:rsid w:val="108B31EF"/>
    <w:rsid w:val="108E3427"/>
    <w:rsid w:val="108F3EB7"/>
    <w:rsid w:val="1091688A"/>
    <w:rsid w:val="109202F8"/>
    <w:rsid w:val="10A32505"/>
    <w:rsid w:val="10A6525C"/>
    <w:rsid w:val="10A65B52"/>
    <w:rsid w:val="10A83EEB"/>
    <w:rsid w:val="10A9313E"/>
    <w:rsid w:val="10AA3894"/>
    <w:rsid w:val="10AE6479"/>
    <w:rsid w:val="10AF4A06"/>
    <w:rsid w:val="10B14C22"/>
    <w:rsid w:val="10B154F6"/>
    <w:rsid w:val="10B169D0"/>
    <w:rsid w:val="10B206E1"/>
    <w:rsid w:val="10B244F7"/>
    <w:rsid w:val="10B464C1"/>
    <w:rsid w:val="10B63710"/>
    <w:rsid w:val="10B65D95"/>
    <w:rsid w:val="10B75245"/>
    <w:rsid w:val="10BA27B7"/>
    <w:rsid w:val="10BC578F"/>
    <w:rsid w:val="10BE733F"/>
    <w:rsid w:val="10C307E8"/>
    <w:rsid w:val="10C34956"/>
    <w:rsid w:val="10C36704"/>
    <w:rsid w:val="10C422CA"/>
    <w:rsid w:val="10CD1330"/>
    <w:rsid w:val="10CF32FA"/>
    <w:rsid w:val="10D206F5"/>
    <w:rsid w:val="10D26947"/>
    <w:rsid w:val="10D32438"/>
    <w:rsid w:val="10D32C41"/>
    <w:rsid w:val="10D60716"/>
    <w:rsid w:val="10D66437"/>
    <w:rsid w:val="10D6664C"/>
    <w:rsid w:val="10D820B6"/>
    <w:rsid w:val="10D916EE"/>
    <w:rsid w:val="10D95F27"/>
    <w:rsid w:val="10DA3D8C"/>
    <w:rsid w:val="10DC2FF1"/>
    <w:rsid w:val="10DE6156"/>
    <w:rsid w:val="10E43A7A"/>
    <w:rsid w:val="10E943BC"/>
    <w:rsid w:val="10EA5A3E"/>
    <w:rsid w:val="10EC17B7"/>
    <w:rsid w:val="10EC5C5A"/>
    <w:rsid w:val="10ED48D3"/>
    <w:rsid w:val="10F10820"/>
    <w:rsid w:val="10F25D36"/>
    <w:rsid w:val="10F361C8"/>
    <w:rsid w:val="10F66AD9"/>
    <w:rsid w:val="10F7015B"/>
    <w:rsid w:val="10FD7E68"/>
    <w:rsid w:val="10FE14EA"/>
    <w:rsid w:val="110275B1"/>
    <w:rsid w:val="11034D52"/>
    <w:rsid w:val="110411F6"/>
    <w:rsid w:val="110A5903"/>
    <w:rsid w:val="111156C1"/>
    <w:rsid w:val="11131439"/>
    <w:rsid w:val="11193EC1"/>
    <w:rsid w:val="111C2F7A"/>
    <w:rsid w:val="111D5E14"/>
    <w:rsid w:val="11205904"/>
    <w:rsid w:val="11250A02"/>
    <w:rsid w:val="1125116C"/>
    <w:rsid w:val="11291340"/>
    <w:rsid w:val="112C6057"/>
    <w:rsid w:val="112E0021"/>
    <w:rsid w:val="112E1DCF"/>
    <w:rsid w:val="11301FEB"/>
    <w:rsid w:val="11317039"/>
    <w:rsid w:val="1132401F"/>
    <w:rsid w:val="1134315E"/>
    <w:rsid w:val="11360C84"/>
    <w:rsid w:val="113A27F3"/>
    <w:rsid w:val="113A4C18"/>
    <w:rsid w:val="113E4E57"/>
    <w:rsid w:val="114046A9"/>
    <w:rsid w:val="114415F3"/>
    <w:rsid w:val="114535BD"/>
    <w:rsid w:val="114809B7"/>
    <w:rsid w:val="114A472F"/>
    <w:rsid w:val="114C276E"/>
    <w:rsid w:val="114E06C3"/>
    <w:rsid w:val="114E2471"/>
    <w:rsid w:val="114F1D45"/>
    <w:rsid w:val="11513438"/>
    <w:rsid w:val="11561326"/>
    <w:rsid w:val="115630D4"/>
    <w:rsid w:val="11567578"/>
    <w:rsid w:val="11585E09"/>
    <w:rsid w:val="115A7068"/>
    <w:rsid w:val="115B693C"/>
    <w:rsid w:val="11603F53"/>
    <w:rsid w:val="11627CCB"/>
    <w:rsid w:val="1164558F"/>
    <w:rsid w:val="11665CA1"/>
    <w:rsid w:val="116779EF"/>
    <w:rsid w:val="1168783A"/>
    <w:rsid w:val="11691059"/>
    <w:rsid w:val="11695CA6"/>
    <w:rsid w:val="116A4DD1"/>
    <w:rsid w:val="116B3C90"/>
    <w:rsid w:val="116B5C47"/>
    <w:rsid w:val="116C6D9B"/>
    <w:rsid w:val="116E041E"/>
    <w:rsid w:val="11706C19"/>
    <w:rsid w:val="1173012A"/>
    <w:rsid w:val="11744091"/>
    <w:rsid w:val="11765524"/>
    <w:rsid w:val="117A14B8"/>
    <w:rsid w:val="117D2D56"/>
    <w:rsid w:val="118063A3"/>
    <w:rsid w:val="11867E5D"/>
    <w:rsid w:val="11877731"/>
    <w:rsid w:val="11880A5B"/>
    <w:rsid w:val="118B73F8"/>
    <w:rsid w:val="118C4D48"/>
    <w:rsid w:val="118E286E"/>
    <w:rsid w:val="118F65E6"/>
    <w:rsid w:val="119220D9"/>
    <w:rsid w:val="11967974"/>
    <w:rsid w:val="11991213"/>
    <w:rsid w:val="119A3908"/>
    <w:rsid w:val="119C27EA"/>
    <w:rsid w:val="119D51A7"/>
    <w:rsid w:val="119E3805"/>
    <w:rsid w:val="119F34BD"/>
    <w:rsid w:val="11A02C31"/>
    <w:rsid w:val="11A16A45"/>
    <w:rsid w:val="11A46535"/>
    <w:rsid w:val="11A7392F"/>
    <w:rsid w:val="11AC3A8C"/>
    <w:rsid w:val="11AC53EA"/>
    <w:rsid w:val="11AF44AC"/>
    <w:rsid w:val="11B11FA9"/>
    <w:rsid w:val="11B20C52"/>
    <w:rsid w:val="11B54A9B"/>
    <w:rsid w:val="11B60016"/>
    <w:rsid w:val="11B642AD"/>
    <w:rsid w:val="11B97751"/>
    <w:rsid w:val="11BB73DB"/>
    <w:rsid w:val="11BD47BA"/>
    <w:rsid w:val="11BE6092"/>
    <w:rsid w:val="11C12C43"/>
    <w:rsid w:val="11C158D4"/>
    <w:rsid w:val="11C24C0D"/>
    <w:rsid w:val="11C444E1"/>
    <w:rsid w:val="11C60F64"/>
    <w:rsid w:val="11C736B4"/>
    <w:rsid w:val="11C73FD2"/>
    <w:rsid w:val="11CB5358"/>
    <w:rsid w:val="11CC783A"/>
    <w:rsid w:val="11D32976"/>
    <w:rsid w:val="11D5049D"/>
    <w:rsid w:val="11D706B9"/>
    <w:rsid w:val="11D81D3B"/>
    <w:rsid w:val="11DA5EF4"/>
    <w:rsid w:val="11DB182B"/>
    <w:rsid w:val="11DF6FD0"/>
    <w:rsid w:val="11E06E41"/>
    <w:rsid w:val="11E15093"/>
    <w:rsid w:val="11E22BBA"/>
    <w:rsid w:val="11E85E6F"/>
    <w:rsid w:val="11EB455B"/>
    <w:rsid w:val="11EC5ABD"/>
    <w:rsid w:val="11EE155E"/>
    <w:rsid w:val="11F03528"/>
    <w:rsid w:val="11F07FC5"/>
    <w:rsid w:val="11F137A5"/>
    <w:rsid w:val="11F254F3"/>
    <w:rsid w:val="11F34DC7"/>
    <w:rsid w:val="11FA43A7"/>
    <w:rsid w:val="11FA7F03"/>
    <w:rsid w:val="11FB29E1"/>
    <w:rsid w:val="11FC55B2"/>
    <w:rsid w:val="120314AE"/>
    <w:rsid w:val="12071BEC"/>
    <w:rsid w:val="12080872"/>
    <w:rsid w:val="120C7C36"/>
    <w:rsid w:val="1210614E"/>
    <w:rsid w:val="1211524D"/>
    <w:rsid w:val="121216F1"/>
    <w:rsid w:val="12121D48"/>
    <w:rsid w:val="12145951"/>
    <w:rsid w:val="12145A02"/>
    <w:rsid w:val="121E0096"/>
    <w:rsid w:val="121F1CA1"/>
    <w:rsid w:val="122146FC"/>
    <w:rsid w:val="12215E3D"/>
    <w:rsid w:val="122216FE"/>
    <w:rsid w:val="12266F4A"/>
    <w:rsid w:val="122907E8"/>
    <w:rsid w:val="122A6EEF"/>
    <w:rsid w:val="122C4729"/>
    <w:rsid w:val="122E5870"/>
    <w:rsid w:val="122F22A3"/>
    <w:rsid w:val="12303925"/>
    <w:rsid w:val="1230601B"/>
    <w:rsid w:val="12311DC5"/>
    <w:rsid w:val="1232769D"/>
    <w:rsid w:val="12342B72"/>
    <w:rsid w:val="12374CB3"/>
    <w:rsid w:val="12380A2C"/>
    <w:rsid w:val="1239514B"/>
    <w:rsid w:val="12396185"/>
    <w:rsid w:val="1239627B"/>
    <w:rsid w:val="123A5085"/>
    <w:rsid w:val="123C051C"/>
    <w:rsid w:val="123C49C0"/>
    <w:rsid w:val="123D5579"/>
    <w:rsid w:val="123E12D1"/>
    <w:rsid w:val="123E4294"/>
    <w:rsid w:val="123F000C"/>
    <w:rsid w:val="123F625E"/>
    <w:rsid w:val="12434DD7"/>
    <w:rsid w:val="12442667"/>
    <w:rsid w:val="1246139A"/>
    <w:rsid w:val="12483364"/>
    <w:rsid w:val="124949E7"/>
    <w:rsid w:val="124A70DD"/>
    <w:rsid w:val="12521AED"/>
    <w:rsid w:val="12527D3F"/>
    <w:rsid w:val="12555A81"/>
    <w:rsid w:val="1255782F"/>
    <w:rsid w:val="12575356"/>
    <w:rsid w:val="12577104"/>
    <w:rsid w:val="125D07AF"/>
    <w:rsid w:val="125D539E"/>
    <w:rsid w:val="125F7B1A"/>
    <w:rsid w:val="126343B4"/>
    <w:rsid w:val="126D15E8"/>
    <w:rsid w:val="1272218F"/>
    <w:rsid w:val="127557DC"/>
    <w:rsid w:val="127A1044"/>
    <w:rsid w:val="127A7296"/>
    <w:rsid w:val="127E013D"/>
    <w:rsid w:val="127E60E3"/>
    <w:rsid w:val="127F187A"/>
    <w:rsid w:val="12852A13"/>
    <w:rsid w:val="12887C05"/>
    <w:rsid w:val="128F4AEF"/>
    <w:rsid w:val="12902616"/>
    <w:rsid w:val="12905F07"/>
    <w:rsid w:val="12906D86"/>
    <w:rsid w:val="129245E0"/>
    <w:rsid w:val="129739A4"/>
    <w:rsid w:val="129A79B8"/>
    <w:rsid w:val="12A04F4F"/>
    <w:rsid w:val="12A10CC7"/>
    <w:rsid w:val="12A14823"/>
    <w:rsid w:val="12A54313"/>
    <w:rsid w:val="12A762DD"/>
    <w:rsid w:val="12A83E03"/>
    <w:rsid w:val="12A85BB1"/>
    <w:rsid w:val="12AA7B7B"/>
    <w:rsid w:val="12B427A8"/>
    <w:rsid w:val="12B44556"/>
    <w:rsid w:val="12B74046"/>
    <w:rsid w:val="12B76DFD"/>
    <w:rsid w:val="12B83E18"/>
    <w:rsid w:val="12B96010"/>
    <w:rsid w:val="12B97DBE"/>
    <w:rsid w:val="12BE55DC"/>
    <w:rsid w:val="12C0034F"/>
    <w:rsid w:val="12C22387"/>
    <w:rsid w:val="12C265BF"/>
    <w:rsid w:val="12C502A2"/>
    <w:rsid w:val="12C549B5"/>
    <w:rsid w:val="12C66037"/>
    <w:rsid w:val="12CA3D79"/>
    <w:rsid w:val="12CB18A0"/>
    <w:rsid w:val="12CD3CE5"/>
    <w:rsid w:val="12D03D9E"/>
    <w:rsid w:val="12D35117"/>
    <w:rsid w:val="12D40754"/>
    <w:rsid w:val="12D544CC"/>
    <w:rsid w:val="12DB7D35"/>
    <w:rsid w:val="12DE09A6"/>
    <w:rsid w:val="12DE15D3"/>
    <w:rsid w:val="12E07D0C"/>
    <w:rsid w:val="12E12E71"/>
    <w:rsid w:val="12E25392"/>
    <w:rsid w:val="12E666D9"/>
    <w:rsid w:val="12E7492B"/>
    <w:rsid w:val="12E806A4"/>
    <w:rsid w:val="12EB3CF0"/>
    <w:rsid w:val="12EC1F42"/>
    <w:rsid w:val="12EE0A5B"/>
    <w:rsid w:val="12EF1A32"/>
    <w:rsid w:val="12F06155"/>
    <w:rsid w:val="12F157AA"/>
    <w:rsid w:val="12F26E2C"/>
    <w:rsid w:val="12F42BA4"/>
    <w:rsid w:val="12F45F70"/>
    <w:rsid w:val="12F928B1"/>
    <w:rsid w:val="12FB03D7"/>
    <w:rsid w:val="12FC3DBC"/>
    <w:rsid w:val="1303728B"/>
    <w:rsid w:val="130641B8"/>
    <w:rsid w:val="13070B2A"/>
    <w:rsid w:val="13077910"/>
    <w:rsid w:val="13082AF4"/>
    <w:rsid w:val="13094E01"/>
    <w:rsid w:val="130B4CCD"/>
    <w:rsid w:val="130C3EBB"/>
    <w:rsid w:val="130F3E82"/>
    <w:rsid w:val="130F79DE"/>
    <w:rsid w:val="1310595A"/>
    <w:rsid w:val="131507D3"/>
    <w:rsid w:val="13174AE5"/>
    <w:rsid w:val="1319085D"/>
    <w:rsid w:val="13196AAF"/>
    <w:rsid w:val="131C6F65"/>
    <w:rsid w:val="131D56A4"/>
    <w:rsid w:val="131E2FC6"/>
    <w:rsid w:val="131E7C21"/>
    <w:rsid w:val="13210788"/>
    <w:rsid w:val="13220D35"/>
    <w:rsid w:val="13223BB5"/>
    <w:rsid w:val="132316DC"/>
    <w:rsid w:val="13274F40"/>
    <w:rsid w:val="13280AA0"/>
    <w:rsid w:val="1329079F"/>
    <w:rsid w:val="132942FC"/>
    <w:rsid w:val="13294F44"/>
    <w:rsid w:val="132A2A6A"/>
    <w:rsid w:val="132D60B6"/>
    <w:rsid w:val="13313DF9"/>
    <w:rsid w:val="13367661"/>
    <w:rsid w:val="133B4CD1"/>
    <w:rsid w:val="133D454B"/>
    <w:rsid w:val="1340403C"/>
    <w:rsid w:val="13407938"/>
    <w:rsid w:val="13421B62"/>
    <w:rsid w:val="13422F96"/>
    <w:rsid w:val="13445B4D"/>
    <w:rsid w:val="13456871"/>
    <w:rsid w:val="134578A4"/>
    <w:rsid w:val="134747F7"/>
    <w:rsid w:val="13497394"/>
    <w:rsid w:val="134A0A16"/>
    <w:rsid w:val="134C0770"/>
    <w:rsid w:val="134E6759"/>
    <w:rsid w:val="13517FF7"/>
    <w:rsid w:val="13531FC1"/>
    <w:rsid w:val="13562E8D"/>
    <w:rsid w:val="13570030"/>
    <w:rsid w:val="13573133"/>
    <w:rsid w:val="13581385"/>
    <w:rsid w:val="135950FD"/>
    <w:rsid w:val="1360023A"/>
    <w:rsid w:val="136046DE"/>
    <w:rsid w:val="13620456"/>
    <w:rsid w:val="136441CE"/>
    <w:rsid w:val="13645F7C"/>
    <w:rsid w:val="13675A6C"/>
    <w:rsid w:val="1367781A"/>
    <w:rsid w:val="136B50CE"/>
    <w:rsid w:val="136C66D5"/>
    <w:rsid w:val="13710699"/>
    <w:rsid w:val="13750189"/>
    <w:rsid w:val="13767A5D"/>
    <w:rsid w:val="13785584"/>
    <w:rsid w:val="137912FC"/>
    <w:rsid w:val="13791560"/>
    <w:rsid w:val="137C5E48"/>
    <w:rsid w:val="137F2DB6"/>
    <w:rsid w:val="13802363"/>
    <w:rsid w:val="13806169"/>
    <w:rsid w:val="13833F28"/>
    <w:rsid w:val="138E124B"/>
    <w:rsid w:val="138F28CD"/>
    <w:rsid w:val="138F4682"/>
    <w:rsid w:val="139169C3"/>
    <w:rsid w:val="139323BD"/>
    <w:rsid w:val="13951726"/>
    <w:rsid w:val="139879D4"/>
    <w:rsid w:val="139B3968"/>
    <w:rsid w:val="139D431D"/>
    <w:rsid w:val="139F0E42"/>
    <w:rsid w:val="13A04ADA"/>
    <w:rsid w:val="13A24CF6"/>
    <w:rsid w:val="13A26AA4"/>
    <w:rsid w:val="13A46379"/>
    <w:rsid w:val="13A46928"/>
    <w:rsid w:val="13A520F1"/>
    <w:rsid w:val="13AA5006"/>
    <w:rsid w:val="13AA51CB"/>
    <w:rsid w:val="13AB03B1"/>
    <w:rsid w:val="13AB5BA5"/>
    <w:rsid w:val="13AC72E2"/>
    <w:rsid w:val="13B30CB1"/>
    <w:rsid w:val="13B3480E"/>
    <w:rsid w:val="13B62550"/>
    <w:rsid w:val="13B8186D"/>
    <w:rsid w:val="13BC5DB8"/>
    <w:rsid w:val="13C077F6"/>
    <w:rsid w:val="13C22CA3"/>
    <w:rsid w:val="13C24A51"/>
    <w:rsid w:val="13C272E7"/>
    <w:rsid w:val="13C609E5"/>
    <w:rsid w:val="13C815D4"/>
    <w:rsid w:val="13CD215C"/>
    <w:rsid w:val="13CE5AEB"/>
    <w:rsid w:val="13D053C0"/>
    <w:rsid w:val="13D7584F"/>
    <w:rsid w:val="13D84274"/>
    <w:rsid w:val="13D86F0D"/>
    <w:rsid w:val="13DD0546"/>
    <w:rsid w:val="13DD1DB5"/>
    <w:rsid w:val="13E1581F"/>
    <w:rsid w:val="13E40530"/>
    <w:rsid w:val="13E40E6B"/>
    <w:rsid w:val="13E57B0C"/>
    <w:rsid w:val="13E62E35"/>
    <w:rsid w:val="13E75C47"/>
    <w:rsid w:val="13EB2001"/>
    <w:rsid w:val="13EB3FA7"/>
    <w:rsid w:val="13F015BE"/>
    <w:rsid w:val="13F111F5"/>
    <w:rsid w:val="13F53078"/>
    <w:rsid w:val="13F54E26"/>
    <w:rsid w:val="13F641B2"/>
    <w:rsid w:val="13F84916"/>
    <w:rsid w:val="13F8694C"/>
    <w:rsid w:val="13FA068E"/>
    <w:rsid w:val="13FA41EA"/>
    <w:rsid w:val="13FA68E0"/>
    <w:rsid w:val="13FC17C7"/>
    <w:rsid w:val="13FC61B5"/>
    <w:rsid w:val="14045069"/>
    <w:rsid w:val="14060DE1"/>
    <w:rsid w:val="14067033"/>
    <w:rsid w:val="14072DAB"/>
    <w:rsid w:val="1409136D"/>
    <w:rsid w:val="140A67BC"/>
    <w:rsid w:val="140B289C"/>
    <w:rsid w:val="140C2170"/>
    <w:rsid w:val="140D4A9F"/>
    <w:rsid w:val="140E413A"/>
    <w:rsid w:val="14116F38"/>
    <w:rsid w:val="141170ED"/>
    <w:rsid w:val="141334FE"/>
    <w:rsid w:val="14196126"/>
    <w:rsid w:val="141E5640"/>
    <w:rsid w:val="141F3896"/>
    <w:rsid w:val="1421732F"/>
    <w:rsid w:val="142257E9"/>
    <w:rsid w:val="142C45C0"/>
    <w:rsid w:val="142E2F90"/>
    <w:rsid w:val="142F2398"/>
    <w:rsid w:val="14305E5E"/>
    <w:rsid w:val="14353475"/>
    <w:rsid w:val="14396509"/>
    <w:rsid w:val="143B16C7"/>
    <w:rsid w:val="143D6A54"/>
    <w:rsid w:val="143E4A1F"/>
    <w:rsid w:val="143F3A5E"/>
    <w:rsid w:val="143F5A39"/>
    <w:rsid w:val="144A098B"/>
    <w:rsid w:val="144B2C98"/>
    <w:rsid w:val="144B7F4A"/>
    <w:rsid w:val="144D5224"/>
    <w:rsid w:val="144D6A10"/>
    <w:rsid w:val="14521169"/>
    <w:rsid w:val="14521453"/>
    <w:rsid w:val="14537D9F"/>
    <w:rsid w:val="145558C5"/>
    <w:rsid w:val="14563D81"/>
    <w:rsid w:val="145853B5"/>
    <w:rsid w:val="145A112D"/>
    <w:rsid w:val="145F384E"/>
    <w:rsid w:val="146849E3"/>
    <w:rsid w:val="146F7B6A"/>
    <w:rsid w:val="14706BA3"/>
    <w:rsid w:val="14720225"/>
    <w:rsid w:val="14733F9D"/>
    <w:rsid w:val="147D6BCA"/>
    <w:rsid w:val="147E1869"/>
    <w:rsid w:val="147E306D"/>
    <w:rsid w:val="147F7C89"/>
    <w:rsid w:val="14824196"/>
    <w:rsid w:val="148461AA"/>
    <w:rsid w:val="14863420"/>
    <w:rsid w:val="14877402"/>
    <w:rsid w:val="14883EEC"/>
    <w:rsid w:val="148937C0"/>
    <w:rsid w:val="148E7601"/>
    <w:rsid w:val="149208C7"/>
    <w:rsid w:val="14927E49"/>
    <w:rsid w:val="149363ED"/>
    <w:rsid w:val="1494463F"/>
    <w:rsid w:val="14956609"/>
    <w:rsid w:val="14977CD7"/>
    <w:rsid w:val="149A6190"/>
    <w:rsid w:val="149D101A"/>
    <w:rsid w:val="14A30D26"/>
    <w:rsid w:val="14A405FA"/>
    <w:rsid w:val="14A45A4F"/>
    <w:rsid w:val="14A64372"/>
    <w:rsid w:val="14A800EA"/>
    <w:rsid w:val="14A80541"/>
    <w:rsid w:val="14AB70E9"/>
    <w:rsid w:val="14BA7C36"/>
    <w:rsid w:val="14BC3B96"/>
    <w:rsid w:val="14BD5A2B"/>
    <w:rsid w:val="14BF71E2"/>
    <w:rsid w:val="14C44CA4"/>
    <w:rsid w:val="14C50C9C"/>
    <w:rsid w:val="14CA62B3"/>
    <w:rsid w:val="14CD63E3"/>
    <w:rsid w:val="14CD7B51"/>
    <w:rsid w:val="14D135A5"/>
    <w:rsid w:val="14D27219"/>
    <w:rsid w:val="14D42C8D"/>
    <w:rsid w:val="14D57EF7"/>
    <w:rsid w:val="14D64C58"/>
    <w:rsid w:val="14D709D0"/>
    <w:rsid w:val="14D72A6E"/>
    <w:rsid w:val="14D7452C"/>
    <w:rsid w:val="14D94748"/>
    <w:rsid w:val="14DA401C"/>
    <w:rsid w:val="14DB5BA9"/>
    <w:rsid w:val="14DC5FE6"/>
    <w:rsid w:val="14DC7D94"/>
    <w:rsid w:val="14DD2C3C"/>
    <w:rsid w:val="14E32ED1"/>
    <w:rsid w:val="14E44445"/>
    <w:rsid w:val="14EA3590"/>
    <w:rsid w:val="14ED1FA1"/>
    <w:rsid w:val="14EF46DF"/>
    <w:rsid w:val="14F270EC"/>
    <w:rsid w:val="14F275B8"/>
    <w:rsid w:val="14F670A8"/>
    <w:rsid w:val="14F74BCE"/>
    <w:rsid w:val="14FC21E4"/>
    <w:rsid w:val="14FC3F92"/>
    <w:rsid w:val="14FE0705"/>
    <w:rsid w:val="14FE41AE"/>
    <w:rsid w:val="150177FB"/>
    <w:rsid w:val="15035321"/>
    <w:rsid w:val="150953F2"/>
    <w:rsid w:val="150C72AB"/>
    <w:rsid w:val="150E444C"/>
    <w:rsid w:val="151075F2"/>
    <w:rsid w:val="15127C5A"/>
    <w:rsid w:val="15137EF1"/>
    <w:rsid w:val="151439D2"/>
    <w:rsid w:val="151614F8"/>
    <w:rsid w:val="151632A6"/>
    <w:rsid w:val="15170DCC"/>
    <w:rsid w:val="1519357C"/>
    <w:rsid w:val="151B08BC"/>
    <w:rsid w:val="151B6B0E"/>
    <w:rsid w:val="151E5632"/>
    <w:rsid w:val="1522269D"/>
    <w:rsid w:val="1525173B"/>
    <w:rsid w:val="15252C38"/>
    <w:rsid w:val="152534E9"/>
    <w:rsid w:val="152621F6"/>
    <w:rsid w:val="15274035"/>
    <w:rsid w:val="152754B3"/>
    <w:rsid w:val="152768C4"/>
    <w:rsid w:val="152778D7"/>
    <w:rsid w:val="152D05F0"/>
    <w:rsid w:val="152E4A94"/>
    <w:rsid w:val="15323E58"/>
    <w:rsid w:val="15325C06"/>
    <w:rsid w:val="153320AA"/>
    <w:rsid w:val="15363948"/>
    <w:rsid w:val="1537321C"/>
    <w:rsid w:val="15446404"/>
    <w:rsid w:val="154757E1"/>
    <w:rsid w:val="154871D8"/>
    <w:rsid w:val="154D0C92"/>
    <w:rsid w:val="154F1740"/>
    <w:rsid w:val="154F179D"/>
    <w:rsid w:val="154F308C"/>
    <w:rsid w:val="155251A4"/>
    <w:rsid w:val="1554409C"/>
    <w:rsid w:val="15560C2D"/>
    <w:rsid w:val="155913E5"/>
    <w:rsid w:val="15592B10"/>
    <w:rsid w:val="155C2C83"/>
    <w:rsid w:val="15603AD5"/>
    <w:rsid w:val="15620C93"/>
    <w:rsid w:val="1564220B"/>
    <w:rsid w:val="156564B1"/>
    <w:rsid w:val="156726E4"/>
    <w:rsid w:val="15673B02"/>
    <w:rsid w:val="156758B0"/>
    <w:rsid w:val="156A1844"/>
    <w:rsid w:val="156A6FD9"/>
    <w:rsid w:val="156E44B7"/>
    <w:rsid w:val="156F29B6"/>
    <w:rsid w:val="15713DA7"/>
    <w:rsid w:val="157B75AD"/>
    <w:rsid w:val="157D06E3"/>
    <w:rsid w:val="157D1577"/>
    <w:rsid w:val="157E7AEC"/>
    <w:rsid w:val="1585667E"/>
    <w:rsid w:val="1588744E"/>
    <w:rsid w:val="158F4E06"/>
    <w:rsid w:val="15932B49"/>
    <w:rsid w:val="15986FFE"/>
    <w:rsid w:val="15997A33"/>
    <w:rsid w:val="159B030A"/>
    <w:rsid w:val="159B361E"/>
    <w:rsid w:val="159D6C30"/>
    <w:rsid w:val="15A44D56"/>
    <w:rsid w:val="15A703A2"/>
    <w:rsid w:val="15A72150"/>
    <w:rsid w:val="15A9236C"/>
    <w:rsid w:val="15A959CF"/>
    <w:rsid w:val="15AA58DF"/>
    <w:rsid w:val="15AE1060"/>
    <w:rsid w:val="15AE34DE"/>
    <w:rsid w:val="15AE7982"/>
    <w:rsid w:val="15B42ABF"/>
    <w:rsid w:val="15B61D16"/>
    <w:rsid w:val="15B77499"/>
    <w:rsid w:val="15B8610B"/>
    <w:rsid w:val="15B95ABD"/>
    <w:rsid w:val="15BB209F"/>
    <w:rsid w:val="15BB3E4D"/>
    <w:rsid w:val="15BF44EA"/>
    <w:rsid w:val="15C40F54"/>
    <w:rsid w:val="15C947BC"/>
    <w:rsid w:val="15C94DE8"/>
    <w:rsid w:val="15C94FAC"/>
    <w:rsid w:val="15C9656A"/>
    <w:rsid w:val="15CA5E3E"/>
    <w:rsid w:val="15CB1E40"/>
    <w:rsid w:val="15D13671"/>
    <w:rsid w:val="15D31197"/>
    <w:rsid w:val="15D54F0F"/>
    <w:rsid w:val="15D612E1"/>
    <w:rsid w:val="15D72415"/>
    <w:rsid w:val="15DC65E3"/>
    <w:rsid w:val="15DD358D"/>
    <w:rsid w:val="15DF7B3C"/>
    <w:rsid w:val="15E169F5"/>
    <w:rsid w:val="15E277BC"/>
    <w:rsid w:val="15E4717D"/>
    <w:rsid w:val="15E76C11"/>
    <w:rsid w:val="15E909BB"/>
    <w:rsid w:val="15EE4223"/>
    <w:rsid w:val="15F27940"/>
    <w:rsid w:val="15F3177A"/>
    <w:rsid w:val="15F630D7"/>
    <w:rsid w:val="15F93A4F"/>
    <w:rsid w:val="15FB06EE"/>
    <w:rsid w:val="15FB5104"/>
    <w:rsid w:val="15FC6940"/>
    <w:rsid w:val="15FF5772"/>
    <w:rsid w:val="15FF5FFC"/>
    <w:rsid w:val="160430BA"/>
    <w:rsid w:val="16060950"/>
    <w:rsid w:val="16087E1D"/>
    <w:rsid w:val="16092E0B"/>
    <w:rsid w:val="16096D41"/>
    <w:rsid w:val="160C7839"/>
    <w:rsid w:val="160E7A2C"/>
    <w:rsid w:val="160E7D98"/>
    <w:rsid w:val="161377E5"/>
    <w:rsid w:val="1615355E"/>
    <w:rsid w:val="161672D6"/>
    <w:rsid w:val="161E3DDB"/>
    <w:rsid w:val="16236B8C"/>
    <w:rsid w:val="162502C9"/>
    <w:rsid w:val="1625359E"/>
    <w:rsid w:val="162714E3"/>
    <w:rsid w:val="16290DB7"/>
    <w:rsid w:val="162B5247"/>
    <w:rsid w:val="162C356B"/>
    <w:rsid w:val="162E2871"/>
    <w:rsid w:val="16314110"/>
    <w:rsid w:val="163360DA"/>
    <w:rsid w:val="163B5D40"/>
    <w:rsid w:val="163F4A7E"/>
    <w:rsid w:val="164107F7"/>
    <w:rsid w:val="16414353"/>
    <w:rsid w:val="164200CB"/>
    <w:rsid w:val="16473933"/>
    <w:rsid w:val="1648658E"/>
    <w:rsid w:val="164906D3"/>
    <w:rsid w:val="164C504F"/>
    <w:rsid w:val="164D719B"/>
    <w:rsid w:val="164E0D53"/>
    <w:rsid w:val="164E4CC1"/>
    <w:rsid w:val="164E6403"/>
    <w:rsid w:val="16532632"/>
    <w:rsid w:val="16551036"/>
    <w:rsid w:val="16580D9D"/>
    <w:rsid w:val="165878EE"/>
    <w:rsid w:val="165A3666"/>
    <w:rsid w:val="165A5414"/>
    <w:rsid w:val="165C118C"/>
    <w:rsid w:val="1661007D"/>
    <w:rsid w:val="16610551"/>
    <w:rsid w:val="16612C47"/>
    <w:rsid w:val="166463A6"/>
    <w:rsid w:val="166560CF"/>
    <w:rsid w:val="16674A96"/>
    <w:rsid w:val="166938A9"/>
    <w:rsid w:val="16697BD2"/>
    <w:rsid w:val="167069E6"/>
    <w:rsid w:val="16730284"/>
    <w:rsid w:val="16734728"/>
    <w:rsid w:val="167A1613"/>
    <w:rsid w:val="167C1241"/>
    <w:rsid w:val="167D1103"/>
    <w:rsid w:val="167D39D3"/>
    <w:rsid w:val="168129A1"/>
    <w:rsid w:val="16813FC1"/>
    <w:rsid w:val="16816BC3"/>
    <w:rsid w:val="16820E11"/>
    <w:rsid w:val="1682657E"/>
    <w:rsid w:val="1683496B"/>
    <w:rsid w:val="16885AE0"/>
    <w:rsid w:val="16897AA8"/>
    <w:rsid w:val="168D3A3C"/>
    <w:rsid w:val="168E7B34"/>
    <w:rsid w:val="169A3A63"/>
    <w:rsid w:val="169C77DB"/>
    <w:rsid w:val="169F1079"/>
    <w:rsid w:val="16A11295"/>
    <w:rsid w:val="16A20B69"/>
    <w:rsid w:val="16A3500D"/>
    <w:rsid w:val="16A500DF"/>
    <w:rsid w:val="16A6744E"/>
    <w:rsid w:val="16A80F0A"/>
    <w:rsid w:val="16AA639C"/>
    <w:rsid w:val="16AE11E8"/>
    <w:rsid w:val="16B32D77"/>
    <w:rsid w:val="16B44623"/>
    <w:rsid w:val="16B8213B"/>
    <w:rsid w:val="16B965DF"/>
    <w:rsid w:val="16BE59A3"/>
    <w:rsid w:val="16BF171B"/>
    <w:rsid w:val="16C90EC2"/>
    <w:rsid w:val="16CD208A"/>
    <w:rsid w:val="16D01B7A"/>
    <w:rsid w:val="16D056D6"/>
    <w:rsid w:val="16D1492C"/>
    <w:rsid w:val="16D43419"/>
    <w:rsid w:val="16D626D4"/>
    <w:rsid w:val="16D90CEA"/>
    <w:rsid w:val="16DB6FDB"/>
    <w:rsid w:val="16DF591A"/>
    <w:rsid w:val="16E6314C"/>
    <w:rsid w:val="16E66CA8"/>
    <w:rsid w:val="16EA2C3C"/>
    <w:rsid w:val="16EE3073"/>
    <w:rsid w:val="16F05D79"/>
    <w:rsid w:val="16F45869"/>
    <w:rsid w:val="16F75359"/>
    <w:rsid w:val="16F82FCB"/>
    <w:rsid w:val="16F94968"/>
    <w:rsid w:val="16FE2244"/>
    <w:rsid w:val="16FF44AC"/>
    <w:rsid w:val="1700092D"/>
    <w:rsid w:val="1702234F"/>
    <w:rsid w:val="17066E48"/>
    <w:rsid w:val="17076251"/>
    <w:rsid w:val="17092996"/>
    <w:rsid w:val="170F61FF"/>
    <w:rsid w:val="1713221D"/>
    <w:rsid w:val="17147CB9"/>
    <w:rsid w:val="171C091C"/>
    <w:rsid w:val="171E6442"/>
    <w:rsid w:val="1723320B"/>
    <w:rsid w:val="17253C74"/>
    <w:rsid w:val="172A128B"/>
    <w:rsid w:val="172F463D"/>
    <w:rsid w:val="173059F6"/>
    <w:rsid w:val="1732013F"/>
    <w:rsid w:val="17321EED"/>
    <w:rsid w:val="17345261"/>
    <w:rsid w:val="1735086C"/>
    <w:rsid w:val="17391057"/>
    <w:rsid w:val="173C0FBE"/>
    <w:rsid w:val="17416D43"/>
    <w:rsid w:val="1743234C"/>
    <w:rsid w:val="174A5489"/>
    <w:rsid w:val="174A7237"/>
    <w:rsid w:val="174A75A6"/>
    <w:rsid w:val="174B0D9F"/>
    <w:rsid w:val="174C193E"/>
    <w:rsid w:val="174F484D"/>
    <w:rsid w:val="175005C5"/>
    <w:rsid w:val="17516817"/>
    <w:rsid w:val="175207E1"/>
    <w:rsid w:val="175470E6"/>
    <w:rsid w:val="175B58E8"/>
    <w:rsid w:val="175C56A1"/>
    <w:rsid w:val="175E4068"/>
    <w:rsid w:val="17602EFE"/>
    <w:rsid w:val="1761213D"/>
    <w:rsid w:val="17626C76"/>
    <w:rsid w:val="17680005"/>
    <w:rsid w:val="176A5B2B"/>
    <w:rsid w:val="176A78D9"/>
    <w:rsid w:val="176C18A3"/>
    <w:rsid w:val="176D4508"/>
    <w:rsid w:val="176D73C9"/>
    <w:rsid w:val="176E48D7"/>
    <w:rsid w:val="17701D14"/>
    <w:rsid w:val="17715A5A"/>
    <w:rsid w:val="17735226"/>
    <w:rsid w:val="177469AA"/>
    <w:rsid w:val="17773DA4"/>
    <w:rsid w:val="177A3491"/>
    <w:rsid w:val="178169D1"/>
    <w:rsid w:val="1783099B"/>
    <w:rsid w:val="17832749"/>
    <w:rsid w:val="17842D50"/>
    <w:rsid w:val="17855360"/>
    <w:rsid w:val="17880A68"/>
    <w:rsid w:val="17884203"/>
    <w:rsid w:val="17887D5F"/>
    <w:rsid w:val="178932DE"/>
    <w:rsid w:val="178A1D29"/>
    <w:rsid w:val="178A6DBB"/>
    <w:rsid w:val="178D1819"/>
    <w:rsid w:val="178F7340"/>
    <w:rsid w:val="17914E66"/>
    <w:rsid w:val="17936E30"/>
    <w:rsid w:val="179440AE"/>
    <w:rsid w:val="17966920"/>
    <w:rsid w:val="179901BE"/>
    <w:rsid w:val="17996410"/>
    <w:rsid w:val="179B5CE4"/>
    <w:rsid w:val="179E7583"/>
    <w:rsid w:val="17A32DEB"/>
    <w:rsid w:val="17A35D18"/>
    <w:rsid w:val="17A4103D"/>
    <w:rsid w:val="17A50638"/>
    <w:rsid w:val="17A80401"/>
    <w:rsid w:val="17AB40A1"/>
    <w:rsid w:val="17AD77C6"/>
    <w:rsid w:val="17AF79E2"/>
    <w:rsid w:val="17B31280"/>
    <w:rsid w:val="17B33D43"/>
    <w:rsid w:val="17B40B54"/>
    <w:rsid w:val="17B648CC"/>
    <w:rsid w:val="17B80644"/>
    <w:rsid w:val="17BA0860"/>
    <w:rsid w:val="17BB1EE3"/>
    <w:rsid w:val="17C25FFF"/>
    <w:rsid w:val="17C70888"/>
    <w:rsid w:val="17C74D2B"/>
    <w:rsid w:val="17C75113"/>
    <w:rsid w:val="17CA481C"/>
    <w:rsid w:val="17CA65CA"/>
    <w:rsid w:val="17CE2415"/>
    <w:rsid w:val="17D13AF8"/>
    <w:rsid w:val="17D35071"/>
    <w:rsid w:val="17D45C0F"/>
    <w:rsid w:val="17D86F39"/>
    <w:rsid w:val="17D905BB"/>
    <w:rsid w:val="17D912A0"/>
    <w:rsid w:val="17DD00AB"/>
    <w:rsid w:val="17DD0A7A"/>
    <w:rsid w:val="17DD62FD"/>
    <w:rsid w:val="17E02C37"/>
    <w:rsid w:val="17E416FE"/>
    <w:rsid w:val="17E5019A"/>
    <w:rsid w:val="17E51656"/>
    <w:rsid w:val="17EE050A"/>
    <w:rsid w:val="17F02B25"/>
    <w:rsid w:val="18003D99"/>
    <w:rsid w:val="18014675"/>
    <w:rsid w:val="18024BDD"/>
    <w:rsid w:val="18031054"/>
    <w:rsid w:val="1804388A"/>
    <w:rsid w:val="18055854"/>
    <w:rsid w:val="180563B9"/>
    <w:rsid w:val="18090EA0"/>
    <w:rsid w:val="180A5720"/>
    <w:rsid w:val="18147845"/>
    <w:rsid w:val="18155A97"/>
    <w:rsid w:val="181A3740"/>
    <w:rsid w:val="181A38F5"/>
    <w:rsid w:val="181C333C"/>
    <w:rsid w:val="181D0DEF"/>
    <w:rsid w:val="181E2472"/>
    <w:rsid w:val="18226406"/>
    <w:rsid w:val="18253800"/>
    <w:rsid w:val="18267CA4"/>
    <w:rsid w:val="1828643D"/>
    <w:rsid w:val="18297794"/>
    <w:rsid w:val="183028D1"/>
    <w:rsid w:val="18312669"/>
    <w:rsid w:val="1834605F"/>
    <w:rsid w:val="18381FD2"/>
    <w:rsid w:val="1838742C"/>
    <w:rsid w:val="183B138A"/>
    <w:rsid w:val="183E2AE7"/>
    <w:rsid w:val="183F0D66"/>
    <w:rsid w:val="183F35F1"/>
    <w:rsid w:val="1840688C"/>
    <w:rsid w:val="18414ADE"/>
    <w:rsid w:val="18430EA9"/>
    <w:rsid w:val="18441ED8"/>
    <w:rsid w:val="18455C50"/>
    <w:rsid w:val="184C3483"/>
    <w:rsid w:val="184E2D57"/>
    <w:rsid w:val="184F4A8A"/>
    <w:rsid w:val="18523519"/>
    <w:rsid w:val="1857667A"/>
    <w:rsid w:val="18581E27"/>
    <w:rsid w:val="185A5BA0"/>
    <w:rsid w:val="185A794E"/>
    <w:rsid w:val="185C36C6"/>
    <w:rsid w:val="18627970"/>
    <w:rsid w:val="1864257A"/>
    <w:rsid w:val="18673E19"/>
    <w:rsid w:val="186802BC"/>
    <w:rsid w:val="1869193F"/>
    <w:rsid w:val="186D58D3"/>
    <w:rsid w:val="18700F1F"/>
    <w:rsid w:val="18702CCD"/>
    <w:rsid w:val="18716A45"/>
    <w:rsid w:val="18756535"/>
    <w:rsid w:val="18794016"/>
    <w:rsid w:val="18797CF6"/>
    <w:rsid w:val="187A7FF0"/>
    <w:rsid w:val="187B13C6"/>
    <w:rsid w:val="187F73B4"/>
    <w:rsid w:val="18803DEB"/>
    <w:rsid w:val="188449CB"/>
    <w:rsid w:val="18846779"/>
    <w:rsid w:val="188744BB"/>
    <w:rsid w:val="18877F4D"/>
    <w:rsid w:val="18892CD0"/>
    <w:rsid w:val="189270E7"/>
    <w:rsid w:val="18934C0E"/>
    <w:rsid w:val="189646A7"/>
    <w:rsid w:val="18980476"/>
    <w:rsid w:val="189972E0"/>
    <w:rsid w:val="189B3AC2"/>
    <w:rsid w:val="189D783A"/>
    <w:rsid w:val="189F624C"/>
    <w:rsid w:val="18AA56B5"/>
    <w:rsid w:val="18AB01A9"/>
    <w:rsid w:val="18AC5CCF"/>
    <w:rsid w:val="18AE0B3E"/>
    <w:rsid w:val="18AE4DF3"/>
    <w:rsid w:val="18AF5EEB"/>
    <w:rsid w:val="18B07434"/>
    <w:rsid w:val="18B232E6"/>
    <w:rsid w:val="18B2778A"/>
    <w:rsid w:val="18B828C6"/>
    <w:rsid w:val="18B83CF9"/>
    <w:rsid w:val="18B9593C"/>
    <w:rsid w:val="18BA7315"/>
    <w:rsid w:val="18BB3C8F"/>
    <w:rsid w:val="18BC298E"/>
    <w:rsid w:val="18BF3C55"/>
    <w:rsid w:val="18C24DAB"/>
    <w:rsid w:val="18C30E0C"/>
    <w:rsid w:val="18C63235"/>
    <w:rsid w:val="18C66D91"/>
    <w:rsid w:val="18CB43A7"/>
    <w:rsid w:val="18D05E62"/>
    <w:rsid w:val="18D47700"/>
    <w:rsid w:val="18D92ADE"/>
    <w:rsid w:val="18D94030"/>
    <w:rsid w:val="18D97C85"/>
    <w:rsid w:val="18DA6CE0"/>
    <w:rsid w:val="18DD6672"/>
    <w:rsid w:val="18DE232D"/>
    <w:rsid w:val="18E134FB"/>
    <w:rsid w:val="18E13BCB"/>
    <w:rsid w:val="18E45469"/>
    <w:rsid w:val="18E45FED"/>
    <w:rsid w:val="18E7065A"/>
    <w:rsid w:val="18E727CD"/>
    <w:rsid w:val="18E831AB"/>
    <w:rsid w:val="18E83BC6"/>
    <w:rsid w:val="18EB67F8"/>
    <w:rsid w:val="18ED44F8"/>
    <w:rsid w:val="18ED4BE6"/>
    <w:rsid w:val="18ED6A14"/>
    <w:rsid w:val="18F00D6E"/>
    <w:rsid w:val="18F02060"/>
    <w:rsid w:val="18F03E0E"/>
    <w:rsid w:val="18F51424"/>
    <w:rsid w:val="18F57676"/>
    <w:rsid w:val="18F65608"/>
    <w:rsid w:val="18F953B8"/>
    <w:rsid w:val="18FA6A3B"/>
    <w:rsid w:val="18FF4051"/>
    <w:rsid w:val="19031D93"/>
    <w:rsid w:val="190478B9"/>
    <w:rsid w:val="19055FA5"/>
    <w:rsid w:val="190653E0"/>
    <w:rsid w:val="19066B43"/>
    <w:rsid w:val="19067AD5"/>
    <w:rsid w:val="19102702"/>
    <w:rsid w:val="1912647A"/>
    <w:rsid w:val="191B7AAA"/>
    <w:rsid w:val="191D28A5"/>
    <w:rsid w:val="191E02D6"/>
    <w:rsid w:val="191E097B"/>
    <w:rsid w:val="1924548D"/>
    <w:rsid w:val="19257F5C"/>
    <w:rsid w:val="19263CD4"/>
    <w:rsid w:val="192A5572"/>
    <w:rsid w:val="192D74EC"/>
    <w:rsid w:val="19341F4D"/>
    <w:rsid w:val="19353F17"/>
    <w:rsid w:val="19355CC5"/>
    <w:rsid w:val="19362169"/>
    <w:rsid w:val="19371A3D"/>
    <w:rsid w:val="19377C8F"/>
    <w:rsid w:val="1938661F"/>
    <w:rsid w:val="193E4421"/>
    <w:rsid w:val="193F00C3"/>
    <w:rsid w:val="194014CF"/>
    <w:rsid w:val="19436634"/>
    <w:rsid w:val="19455539"/>
    <w:rsid w:val="194A5C14"/>
    <w:rsid w:val="194D74B2"/>
    <w:rsid w:val="19516FA3"/>
    <w:rsid w:val="195308EE"/>
    <w:rsid w:val="1953639C"/>
    <w:rsid w:val="19540841"/>
    <w:rsid w:val="1955189F"/>
    <w:rsid w:val="19552CB1"/>
    <w:rsid w:val="19570331"/>
    <w:rsid w:val="195A46B8"/>
    <w:rsid w:val="195B5ABF"/>
    <w:rsid w:val="196565AA"/>
    <w:rsid w:val="196654F1"/>
    <w:rsid w:val="19670574"/>
    <w:rsid w:val="196A0064"/>
    <w:rsid w:val="196A3BC0"/>
    <w:rsid w:val="196D545F"/>
    <w:rsid w:val="19704F4F"/>
    <w:rsid w:val="19710C72"/>
    <w:rsid w:val="19720CC7"/>
    <w:rsid w:val="19726F19"/>
    <w:rsid w:val="19744A3F"/>
    <w:rsid w:val="197607B7"/>
    <w:rsid w:val="1977008B"/>
    <w:rsid w:val="197B5DCD"/>
    <w:rsid w:val="197B7B7C"/>
    <w:rsid w:val="19800BB1"/>
    <w:rsid w:val="198253AE"/>
    <w:rsid w:val="198567EB"/>
    <w:rsid w:val="19864EEB"/>
    <w:rsid w:val="198738B2"/>
    <w:rsid w:val="19886DAA"/>
    <w:rsid w:val="19895CF9"/>
    <w:rsid w:val="198B7357"/>
    <w:rsid w:val="198C7FDB"/>
    <w:rsid w:val="198F57CE"/>
    <w:rsid w:val="19940C3D"/>
    <w:rsid w:val="1997072D"/>
    <w:rsid w:val="1998697F"/>
    <w:rsid w:val="199B3FFF"/>
    <w:rsid w:val="19A03A86"/>
    <w:rsid w:val="19A46E95"/>
    <w:rsid w:val="19A60971"/>
    <w:rsid w:val="19AD7F51"/>
    <w:rsid w:val="19AF1E75"/>
    <w:rsid w:val="19B231FF"/>
    <w:rsid w:val="19B3088E"/>
    <w:rsid w:val="19B47531"/>
    <w:rsid w:val="19BC1F42"/>
    <w:rsid w:val="19BD0194"/>
    <w:rsid w:val="19BE1CC3"/>
    <w:rsid w:val="19C05ED6"/>
    <w:rsid w:val="19C71013"/>
    <w:rsid w:val="19CF01B9"/>
    <w:rsid w:val="19D13C3F"/>
    <w:rsid w:val="19D35C0A"/>
    <w:rsid w:val="19D674A8"/>
    <w:rsid w:val="19D90D46"/>
    <w:rsid w:val="19D92AF4"/>
    <w:rsid w:val="19DC4392"/>
    <w:rsid w:val="19DD17D0"/>
    <w:rsid w:val="19E05C00"/>
    <w:rsid w:val="19E37A74"/>
    <w:rsid w:val="19E41BC5"/>
    <w:rsid w:val="19EB5B18"/>
    <w:rsid w:val="19EC4E08"/>
    <w:rsid w:val="19EC647A"/>
    <w:rsid w:val="19ED7494"/>
    <w:rsid w:val="19F0521D"/>
    <w:rsid w:val="19F142E2"/>
    <w:rsid w:val="19F811CC"/>
    <w:rsid w:val="19FB0CBC"/>
    <w:rsid w:val="19FB727A"/>
    <w:rsid w:val="1A037B71"/>
    <w:rsid w:val="1A041EBA"/>
    <w:rsid w:val="1A09162B"/>
    <w:rsid w:val="1A096B67"/>
    <w:rsid w:val="1A0A05D4"/>
    <w:rsid w:val="1A0A4D49"/>
    <w:rsid w:val="1A0B2502"/>
    <w:rsid w:val="1A0E09F0"/>
    <w:rsid w:val="1A11228E"/>
    <w:rsid w:val="1A1324AA"/>
    <w:rsid w:val="1A143B2C"/>
    <w:rsid w:val="1A156547"/>
    <w:rsid w:val="1A165AF6"/>
    <w:rsid w:val="1A187AC0"/>
    <w:rsid w:val="1A197394"/>
    <w:rsid w:val="1A1A55E6"/>
    <w:rsid w:val="1A1B310D"/>
    <w:rsid w:val="1A1C66C0"/>
    <w:rsid w:val="1A1E00F2"/>
    <w:rsid w:val="1A226249"/>
    <w:rsid w:val="1A2308F8"/>
    <w:rsid w:val="1A231FC1"/>
    <w:rsid w:val="1A2521DD"/>
    <w:rsid w:val="1A252E71"/>
    <w:rsid w:val="1A255D39"/>
    <w:rsid w:val="1A257CDF"/>
    <w:rsid w:val="1A271AB1"/>
    <w:rsid w:val="1A2A3350"/>
    <w:rsid w:val="1A2E1092"/>
    <w:rsid w:val="1A302507"/>
    <w:rsid w:val="1A3A7A37"/>
    <w:rsid w:val="1A42393B"/>
    <w:rsid w:val="1A4268EB"/>
    <w:rsid w:val="1A46462D"/>
    <w:rsid w:val="1A473F02"/>
    <w:rsid w:val="1A4C32C6"/>
    <w:rsid w:val="1A4C3C21"/>
    <w:rsid w:val="1A501008"/>
    <w:rsid w:val="1A512FD2"/>
    <w:rsid w:val="1A5166C9"/>
    <w:rsid w:val="1A5358A1"/>
    <w:rsid w:val="1A5858B7"/>
    <w:rsid w:val="1A587EBD"/>
    <w:rsid w:val="1A5A3C35"/>
    <w:rsid w:val="1A604FC3"/>
    <w:rsid w:val="1A69372B"/>
    <w:rsid w:val="1A694281"/>
    <w:rsid w:val="1A6B5E42"/>
    <w:rsid w:val="1A6E76E0"/>
    <w:rsid w:val="1A700BC8"/>
    <w:rsid w:val="1A736AA5"/>
    <w:rsid w:val="1A7840BB"/>
    <w:rsid w:val="1A7A3469"/>
    <w:rsid w:val="1A7A7E33"/>
    <w:rsid w:val="1A7D2861"/>
    <w:rsid w:val="1A7D3DC7"/>
    <w:rsid w:val="1A7D7923"/>
    <w:rsid w:val="1A8011C2"/>
    <w:rsid w:val="1A824F3A"/>
    <w:rsid w:val="1A8707A2"/>
    <w:rsid w:val="1A8C400A"/>
    <w:rsid w:val="1A8C5DB8"/>
    <w:rsid w:val="1A8E7704"/>
    <w:rsid w:val="1A8F02A3"/>
    <w:rsid w:val="1A8F17E2"/>
    <w:rsid w:val="1A935399"/>
    <w:rsid w:val="1AA2738A"/>
    <w:rsid w:val="1AA43CB9"/>
    <w:rsid w:val="1AA50C28"/>
    <w:rsid w:val="1AA650CC"/>
    <w:rsid w:val="1AA87452"/>
    <w:rsid w:val="1AA94BBC"/>
    <w:rsid w:val="1AA97044"/>
    <w:rsid w:val="1AAA0B4C"/>
    <w:rsid w:val="1AAA27D1"/>
    <w:rsid w:val="1AAD45DE"/>
    <w:rsid w:val="1AAE3F81"/>
    <w:rsid w:val="1AB72562"/>
    <w:rsid w:val="1AB86765"/>
    <w:rsid w:val="1ABA2925"/>
    <w:rsid w:val="1ABF1CEA"/>
    <w:rsid w:val="1AC13CB4"/>
    <w:rsid w:val="1AC27A2C"/>
    <w:rsid w:val="1AC47300"/>
    <w:rsid w:val="1AC612CA"/>
    <w:rsid w:val="1ACB13C2"/>
    <w:rsid w:val="1AD27C6F"/>
    <w:rsid w:val="1AD45B1C"/>
    <w:rsid w:val="1AD5150D"/>
    <w:rsid w:val="1AD75285"/>
    <w:rsid w:val="1ADA4D76"/>
    <w:rsid w:val="1ADA6D52"/>
    <w:rsid w:val="1ADC1279"/>
    <w:rsid w:val="1ADD6614"/>
    <w:rsid w:val="1AE25D7E"/>
    <w:rsid w:val="1AE300CE"/>
    <w:rsid w:val="1AE6371B"/>
    <w:rsid w:val="1AE73C68"/>
    <w:rsid w:val="1AEF7892"/>
    <w:rsid w:val="1AF26A01"/>
    <w:rsid w:val="1AF358E9"/>
    <w:rsid w:val="1AF44089"/>
    <w:rsid w:val="1AF5395E"/>
    <w:rsid w:val="1AF5570C"/>
    <w:rsid w:val="1AF851FC"/>
    <w:rsid w:val="1AFC1190"/>
    <w:rsid w:val="1AFD0A64"/>
    <w:rsid w:val="1AFE3183"/>
    <w:rsid w:val="1B00129A"/>
    <w:rsid w:val="1B0116A6"/>
    <w:rsid w:val="1B046F80"/>
    <w:rsid w:val="1B087B35"/>
    <w:rsid w:val="1B09565B"/>
    <w:rsid w:val="1B0F3650"/>
    <w:rsid w:val="1B10179A"/>
    <w:rsid w:val="1B11796B"/>
    <w:rsid w:val="1B1262BE"/>
    <w:rsid w:val="1B127276"/>
    <w:rsid w:val="1B14771A"/>
    <w:rsid w:val="1B157F7A"/>
    <w:rsid w:val="1B1738D4"/>
    <w:rsid w:val="1B177D78"/>
    <w:rsid w:val="1B195CB1"/>
    <w:rsid w:val="1B1B17E0"/>
    <w:rsid w:val="1B1C538E"/>
    <w:rsid w:val="1B1E102C"/>
    <w:rsid w:val="1B1E1106"/>
    <w:rsid w:val="1B207C5E"/>
    <w:rsid w:val="1B2129A5"/>
    <w:rsid w:val="1B245FF1"/>
    <w:rsid w:val="1B285AE1"/>
    <w:rsid w:val="1B2A7AAB"/>
    <w:rsid w:val="1B2D4292"/>
    <w:rsid w:val="1B2E0C1E"/>
    <w:rsid w:val="1B3267B5"/>
    <w:rsid w:val="1B3E5305"/>
    <w:rsid w:val="1B40161D"/>
    <w:rsid w:val="1B430B6D"/>
    <w:rsid w:val="1B441859"/>
    <w:rsid w:val="1B505038"/>
    <w:rsid w:val="1B506361"/>
    <w:rsid w:val="1B530684"/>
    <w:rsid w:val="1B542D7A"/>
    <w:rsid w:val="1B544B28"/>
    <w:rsid w:val="1B5543FC"/>
    <w:rsid w:val="1B5E59A7"/>
    <w:rsid w:val="1B5E7755"/>
    <w:rsid w:val="1B601E4F"/>
    <w:rsid w:val="1B6034CD"/>
    <w:rsid w:val="1B610FF3"/>
    <w:rsid w:val="1B632FBD"/>
    <w:rsid w:val="1B6606B1"/>
    <w:rsid w:val="1B661988"/>
    <w:rsid w:val="1B682381"/>
    <w:rsid w:val="1B6A61A2"/>
    <w:rsid w:val="1B6B3C20"/>
    <w:rsid w:val="1B6C00C4"/>
    <w:rsid w:val="1B6C491D"/>
    <w:rsid w:val="1B6D5BEA"/>
    <w:rsid w:val="1B6D7998"/>
    <w:rsid w:val="1B6E5FB3"/>
    <w:rsid w:val="1B6F1962"/>
    <w:rsid w:val="1B7038A8"/>
    <w:rsid w:val="1B742AD4"/>
    <w:rsid w:val="1B745C72"/>
    <w:rsid w:val="1B770817"/>
    <w:rsid w:val="1B7C407F"/>
    <w:rsid w:val="1B7D1517"/>
    <w:rsid w:val="1B7E7DF7"/>
    <w:rsid w:val="1B7F06C9"/>
    <w:rsid w:val="1B811695"/>
    <w:rsid w:val="1B8271CE"/>
    <w:rsid w:val="1B83678C"/>
    <w:rsid w:val="1B8371BB"/>
    <w:rsid w:val="1B84582A"/>
    <w:rsid w:val="1B851185"/>
    <w:rsid w:val="1B854CE1"/>
    <w:rsid w:val="1B862808"/>
    <w:rsid w:val="1B886B5A"/>
    <w:rsid w:val="1B8934AF"/>
    <w:rsid w:val="1B8B16C6"/>
    <w:rsid w:val="1B8D003A"/>
    <w:rsid w:val="1B8D13C8"/>
    <w:rsid w:val="1B8F5B60"/>
    <w:rsid w:val="1B943177"/>
    <w:rsid w:val="1B9969DF"/>
    <w:rsid w:val="1B9A62B3"/>
    <w:rsid w:val="1B9B51B5"/>
    <w:rsid w:val="1B9C202B"/>
    <w:rsid w:val="1BA17641"/>
    <w:rsid w:val="1BA86C22"/>
    <w:rsid w:val="1BAF2969"/>
    <w:rsid w:val="1BB11F7A"/>
    <w:rsid w:val="1BB235FD"/>
    <w:rsid w:val="1BB6133F"/>
    <w:rsid w:val="1BB9498B"/>
    <w:rsid w:val="1BBD75E9"/>
    <w:rsid w:val="1BBE69F1"/>
    <w:rsid w:val="1BBE6F12"/>
    <w:rsid w:val="1BC021BE"/>
    <w:rsid w:val="1BC04722"/>
    <w:rsid w:val="1BC11A92"/>
    <w:rsid w:val="1BC80FCF"/>
    <w:rsid w:val="1BCD15A0"/>
    <w:rsid w:val="1BCF2401"/>
    <w:rsid w:val="1BD143CB"/>
    <w:rsid w:val="1BD87507"/>
    <w:rsid w:val="1BD96DDB"/>
    <w:rsid w:val="1BDB0DA5"/>
    <w:rsid w:val="1BDE2644"/>
    <w:rsid w:val="1BE0460E"/>
    <w:rsid w:val="1BE062B8"/>
    <w:rsid w:val="1BE10BC8"/>
    <w:rsid w:val="1BE31EF1"/>
    <w:rsid w:val="1BEA723A"/>
    <w:rsid w:val="1BED519B"/>
    <w:rsid w:val="1BF27E9D"/>
    <w:rsid w:val="1BF46D94"/>
    <w:rsid w:val="1BF46F59"/>
    <w:rsid w:val="1BF57933"/>
    <w:rsid w:val="1BF61F9E"/>
    <w:rsid w:val="1BF71712"/>
    <w:rsid w:val="1BF87F24"/>
    <w:rsid w:val="1BFB4FA4"/>
    <w:rsid w:val="1BFE6842"/>
    <w:rsid w:val="1BFF71F2"/>
    <w:rsid w:val="1C03339D"/>
    <w:rsid w:val="1C073948"/>
    <w:rsid w:val="1C0A51E7"/>
    <w:rsid w:val="1C0E117B"/>
    <w:rsid w:val="1C0E2F29"/>
    <w:rsid w:val="1C0F5B76"/>
    <w:rsid w:val="1C1242AF"/>
    <w:rsid w:val="1C1366CD"/>
    <w:rsid w:val="1C136791"/>
    <w:rsid w:val="1C161DDD"/>
    <w:rsid w:val="1C166281"/>
    <w:rsid w:val="1C185B56"/>
    <w:rsid w:val="1C200EAE"/>
    <w:rsid w:val="1C2362A8"/>
    <w:rsid w:val="1C236AE5"/>
    <w:rsid w:val="1C237A27"/>
    <w:rsid w:val="1C2529FF"/>
    <w:rsid w:val="1C2567AA"/>
    <w:rsid w:val="1C281B11"/>
    <w:rsid w:val="1C33298F"/>
    <w:rsid w:val="1C34700D"/>
    <w:rsid w:val="1C35495A"/>
    <w:rsid w:val="1C3A1F70"/>
    <w:rsid w:val="1C3B1844"/>
    <w:rsid w:val="1C3C5FEB"/>
    <w:rsid w:val="1C3F5862"/>
    <w:rsid w:val="1C406E5A"/>
    <w:rsid w:val="1C427076"/>
    <w:rsid w:val="1C447359"/>
    <w:rsid w:val="1C450915"/>
    <w:rsid w:val="1C4B0E00"/>
    <w:rsid w:val="1C4D73AF"/>
    <w:rsid w:val="1C4F52EF"/>
    <w:rsid w:val="1C505D3B"/>
    <w:rsid w:val="1C553EAB"/>
    <w:rsid w:val="1C56042C"/>
    <w:rsid w:val="1C597F1C"/>
    <w:rsid w:val="1C5D7A0C"/>
    <w:rsid w:val="1C5E027E"/>
    <w:rsid w:val="1C5E7298"/>
    <w:rsid w:val="1C5E7925"/>
    <w:rsid w:val="1C626DD1"/>
    <w:rsid w:val="1C630856"/>
    <w:rsid w:val="1C647A98"/>
    <w:rsid w:val="1C672639"/>
    <w:rsid w:val="1C6B037B"/>
    <w:rsid w:val="1C6C40F3"/>
    <w:rsid w:val="1C6C773B"/>
    <w:rsid w:val="1C730FDE"/>
    <w:rsid w:val="1C7A6962"/>
    <w:rsid w:val="1C7B4FB1"/>
    <w:rsid w:val="1C7D00AF"/>
    <w:rsid w:val="1C7D1E5D"/>
    <w:rsid w:val="1C8101E5"/>
    <w:rsid w:val="1C844F99"/>
    <w:rsid w:val="1C890722"/>
    <w:rsid w:val="1C8B0628"/>
    <w:rsid w:val="1C8B457A"/>
    <w:rsid w:val="1C8C02F2"/>
    <w:rsid w:val="1C8F393E"/>
    <w:rsid w:val="1C924719"/>
    <w:rsid w:val="1C944F1A"/>
    <w:rsid w:val="1C9633EE"/>
    <w:rsid w:val="1C97589B"/>
    <w:rsid w:val="1C982347"/>
    <w:rsid w:val="1C98707A"/>
    <w:rsid w:val="1C9B22E3"/>
    <w:rsid w:val="1C9C6787"/>
    <w:rsid w:val="1C9F5E31"/>
    <w:rsid w:val="1CA218C3"/>
    <w:rsid w:val="1CA2399F"/>
    <w:rsid w:val="1CA310A5"/>
    <w:rsid w:val="1CA31B57"/>
    <w:rsid w:val="1CA51528"/>
    <w:rsid w:val="1CA67605"/>
    <w:rsid w:val="1CA70C88"/>
    <w:rsid w:val="1CA820BE"/>
    <w:rsid w:val="1CA90EA4"/>
    <w:rsid w:val="1CAE0268"/>
    <w:rsid w:val="1CB00C23"/>
    <w:rsid w:val="1CB05D8E"/>
    <w:rsid w:val="1CB15E11"/>
    <w:rsid w:val="1CB25FAA"/>
    <w:rsid w:val="1CB533A4"/>
    <w:rsid w:val="1CB6536F"/>
    <w:rsid w:val="1CB957A5"/>
    <w:rsid w:val="1CBC688B"/>
    <w:rsid w:val="1CC17F9B"/>
    <w:rsid w:val="1CC45CDD"/>
    <w:rsid w:val="1CC926C9"/>
    <w:rsid w:val="1CC932F4"/>
    <w:rsid w:val="1CCB0E1A"/>
    <w:rsid w:val="1CCC70DD"/>
    <w:rsid w:val="1CD00E5B"/>
    <w:rsid w:val="1CD221A8"/>
    <w:rsid w:val="1CD239BF"/>
    <w:rsid w:val="1CD53A47"/>
    <w:rsid w:val="1CD83537"/>
    <w:rsid w:val="1CDA2E0B"/>
    <w:rsid w:val="1CDC4DD5"/>
    <w:rsid w:val="1CDD4601"/>
    <w:rsid w:val="1CDF24FF"/>
    <w:rsid w:val="1CDF6F49"/>
    <w:rsid w:val="1CE0488E"/>
    <w:rsid w:val="1CE617B0"/>
    <w:rsid w:val="1CE7377A"/>
    <w:rsid w:val="1CED1726"/>
    <w:rsid w:val="1CEE5B24"/>
    <w:rsid w:val="1CEE68B6"/>
    <w:rsid w:val="1CEE6A7A"/>
    <w:rsid w:val="1CEF7619"/>
    <w:rsid w:val="1CF163A7"/>
    <w:rsid w:val="1CF30371"/>
    <w:rsid w:val="1CF354CB"/>
    <w:rsid w:val="1CF57C45"/>
    <w:rsid w:val="1CF75E15"/>
    <w:rsid w:val="1CF87735"/>
    <w:rsid w:val="1CFC0FD3"/>
    <w:rsid w:val="1CFD070F"/>
    <w:rsid w:val="1CFE2569"/>
    <w:rsid w:val="1CFF0AC4"/>
    <w:rsid w:val="1D091942"/>
    <w:rsid w:val="1D097B94"/>
    <w:rsid w:val="1D0D38B9"/>
    <w:rsid w:val="1D100F23"/>
    <w:rsid w:val="1D101BF1"/>
    <w:rsid w:val="1D102CD1"/>
    <w:rsid w:val="1D122F36"/>
    <w:rsid w:val="1D13456F"/>
    <w:rsid w:val="1D161002"/>
    <w:rsid w:val="1D167BBB"/>
    <w:rsid w:val="1D1E05CC"/>
    <w:rsid w:val="1D1E3640"/>
    <w:rsid w:val="1D230C56"/>
    <w:rsid w:val="1D232F0B"/>
    <w:rsid w:val="1D250AEC"/>
    <w:rsid w:val="1D2624F4"/>
    <w:rsid w:val="1D2642A2"/>
    <w:rsid w:val="1D296AFD"/>
    <w:rsid w:val="1D2B351D"/>
    <w:rsid w:val="1D2C3EF7"/>
    <w:rsid w:val="1D2C5AC6"/>
    <w:rsid w:val="1D2E61D3"/>
    <w:rsid w:val="1D2F75FB"/>
    <w:rsid w:val="1D3369BF"/>
    <w:rsid w:val="1D350989"/>
    <w:rsid w:val="1D37025D"/>
    <w:rsid w:val="1D385D84"/>
    <w:rsid w:val="1D3E1AFE"/>
    <w:rsid w:val="1D3E1CC2"/>
    <w:rsid w:val="1D3F7112"/>
    <w:rsid w:val="1D412E8A"/>
    <w:rsid w:val="1D4330A6"/>
    <w:rsid w:val="1D434E54"/>
    <w:rsid w:val="1D470F8D"/>
    <w:rsid w:val="1D4A4435"/>
    <w:rsid w:val="1D4B1F5B"/>
    <w:rsid w:val="1D4B3D09"/>
    <w:rsid w:val="1D4D7A81"/>
    <w:rsid w:val="1D4E37F9"/>
    <w:rsid w:val="1D4E55A7"/>
    <w:rsid w:val="1D50131F"/>
    <w:rsid w:val="1D5030CD"/>
    <w:rsid w:val="1D5232E9"/>
    <w:rsid w:val="1D526BEB"/>
    <w:rsid w:val="1D526E45"/>
    <w:rsid w:val="1D5317F9"/>
    <w:rsid w:val="1D547061"/>
    <w:rsid w:val="1D5C4168"/>
    <w:rsid w:val="1D5D0701"/>
    <w:rsid w:val="1D5E1C8E"/>
    <w:rsid w:val="1D5F6196"/>
    <w:rsid w:val="1D5F77B4"/>
    <w:rsid w:val="1D6132A5"/>
    <w:rsid w:val="1D6B6159"/>
    <w:rsid w:val="1D6D0123"/>
    <w:rsid w:val="1D6E3249"/>
    <w:rsid w:val="1D6F5C49"/>
    <w:rsid w:val="1D721295"/>
    <w:rsid w:val="1D7243CD"/>
    <w:rsid w:val="1D725739"/>
    <w:rsid w:val="1D774AFE"/>
    <w:rsid w:val="1D7E06B8"/>
    <w:rsid w:val="1D8131AA"/>
    <w:rsid w:val="1D81772B"/>
    <w:rsid w:val="1D840FC9"/>
    <w:rsid w:val="1D864D41"/>
    <w:rsid w:val="1D8965DF"/>
    <w:rsid w:val="1D8A2A83"/>
    <w:rsid w:val="1D8B2357"/>
    <w:rsid w:val="1D8D2292"/>
    <w:rsid w:val="1D8D2573"/>
    <w:rsid w:val="1D8E249F"/>
    <w:rsid w:val="1D8E56D5"/>
    <w:rsid w:val="1D8F0099"/>
    <w:rsid w:val="1D8F1E47"/>
    <w:rsid w:val="1D961D68"/>
    <w:rsid w:val="1D9E02DC"/>
    <w:rsid w:val="1D9E32D9"/>
    <w:rsid w:val="1DA376A1"/>
    <w:rsid w:val="1DA82F09"/>
    <w:rsid w:val="1DAB2D62"/>
    <w:rsid w:val="1DAB47A7"/>
    <w:rsid w:val="1DAB760F"/>
    <w:rsid w:val="1DAC66AD"/>
    <w:rsid w:val="1DAF4298"/>
    <w:rsid w:val="1DB16262"/>
    <w:rsid w:val="1DB26589"/>
    <w:rsid w:val="1DBA29F0"/>
    <w:rsid w:val="1DBB5B35"/>
    <w:rsid w:val="1DC046F7"/>
    <w:rsid w:val="1DC064A5"/>
    <w:rsid w:val="1DC6338F"/>
    <w:rsid w:val="1DC72423"/>
    <w:rsid w:val="1DC75A85"/>
    <w:rsid w:val="1DC835AB"/>
    <w:rsid w:val="1DC92F91"/>
    <w:rsid w:val="1DCD2970"/>
    <w:rsid w:val="1DCD471E"/>
    <w:rsid w:val="1DD0420E"/>
    <w:rsid w:val="1DD07515"/>
    <w:rsid w:val="1DD441FF"/>
    <w:rsid w:val="1DD55EB7"/>
    <w:rsid w:val="1DD65CC8"/>
    <w:rsid w:val="1DD72943"/>
    <w:rsid w:val="1DD737EE"/>
    <w:rsid w:val="1DDE06AA"/>
    <w:rsid w:val="1DDE2DCF"/>
    <w:rsid w:val="1DE008F5"/>
    <w:rsid w:val="1DE2466D"/>
    <w:rsid w:val="1DE303E5"/>
    <w:rsid w:val="1DE657E0"/>
    <w:rsid w:val="1DE859FC"/>
    <w:rsid w:val="1DEA1774"/>
    <w:rsid w:val="1DEF370A"/>
    <w:rsid w:val="1DF23010"/>
    <w:rsid w:val="1DF36BBF"/>
    <w:rsid w:val="1DF4133B"/>
    <w:rsid w:val="1DF61EC7"/>
    <w:rsid w:val="1DF75C3F"/>
    <w:rsid w:val="1DF93765"/>
    <w:rsid w:val="1DFE0D7B"/>
    <w:rsid w:val="1E032835"/>
    <w:rsid w:val="1E0B5246"/>
    <w:rsid w:val="1E0D7210"/>
    <w:rsid w:val="1E0F11DA"/>
    <w:rsid w:val="1E126414"/>
    <w:rsid w:val="1E1265CA"/>
    <w:rsid w:val="1E14234D"/>
    <w:rsid w:val="1E193E07"/>
    <w:rsid w:val="1E220F0E"/>
    <w:rsid w:val="1E24708C"/>
    <w:rsid w:val="1E25455A"/>
    <w:rsid w:val="1E2702D2"/>
    <w:rsid w:val="1E2754DF"/>
    <w:rsid w:val="1E27575F"/>
    <w:rsid w:val="1E285DF8"/>
    <w:rsid w:val="1E2A7DC2"/>
    <w:rsid w:val="1E2E3E10"/>
    <w:rsid w:val="1E303662"/>
    <w:rsid w:val="1E324BDA"/>
    <w:rsid w:val="1E336318"/>
    <w:rsid w:val="1E3649B9"/>
    <w:rsid w:val="1E37603B"/>
    <w:rsid w:val="1E3D4E74"/>
    <w:rsid w:val="1E401394"/>
    <w:rsid w:val="1E470974"/>
    <w:rsid w:val="1E4A2212"/>
    <w:rsid w:val="1E4A3FC0"/>
    <w:rsid w:val="1E4B0FC7"/>
    <w:rsid w:val="1E4C1C18"/>
    <w:rsid w:val="1E51534F"/>
    <w:rsid w:val="1E537319"/>
    <w:rsid w:val="1E566E09"/>
    <w:rsid w:val="1E593EA6"/>
    <w:rsid w:val="1E602069"/>
    <w:rsid w:val="1E6246D8"/>
    <w:rsid w:val="1E62755C"/>
    <w:rsid w:val="1E641DBE"/>
    <w:rsid w:val="1E6432D4"/>
    <w:rsid w:val="1E6908EA"/>
    <w:rsid w:val="1E69422B"/>
    <w:rsid w:val="1E6A6411"/>
    <w:rsid w:val="1E6C03DB"/>
    <w:rsid w:val="1E6C2189"/>
    <w:rsid w:val="1E6F1C79"/>
    <w:rsid w:val="1E733517"/>
    <w:rsid w:val="1E7352C5"/>
    <w:rsid w:val="1E7554E1"/>
    <w:rsid w:val="1E763007"/>
    <w:rsid w:val="1E777B20"/>
    <w:rsid w:val="1E7847F7"/>
    <w:rsid w:val="1E795006"/>
    <w:rsid w:val="1E7A2AF8"/>
    <w:rsid w:val="1E7A43DA"/>
    <w:rsid w:val="1E7E3C6A"/>
    <w:rsid w:val="1E7F6240"/>
    <w:rsid w:val="1E8219AC"/>
    <w:rsid w:val="1E821E95"/>
    <w:rsid w:val="1E831280"/>
    <w:rsid w:val="1E875215"/>
    <w:rsid w:val="1E890F8D"/>
    <w:rsid w:val="1E8A0861"/>
    <w:rsid w:val="1E921EBF"/>
    <w:rsid w:val="1E952C15"/>
    <w:rsid w:val="1E9677AA"/>
    <w:rsid w:val="1E97448A"/>
    <w:rsid w:val="1E980356"/>
    <w:rsid w:val="1E9878D8"/>
    <w:rsid w:val="1E9D2342"/>
    <w:rsid w:val="1E9D67E6"/>
    <w:rsid w:val="1E9F67C2"/>
    <w:rsid w:val="1EA02D82"/>
    <w:rsid w:val="1EA05CC2"/>
    <w:rsid w:val="1EA3575E"/>
    <w:rsid w:val="1EA9518B"/>
    <w:rsid w:val="1EA95575"/>
    <w:rsid w:val="1EAE454F"/>
    <w:rsid w:val="1EAF2075"/>
    <w:rsid w:val="1EB663BA"/>
    <w:rsid w:val="1EB853CE"/>
    <w:rsid w:val="1EBB4EBE"/>
    <w:rsid w:val="1EBC18CB"/>
    <w:rsid w:val="1EC024D4"/>
    <w:rsid w:val="1EC05DA6"/>
    <w:rsid w:val="1EC72883"/>
    <w:rsid w:val="1ECF7290"/>
    <w:rsid w:val="1ED015A4"/>
    <w:rsid w:val="1ED41ADC"/>
    <w:rsid w:val="1ED47F4C"/>
    <w:rsid w:val="1ED55F80"/>
    <w:rsid w:val="1ED57D2E"/>
    <w:rsid w:val="1ED9602C"/>
    <w:rsid w:val="1EDA17E8"/>
    <w:rsid w:val="1EDC50AE"/>
    <w:rsid w:val="1EDD6BE3"/>
    <w:rsid w:val="1EE12B77"/>
    <w:rsid w:val="1EE14925"/>
    <w:rsid w:val="1EE15C31"/>
    <w:rsid w:val="1EE2244B"/>
    <w:rsid w:val="1EE241F9"/>
    <w:rsid w:val="1EE41767"/>
    <w:rsid w:val="1EE95587"/>
    <w:rsid w:val="1EEC5078"/>
    <w:rsid w:val="1EED151B"/>
    <w:rsid w:val="1EF26B32"/>
    <w:rsid w:val="1EFA1543"/>
    <w:rsid w:val="1EFD1033"/>
    <w:rsid w:val="1F0028D1"/>
    <w:rsid w:val="1F012E44"/>
    <w:rsid w:val="1F026649"/>
    <w:rsid w:val="1F06438B"/>
    <w:rsid w:val="1F0B7BF4"/>
    <w:rsid w:val="1F0C571A"/>
    <w:rsid w:val="1F0F73FB"/>
    <w:rsid w:val="1F100D66"/>
    <w:rsid w:val="1F134CFA"/>
    <w:rsid w:val="1F1545CE"/>
    <w:rsid w:val="1F176598"/>
    <w:rsid w:val="1F1C3BAF"/>
    <w:rsid w:val="1F1D7927"/>
    <w:rsid w:val="1F2051DC"/>
    <w:rsid w:val="1F220A99"/>
    <w:rsid w:val="1F2627EB"/>
    <w:rsid w:val="1F271230"/>
    <w:rsid w:val="1F29296D"/>
    <w:rsid w:val="1F2952CA"/>
    <w:rsid w:val="1F2962CC"/>
    <w:rsid w:val="1F297E2A"/>
    <w:rsid w:val="1F2A3EE6"/>
    <w:rsid w:val="1F2B5BA0"/>
    <w:rsid w:val="1F2C748C"/>
    <w:rsid w:val="1F2D7B6A"/>
    <w:rsid w:val="1F3152D9"/>
    <w:rsid w:val="1F3802BD"/>
    <w:rsid w:val="1F3D3B25"/>
    <w:rsid w:val="1F4153C3"/>
    <w:rsid w:val="1F417171"/>
    <w:rsid w:val="1F443106"/>
    <w:rsid w:val="1F453362"/>
    <w:rsid w:val="1F4849A4"/>
    <w:rsid w:val="1F492925"/>
    <w:rsid w:val="1F4934E4"/>
    <w:rsid w:val="1F4B4494"/>
    <w:rsid w:val="1F4B6DA7"/>
    <w:rsid w:val="1F4C3235"/>
    <w:rsid w:val="1F4D3D68"/>
    <w:rsid w:val="1F505606"/>
    <w:rsid w:val="1F51312D"/>
    <w:rsid w:val="1F5216F6"/>
    <w:rsid w:val="1F5A6485"/>
    <w:rsid w:val="1F5E1C97"/>
    <w:rsid w:val="1F5E5F75"/>
    <w:rsid w:val="1F5F11DF"/>
    <w:rsid w:val="1F5F1CED"/>
    <w:rsid w:val="1F611967"/>
    <w:rsid w:val="1F645556"/>
    <w:rsid w:val="1F664E2A"/>
    <w:rsid w:val="1F6B0692"/>
    <w:rsid w:val="1F6B41EE"/>
    <w:rsid w:val="1F6B68E4"/>
    <w:rsid w:val="1F6D61B8"/>
    <w:rsid w:val="1F6F0182"/>
    <w:rsid w:val="1F707A57"/>
    <w:rsid w:val="1F7312F5"/>
    <w:rsid w:val="1F7532BF"/>
    <w:rsid w:val="1F75552B"/>
    <w:rsid w:val="1F7B6DA5"/>
    <w:rsid w:val="1F7D11F8"/>
    <w:rsid w:val="1F7D3F22"/>
    <w:rsid w:val="1F7E1A5B"/>
    <w:rsid w:val="1F801C71"/>
    <w:rsid w:val="1F8350EC"/>
    <w:rsid w:val="1F8452B0"/>
    <w:rsid w:val="1F871844"/>
    <w:rsid w:val="1F875B17"/>
    <w:rsid w:val="1F896D6A"/>
    <w:rsid w:val="1F8B3820"/>
    <w:rsid w:val="1F8B663F"/>
    <w:rsid w:val="1F8D23B7"/>
    <w:rsid w:val="1F8D685B"/>
    <w:rsid w:val="1F8F7049"/>
    <w:rsid w:val="1F9161B3"/>
    <w:rsid w:val="1F925C1F"/>
    <w:rsid w:val="1F933745"/>
    <w:rsid w:val="1F9623E2"/>
    <w:rsid w:val="1F974FE3"/>
    <w:rsid w:val="1F9951FF"/>
    <w:rsid w:val="1F9B49C4"/>
    <w:rsid w:val="1F9B5337"/>
    <w:rsid w:val="1F9C084C"/>
    <w:rsid w:val="1F9D6372"/>
    <w:rsid w:val="1FA328F8"/>
    <w:rsid w:val="1FA47700"/>
    <w:rsid w:val="1FA53BA4"/>
    <w:rsid w:val="1FAF6D5D"/>
    <w:rsid w:val="1FB03E0F"/>
    <w:rsid w:val="1FB06288"/>
    <w:rsid w:val="1FB24952"/>
    <w:rsid w:val="1FB42039"/>
    <w:rsid w:val="1FB63E2E"/>
    <w:rsid w:val="1FB8197E"/>
    <w:rsid w:val="1FBD74F6"/>
    <w:rsid w:val="1FBF278C"/>
    <w:rsid w:val="1FC16504"/>
    <w:rsid w:val="1FC41B50"/>
    <w:rsid w:val="1FC63B1B"/>
    <w:rsid w:val="1FC77337"/>
    <w:rsid w:val="1FC97167"/>
    <w:rsid w:val="1FCA1ED2"/>
    <w:rsid w:val="1FCD30FB"/>
    <w:rsid w:val="1FD5107F"/>
    <w:rsid w:val="1FD72C61"/>
    <w:rsid w:val="1FDA4F3D"/>
    <w:rsid w:val="1FDB5818"/>
    <w:rsid w:val="1FDD5F55"/>
    <w:rsid w:val="1FDE0E64"/>
    <w:rsid w:val="1FDF7D1B"/>
    <w:rsid w:val="1FE16BA6"/>
    <w:rsid w:val="1FE22078"/>
    <w:rsid w:val="1FE30229"/>
    <w:rsid w:val="1FE31116"/>
    <w:rsid w:val="1FE33A99"/>
    <w:rsid w:val="1FE43FA1"/>
    <w:rsid w:val="1FE7539E"/>
    <w:rsid w:val="1FE83A91"/>
    <w:rsid w:val="1FEA15B7"/>
    <w:rsid w:val="1FEA6512"/>
    <w:rsid w:val="1FEB532F"/>
    <w:rsid w:val="1FEF6BCD"/>
    <w:rsid w:val="1FF04A0B"/>
    <w:rsid w:val="1FF16DE9"/>
    <w:rsid w:val="1FF26BAE"/>
    <w:rsid w:val="1FF82C18"/>
    <w:rsid w:val="1FF93EF0"/>
    <w:rsid w:val="1FFC12EA"/>
    <w:rsid w:val="1FFC6B65"/>
    <w:rsid w:val="20000F5F"/>
    <w:rsid w:val="20012DA5"/>
    <w:rsid w:val="200308CB"/>
    <w:rsid w:val="20084133"/>
    <w:rsid w:val="20097FDE"/>
    <w:rsid w:val="200C35C6"/>
    <w:rsid w:val="20137704"/>
    <w:rsid w:val="20144886"/>
    <w:rsid w:val="201E5705"/>
    <w:rsid w:val="20210D51"/>
    <w:rsid w:val="202251F5"/>
    <w:rsid w:val="20234AC9"/>
    <w:rsid w:val="202507AA"/>
    <w:rsid w:val="20270A5D"/>
    <w:rsid w:val="20297421"/>
    <w:rsid w:val="202B07D6"/>
    <w:rsid w:val="202D1DEC"/>
    <w:rsid w:val="202D3756"/>
    <w:rsid w:val="202D76F6"/>
    <w:rsid w:val="202E34EE"/>
    <w:rsid w:val="202E48C1"/>
    <w:rsid w:val="202F346E"/>
    <w:rsid w:val="203171E6"/>
    <w:rsid w:val="203211B0"/>
    <w:rsid w:val="20322F5E"/>
    <w:rsid w:val="203A77B8"/>
    <w:rsid w:val="203B0065"/>
    <w:rsid w:val="203B1E13"/>
    <w:rsid w:val="203E7B55"/>
    <w:rsid w:val="20407429"/>
    <w:rsid w:val="20452C91"/>
    <w:rsid w:val="20484530"/>
    <w:rsid w:val="204A474C"/>
    <w:rsid w:val="204D5FEA"/>
    <w:rsid w:val="204D7D98"/>
    <w:rsid w:val="204F3B10"/>
    <w:rsid w:val="20501A87"/>
    <w:rsid w:val="20541126"/>
    <w:rsid w:val="205630F0"/>
    <w:rsid w:val="20566C4C"/>
    <w:rsid w:val="205A0A0D"/>
    <w:rsid w:val="205E1FA5"/>
    <w:rsid w:val="205F2CA3"/>
    <w:rsid w:val="206016CD"/>
    <w:rsid w:val="20601879"/>
    <w:rsid w:val="20653333"/>
    <w:rsid w:val="206550E2"/>
    <w:rsid w:val="20661027"/>
    <w:rsid w:val="20664508"/>
    <w:rsid w:val="20671BE0"/>
    <w:rsid w:val="20685E17"/>
    <w:rsid w:val="20686980"/>
    <w:rsid w:val="206A6B9C"/>
    <w:rsid w:val="20713A86"/>
    <w:rsid w:val="20724B38"/>
    <w:rsid w:val="20743577"/>
    <w:rsid w:val="20746C50"/>
    <w:rsid w:val="207673DB"/>
    <w:rsid w:val="2077343C"/>
    <w:rsid w:val="207812B9"/>
    <w:rsid w:val="20796DDF"/>
    <w:rsid w:val="207B4905"/>
    <w:rsid w:val="207D067D"/>
    <w:rsid w:val="207D242B"/>
    <w:rsid w:val="20810627"/>
    <w:rsid w:val="20817F35"/>
    <w:rsid w:val="208270BF"/>
    <w:rsid w:val="20827A42"/>
    <w:rsid w:val="20832C3C"/>
    <w:rsid w:val="20847C5E"/>
    <w:rsid w:val="20874856"/>
    <w:rsid w:val="20875058"/>
    <w:rsid w:val="208843C1"/>
    <w:rsid w:val="208A0FEC"/>
    <w:rsid w:val="208A2D9A"/>
    <w:rsid w:val="208C266E"/>
    <w:rsid w:val="208C5A94"/>
    <w:rsid w:val="208C731F"/>
    <w:rsid w:val="208F6602"/>
    <w:rsid w:val="2093568E"/>
    <w:rsid w:val="20956C07"/>
    <w:rsid w:val="20963CB8"/>
    <w:rsid w:val="20976CDE"/>
    <w:rsid w:val="2099122F"/>
    <w:rsid w:val="20995346"/>
    <w:rsid w:val="209A7F17"/>
    <w:rsid w:val="20A4482A"/>
    <w:rsid w:val="20A57BD4"/>
    <w:rsid w:val="20A7637D"/>
    <w:rsid w:val="20A81A1B"/>
    <w:rsid w:val="20AB3A3F"/>
    <w:rsid w:val="20AB775B"/>
    <w:rsid w:val="20B07FB6"/>
    <w:rsid w:val="20B120D5"/>
    <w:rsid w:val="20B3409F"/>
    <w:rsid w:val="20B47E17"/>
    <w:rsid w:val="20B646FB"/>
    <w:rsid w:val="20B6593D"/>
    <w:rsid w:val="20B816B5"/>
    <w:rsid w:val="20BB11A5"/>
    <w:rsid w:val="20BB2F53"/>
    <w:rsid w:val="20BD4225"/>
    <w:rsid w:val="20BE1BAC"/>
    <w:rsid w:val="20BF728C"/>
    <w:rsid w:val="20C004F1"/>
    <w:rsid w:val="20C04A0E"/>
    <w:rsid w:val="20C067BC"/>
    <w:rsid w:val="20C22534"/>
    <w:rsid w:val="20C704A5"/>
    <w:rsid w:val="20C75D9C"/>
    <w:rsid w:val="20CB68DC"/>
    <w:rsid w:val="20CC5445"/>
    <w:rsid w:val="20CC747B"/>
    <w:rsid w:val="20D12777"/>
    <w:rsid w:val="20D14525"/>
    <w:rsid w:val="20D67D8D"/>
    <w:rsid w:val="20D83B05"/>
    <w:rsid w:val="20D9162C"/>
    <w:rsid w:val="20DA5ACF"/>
    <w:rsid w:val="20DB53A4"/>
    <w:rsid w:val="20E26732"/>
    <w:rsid w:val="20E406FC"/>
    <w:rsid w:val="20E424AA"/>
    <w:rsid w:val="20E444D7"/>
    <w:rsid w:val="20E6220C"/>
    <w:rsid w:val="20E64474"/>
    <w:rsid w:val="20E73203"/>
    <w:rsid w:val="20E73D48"/>
    <w:rsid w:val="20EA3839"/>
    <w:rsid w:val="20EC135F"/>
    <w:rsid w:val="20EC5803"/>
    <w:rsid w:val="20EC6894"/>
    <w:rsid w:val="20ED726E"/>
    <w:rsid w:val="20ED7EC0"/>
    <w:rsid w:val="20EE1616"/>
    <w:rsid w:val="20F36B91"/>
    <w:rsid w:val="20F52909"/>
    <w:rsid w:val="20F63F8C"/>
    <w:rsid w:val="20FB2FA3"/>
    <w:rsid w:val="20FC3C98"/>
    <w:rsid w:val="20FD531A"/>
    <w:rsid w:val="20FF4E74"/>
    <w:rsid w:val="21022930"/>
    <w:rsid w:val="21025026"/>
    <w:rsid w:val="21042B4C"/>
    <w:rsid w:val="21067287"/>
    <w:rsid w:val="2107263D"/>
    <w:rsid w:val="21093D59"/>
    <w:rsid w:val="210A4734"/>
    <w:rsid w:val="210A7A37"/>
    <w:rsid w:val="210C37AF"/>
    <w:rsid w:val="211037EA"/>
    <w:rsid w:val="21117017"/>
    <w:rsid w:val="21130FE1"/>
    <w:rsid w:val="21154D5A"/>
    <w:rsid w:val="21170D55"/>
    <w:rsid w:val="211C7E96"/>
    <w:rsid w:val="211D776A"/>
    <w:rsid w:val="211F1734"/>
    <w:rsid w:val="21262AC3"/>
    <w:rsid w:val="212705E9"/>
    <w:rsid w:val="21277429"/>
    <w:rsid w:val="212A46EB"/>
    <w:rsid w:val="212C52DC"/>
    <w:rsid w:val="21354AB4"/>
    <w:rsid w:val="21355D04"/>
    <w:rsid w:val="2136082C"/>
    <w:rsid w:val="213B74B1"/>
    <w:rsid w:val="213C27A9"/>
    <w:rsid w:val="213D7E0C"/>
    <w:rsid w:val="2146615C"/>
    <w:rsid w:val="21466CC1"/>
    <w:rsid w:val="214F23A0"/>
    <w:rsid w:val="214F2DE2"/>
    <w:rsid w:val="21505D92"/>
    <w:rsid w:val="2152522B"/>
    <w:rsid w:val="21543E5D"/>
    <w:rsid w:val="21570ECE"/>
    <w:rsid w:val="215A2310"/>
    <w:rsid w:val="215D04AF"/>
    <w:rsid w:val="215F3821"/>
    <w:rsid w:val="21616461"/>
    <w:rsid w:val="21647076"/>
    <w:rsid w:val="216534CC"/>
    <w:rsid w:val="216929AF"/>
    <w:rsid w:val="216A315E"/>
    <w:rsid w:val="216C24A0"/>
    <w:rsid w:val="216C6FEF"/>
    <w:rsid w:val="217001E2"/>
    <w:rsid w:val="21751354"/>
    <w:rsid w:val="217750CC"/>
    <w:rsid w:val="21777D06"/>
    <w:rsid w:val="217E28FF"/>
    <w:rsid w:val="217F6E19"/>
    <w:rsid w:val="21812E7A"/>
    <w:rsid w:val="21823A71"/>
    <w:rsid w:val="2188552B"/>
    <w:rsid w:val="218B0B78"/>
    <w:rsid w:val="218C47D6"/>
    <w:rsid w:val="218E5D4F"/>
    <w:rsid w:val="21922957"/>
    <w:rsid w:val="21933ED0"/>
    <w:rsid w:val="219537A4"/>
    <w:rsid w:val="2198641B"/>
    <w:rsid w:val="21986530"/>
    <w:rsid w:val="219A0DBB"/>
    <w:rsid w:val="219A525F"/>
    <w:rsid w:val="219F0AC7"/>
    <w:rsid w:val="21A1039B"/>
    <w:rsid w:val="21A40A6E"/>
    <w:rsid w:val="21A460DD"/>
    <w:rsid w:val="21A606D7"/>
    <w:rsid w:val="21A63D96"/>
    <w:rsid w:val="21AD4F92"/>
    <w:rsid w:val="21AF0442"/>
    <w:rsid w:val="21B04A82"/>
    <w:rsid w:val="21B10818"/>
    <w:rsid w:val="21B17FE2"/>
    <w:rsid w:val="21B24356"/>
    <w:rsid w:val="21BA320B"/>
    <w:rsid w:val="21BB2D5A"/>
    <w:rsid w:val="21BC3427"/>
    <w:rsid w:val="21C04B84"/>
    <w:rsid w:val="21C347B6"/>
    <w:rsid w:val="21C5052E"/>
    <w:rsid w:val="21C67161"/>
    <w:rsid w:val="21C72A3E"/>
    <w:rsid w:val="21C80FDC"/>
    <w:rsid w:val="21D544E9"/>
    <w:rsid w:val="21D70261"/>
    <w:rsid w:val="21D95D87"/>
    <w:rsid w:val="21DC13D3"/>
    <w:rsid w:val="21DE15EF"/>
    <w:rsid w:val="21DE318A"/>
    <w:rsid w:val="21DF2C72"/>
    <w:rsid w:val="21DF308D"/>
    <w:rsid w:val="21E309B4"/>
    <w:rsid w:val="21E93AF0"/>
    <w:rsid w:val="21EC425E"/>
    <w:rsid w:val="21EF5B80"/>
    <w:rsid w:val="21F04E7F"/>
    <w:rsid w:val="21F94D1F"/>
    <w:rsid w:val="21FA5CFD"/>
    <w:rsid w:val="2201708C"/>
    <w:rsid w:val="22034BB2"/>
    <w:rsid w:val="22056B7C"/>
    <w:rsid w:val="2208666C"/>
    <w:rsid w:val="220A4192"/>
    <w:rsid w:val="220B1A78"/>
    <w:rsid w:val="220D043F"/>
    <w:rsid w:val="220D5A31"/>
    <w:rsid w:val="220F17A9"/>
    <w:rsid w:val="221072CF"/>
    <w:rsid w:val="22124DF5"/>
    <w:rsid w:val="22124FE4"/>
    <w:rsid w:val="22146DBF"/>
    <w:rsid w:val="22182566"/>
    <w:rsid w:val="22194171"/>
    <w:rsid w:val="222114DC"/>
    <w:rsid w:val="22213954"/>
    <w:rsid w:val="22244B28"/>
    <w:rsid w:val="22252D7A"/>
    <w:rsid w:val="22274D44"/>
    <w:rsid w:val="22280ABD"/>
    <w:rsid w:val="222B5EB7"/>
    <w:rsid w:val="222F1E4B"/>
    <w:rsid w:val="223700F7"/>
    <w:rsid w:val="2239018F"/>
    <w:rsid w:val="22401962"/>
    <w:rsid w:val="2240793E"/>
    <w:rsid w:val="2241392C"/>
    <w:rsid w:val="22456F79"/>
    <w:rsid w:val="22486A69"/>
    <w:rsid w:val="224F66C7"/>
    <w:rsid w:val="2251554A"/>
    <w:rsid w:val="225278E7"/>
    <w:rsid w:val="22543660"/>
    <w:rsid w:val="22552488"/>
    <w:rsid w:val="2256370D"/>
    <w:rsid w:val="22576990"/>
    <w:rsid w:val="225A426B"/>
    <w:rsid w:val="225D0766"/>
    <w:rsid w:val="22600256"/>
    <w:rsid w:val="2262082B"/>
    <w:rsid w:val="2265761B"/>
    <w:rsid w:val="226736A1"/>
    <w:rsid w:val="2268710B"/>
    <w:rsid w:val="226A69DF"/>
    <w:rsid w:val="226C0F0D"/>
    <w:rsid w:val="226E2973"/>
    <w:rsid w:val="22711B4B"/>
    <w:rsid w:val="22712CF4"/>
    <w:rsid w:val="22715FC0"/>
    <w:rsid w:val="22790FAD"/>
    <w:rsid w:val="227A69DA"/>
    <w:rsid w:val="227B6E3E"/>
    <w:rsid w:val="22806203"/>
    <w:rsid w:val="22812EA5"/>
    <w:rsid w:val="22861367"/>
    <w:rsid w:val="22864680"/>
    <w:rsid w:val="228B08AF"/>
    <w:rsid w:val="228E4DC3"/>
    <w:rsid w:val="228F60C3"/>
    <w:rsid w:val="22905161"/>
    <w:rsid w:val="22910410"/>
    <w:rsid w:val="2293593A"/>
    <w:rsid w:val="22937EF8"/>
    <w:rsid w:val="229536BA"/>
    <w:rsid w:val="22962F1E"/>
    <w:rsid w:val="2296771B"/>
    <w:rsid w:val="2297354C"/>
    <w:rsid w:val="229824AD"/>
    <w:rsid w:val="229C4054"/>
    <w:rsid w:val="229E46EA"/>
    <w:rsid w:val="229E48DB"/>
    <w:rsid w:val="229F1B2B"/>
    <w:rsid w:val="22A04AF7"/>
    <w:rsid w:val="22A1339E"/>
    <w:rsid w:val="22A3088F"/>
    <w:rsid w:val="22A31981"/>
    <w:rsid w:val="22AA14D2"/>
    <w:rsid w:val="22AA7723"/>
    <w:rsid w:val="22AC2B5D"/>
    <w:rsid w:val="22B20C7A"/>
    <w:rsid w:val="22B35470"/>
    <w:rsid w:val="22B814DB"/>
    <w:rsid w:val="22B95D7B"/>
    <w:rsid w:val="22C24A6D"/>
    <w:rsid w:val="22C41D8D"/>
    <w:rsid w:val="22C73E32"/>
    <w:rsid w:val="22CA3922"/>
    <w:rsid w:val="22CB0527"/>
    <w:rsid w:val="22CC769A"/>
    <w:rsid w:val="22D447A0"/>
    <w:rsid w:val="22D64075"/>
    <w:rsid w:val="22D7213E"/>
    <w:rsid w:val="22DA1DB7"/>
    <w:rsid w:val="22DE117B"/>
    <w:rsid w:val="22DF561F"/>
    <w:rsid w:val="22E024E9"/>
    <w:rsid w:val="22E04EF3"/>
    <w:rsid w:val="22E20469"/>
    <w:rsid w:val="22E5250A"/>
    <w:rsid w:val="22E569AE"/>
    <w:rsid w:val="22E744D4"/>
    <w:rsid w:val="22E91FFA"/>
    <w:rsid w:val="22EA7B20"/>
    <w:rsid w:val="22EB66BE"/>
    <w:rsid w:val="22F46BD8"/>
    <w:rsid w:val="22F47480"/>
    <w:rsid w:val="22F66958"/>
    <w:rsid w:val="22F95FB5"/>
    <w:rsid w:val="22FC1B1D"/>
    <w:rsid w:val="23005595"/>
    <w:rsid w:val="23016DB6"/>
    <w:rsid w:val="23041092"/>
    <w:rsid w:val="230839BF"/>
    <w:rsid w:val="230961F8"/>
    <w:rsid w:val="230C7A96"/>
    <w:rsid w:val="230D0AB1"/>
    <w:rsid w:val="230E7CB2"/>
    <w:rsid w:val="230F7587"/>
    <w:rsid w:val="231132FF"/>
    <w:rsid w:val="23113827"/>
    <w:rsid w:val="23122559"/>
    <w:rsid w:val="231568CE"/>
    <w:rsid w:val="23166AD4"/>
    <w:rsid w:val="23166B67"/>
    <w:rsid w:val="23184B1A"/>
    <w:rsid w:val="231860A1"/>
    <w:rsid w:val="2318643B"/>
    <w:rsid w:val="231D1CA3"/>
    <w:rsid w:val="23203542"/>
    <w:rsid w:val="23205AE3"/>
    <w:rsid w:val="232144AA"/>
    <w:rsid w:val="23241049"/>
    <w:rsid w:val="23244DE0"/>
    <w:rsid w:val="23250B58"/>
    <w:rsid w:val="232610F0"/>
    <w:rsid w:val="23294AEC"/>
    <w:rsid w:val="232A6D75"/>
    <w:rsid w:val="232C0139"/>
    <w:rsid w:val="232C638A"/>
    <w:rsid w:val="232F0909"/>
    <w:rsid w:val="232F19D7"/>
    <w:rsid w:val="23302BE7"/>
    <w:rsid w:val="23306766"/>
    <w:rsid w:val="2334004B"/>
    <w:rsid w:val="23344974"/>
    <w:rsid w:val="23344B38"/>
    <w:rsid w:val="23357D13"/>
    <w:rsid w:val="233C34DF"/>
    <w:rsid w:val="233D51EB"/>
    <w:rsid w:val="2342795C"/>
    <w:rsid w:val="23452FA8"/>
    <w:rsid w:val="23476D20"/>
    <w:rsid w:val="23492A98"/>
    <w:rsid w:val="23496F3C"/>
    <w:rsid w:val="234B4A63"/>
    <w:rsid w:val="234E6DF2"/>
    <w:rsid w:val="2350316D"/>
    <w:rsid w:val="235558E1"/>
    <w:rsid w:val="235651B5"/>
    <w:rsid w:val="23597A57"/>
    <w:rsid w:val="235A4CA6"/>
    <w:rsid w:val="235D02F2"/>
    <w:rsid w:val="235F70F5"/>
    <w:rsid w:val="23614286"/>
    <w:rsid w:val="23621DAC"/>
    <w:rsid w:val="23671B57"/>
    <w:rsid w:val="236830D0"/>
    <w:rsid w:val="236A7C99"/>
    <w:rsid w:val="236B0C61"/>
    <w:rsid w:val="236B7878"/>
    <w:rsid w:val="236E0751"/>
    <w:rsid w:val="236F726B"/>
    <w:rsid w:val="23720241"/>
    <w:rsid w:val="237613B4"/>
    <w:rsid w:val="23762DA2"/>
    <w:rsid w:val="23764185"/>
    <w:rsid w:val="23767606"/>
    <w:rsid w:val="238241FC"/>
    <w:rsid w:val="23825FAA"/>
    <w:rsid w:val="2383244E"/>
    <w:rsid w:val="23853BE3"/>
    <w:rsid w:val="238735C1"/>
    <w:rsid w:val="239006C7"/>
    <w:rsid w:val="23922691"/>
    <w:rsid w:val="23931F66"/>
    <w:rsid w:val="23953F30"/>
    <w:rsid w:val="23955CDE"/>
    <w:rsid w:val="239D2DE4"/>
    <w:rsid w:val="23A10B26"/>
    <w:rsid w:val="23A416ED"/>
    <w:rsid w:val="23A46F6A"/>
    <w:rsid w:val="23A6188A"/>
    <w:rsid w:val="23A928D9"/>
    <w:rsid w:val="23AB5501"/>
    <w:rsid w:val="23B1063E"/>
    <w:rsid w:val="23B15503"/>
    <w:rsid w:val="23B23B5F"/>
    <w:rsid w:val="23B4085A"/>
    <w:rsid w:val="23B51EDC"/>
    <w:rsid w:val="23B75C54"/>
    <w:rsid w:val="23B76226"/>
    <w:rsid w:val="23BA1BE8"/>
    <w:rsid w:val="23BC14BC"/>
    <w:rsid w:val="23BC770E"/>
    <w:rsid w:val="23BF2B98"/>
    <w:rsid w:val="23C0729E"/>
    <w:rsid w:val="23C2284B"/>
    <w:rsid w:val="23C35A13"/>
    <w:rsid w:val="23C93BD9"/>
    <w:rsid w:val="23CB16FF"/>
    <w:rsid w:val="23CB4743"/>
    <w:rsid w:val="23CC4D5A"/>
    <w:rsid w:val="23CD5478"/>
    <w:rsid w:val="23CE1C31"/>
    <w:rsid w:val="23CE7442"/>
    <w:rsid w:val="23D528B6"/>
    <w:rsid w:val="23DD3140"/>
    <w:rsid w:val="23DD771C"/>
    <w:rsid w:val="23DE1C48"/>
    <w:rsid w:val="23DF164F"/>
    <w:rsid w:val="23DF33FD"/>
    <w:rsid w:val="23E17175"/>
    <w:rsid w:val="23E427C1"/>
    <w:rsid w:val="23E46C65"/>
    <w:rsid w:val="23E64557"/>
    <w:rsid w:val="23EA427B"/>
    <w:rsid w:val="23EB31FD"/>
    <w:rsid w:val="23EB6DA1"/>
    <w:rsid w:val="23EC2B8F"/>
    <w:rsid w:val="23ED06F5"/>
    <w:rsid w:val="23ED4E98"/>
    <w:rsid w:val="23EF5C64"/>
    <w:rsid w:val="23F944BF"/>
    <w:rsid w:val="23FF584D"/>
    <w:rsid w:val="240210CD"/>
    <w:rsid w:val="24030E16"/>
    <w:rsid w:val="240575E5"/>
    <w:rsid w:val="24062738"/>
    <w:rsid w:val="24065841"/>
    <w:rsid w:val="24066BDB"/>
    <w:rsid w:val="24082954"/>
    <w:rsid w:val="24091CE0"/>
    <w:rsid w:val="24092228"/>
    <w:rsid w:val="240D3AC6"/>
    <w:rsid w:val="240F3CE2"/>
    <w:rsid w:val="241237D2"/>
    <w:rsid w:val="24174D49"/>
    <w:rsid w:val="241906BD"/>
    <w:rsid w:val="241B3082"/>
    <w:rsid w:val="241C63FF"/>
    <w:rsid w:val="241E3F25"/>
    <w:rsid w:val="242157C3"/>
    <w:rsid w:val="24223821"/>
    <w:rsid w:val="24230E33"/>
    <w:rsid w:val="24236224"/>
    <w:rsid w:val="242805EF"/>
    <w:rsid w:val="24280900"/>
    <w:rsid w:val="24287A50"/>
    <w:rsid w:val="242B58EF"/>
    <w:rsid w:val="24337CEA"/>
    <w:rsid w:val="243C25FD"/>
    <w:rsid w:val="243F3E9B"/>
    <w:rsid w:val="244135E2"/>
    <w:rsid w:val="24415E66"/>
    <w:rsid w:val="244514B2"/>
    <w:rsid w:val="24457704"/>
    <w:rsid w:val="2446347C"/>
    <w:rsid w:val="24480FA2"/>
    <w:rsid w:val="24491954"/>
    <w:rsid w:val="244F40DF"/>
    <w:rsid w:val="24521E21"/>
    <w:rsid w:val="2455546D"/>
    <w:rsid w:val="24575689"/>
    <w:rsid w:val="245931AF"/>
    <w:rsid w:val="24635DDC"/>
    <w:rsid w:val="246E3E6F"/>
    <w:rsid w:val="246F1FD7"/>
    <w:rsid w:val="246F27F5"/>
    <w:rsid w:val="2472601F"/>
    <w:rsid w:val="24743B45"/>
    <w:rsid w:val="24747FE9"/>
    <w:rsid w:val="24771887"/>
    <w:rsid w:val="247753E3"/>
    <w:rsid w:val="247863AB"/>
    <w:rsid w:val="24792C9E"/>
    <w:rsid w:val="247A16C5"/>
    <w:rsid w:val="247B3126"/>
    <w:rsid w:val="247C6455"/>
    <w:rsid w:val="2480698E"/>
    <w:rsid w:val="2483647E"/>
    <w:rsid w:val="24841FFA"/>
    <w:rsid w:val="24877D1C"/>
    <w:rsid w:val="248C335D"/>
    <w:rsid w:val="248D2E59"/>
    <w:rsid w:val="24997A50"/>
    <w:rsid w:val="249B0281"/>
    <w:rsid w:val="249B0CBF"/>
    <w:rsid w:val="24A10C0D"/>
    <w:rsid w:val="24A10DD2"/>
    <w:rsid w:val="24A611B1"/>
    <w:rsid w:val="24A93B72"/>
    <w:rsid w:val="24A93EDD"/>
    <w:rsid w:val="24AA3D15"/>
    <w:rsid w:val="24AF2DCF"/>
    <w:rsid w:val="24B228BF"/>
    <w:rsid w:val="24B6415E"/>
    <w:rsid w:val="24B77ED6"/>
    <w:rsid w:val="24B85131"/>
    <w:rsid w:val="24BE1264"/>
    <w:rsid w:val="24BE3012"/>
    <w:rsid w:val="24BF09F7"/>
    <w:rsid w:val="24C0322E"/>
    <w:rsid w:val="24C10D89"/>
    <w:rsid w:val="24C525F3"/>
    <w:rsid w:val="24C75E0E"/>
    <w:rsid w:val="24CC1BD3"/>
    <w:rsid w:val="24CC572F"/>
    <w:rsid w:val="24CD14A7"/>
    <w:rsid w:val="24CF3AD2"/>
    <w:rsid w:val="24D171E9"/>
    <w:rsid w:val="24D82326"/>
    <w:rsid w:val="24D96ACF"/>
    <w:rsid w:val="24E10292"/>
    <w:rsid w:val="24E444AE"/>
    <w:rsid w:val="24EE128D"/>
    <w:rsid w:val="24EF3B8A"/>
    <w:rsid w:val="24EF7670"/>
    <w:rsid w:val="24F46A34"/>
    <w:rsid w:val="24F81438"/>
    <w:rsid w:val="24FD7FDE"/>
    <w:rsid w:val="24FF332C"/>
    <w:rsid w:val="24FF3D57"/>
    <w:rsid w:val="25007ACF"/>
    <w:rsid w:val="25033976"/>
    <w:rsid w:val="2504136D"/>
    <w:rsid w:val="25061629"/>
    <w:rsid w:val="250749B9"/>
    <w:rsid w:val="25096983"/>
    <w:rsid w:val="250A44A9"/>
    <w:rsid w:val="250D7AF6"/>
    <w:rsid w:val="25103203"/>
    <w:rsid w:val="25140066"/>
    <w:rsid w:val="25145328"/>
    <w:rsid w:val="251A670D"/>
    <w:rsid w:val="251B47FC"/>
    <w:rsid w:val="251E5D4C"/>
    <w:rsid w:val="252A06A8"/>
    <w:rsid w:val="252B73A7"/>
    <w:rsid w:val="252D53FE"/>
    <w:rsid w:val="25331C52"/>
    <w:rsid w:val="253357AE"/>
    <w:rsid w:val="2533755C"/>
    <w:rsid w:val="253634F0"/>
    <w:rsid w:val="253B28B5"/>
    <w:rsid w:val="253C73E1"/>
    <w:rsid w:val="25406339"/>
    <w:rsid w:val="254259F1"/>
    <w:rsid w:val="25441769"/>
    <w:rsid w:val="25473008"/>
    <w:rsid w:val="2548391D"/>
    <w:rsid w:val="25493224"/>
    <w:rsid w:val="254A2AF8"/>
    <w:rsid w:val="254B6F9C"/>
    <w:rsid w:val="254C4AC2"/>
    <w:rsid w:val="25550C1E"/>
    <w:rsid w:val="255676EF"/>
    <w:rsid w:val="25583467"/>
    <w:rsid w:val="255A5461"/>
    <w:rsid w:val="255B2F57"/>
    <w:rsid w:val="255F47F5"/>
    <w:rsid w:val="256242E5"/>
    <w:rsid w:val="25626093"/>
    <w:rsid w:val="2565481E"/>
    <w:rsid w:val="25667A05"/>
    <w:rsid w:val="256A67A4"/>
    <w:rsid w:val="256B13EC"/>
    <w:rsid w:val="256E2C8A"/>
    <w:rsid w:val="256E5020"/>
    <w:rsid w:val="256E67E6"/>
    <w:rsid w:val="25733DFD"/>
    <w:rsid w:val="25735BDC"/>
    <w:rsid w:val="25754019"/>
    <w:rsid w:val="25761B3F"/>
    <w:rsid w:val="25780DFE"/>
    <w:rsid w:val="25787665"/>
    <w:rsid w:val="257F6C45"/>
    <w:rsid w:val="2580476C"/>
    <w:rsid w:val="258129BE"/>
    <w:rsid w:val="258204E4"/>
    <w:rsid w:val="258212E1"/>
    <w:rsid w:val="25836D81"/>
    <w:rsid w:val="25860C22"/>
    <w:rsid w:val="25874A9E"/>
    <w:rsid w:val="258A2FD6"/>
    <w:rsid w:val="258E6E89"/>
    <w:rsid w:val="258E7ABB"/>
    <w:rsid w:val="25900E53"/>
    <w:rsid w:val="25943EAE"/>
    <w:rsid w:val="25951FC5"/>
    <w:rsid w:val="25956469"/>
    <w:rsid w:val="25965D3D"/>
    <w:rsid w:val="25981AB5"/>
    <w:rsid w:val="25996D5A"/>
    <w:rsid w:val="259A3A7F"/>
    <w:rsid w:val="259C15A5"/>
    <w:rsid w:val="259D3570"/>
    <w:rsid w:val="259D7DED"/>
    <w:rsid w:val="259F40A6"/>
    <w:rsid w:val="25A0096A"/>
    <w:rsid w:val="25A03144"/>
    <w:rsid w:val="25A14E0E"/>
    <w:rsid w:val="25A220A9"/>
    <w:rsid w:val="25A22934"/>
    <w:rsid w:val="25A4045A"/>
    <w:rsid w:val="25A641D2"/>
    <w:rsid w:val="25A73154"/>
    <w:rsid w:val="25A91F14"/>
    <w:rsid w:val="25A93CC2"/>
    <w:rsid w:val="25AB17E9"/>
    <w:rsid w:val="25AB3A77"/>
    <w:rsid w:val="25AC730F"/>
    <w:rsid w:val="25AD6345"/>
    <w:rsid w:val="25B14925"/>
    <w:rsid w:val="25B33776"/>
    <w:rsid w:val="25B763DF"/>
    <w:rsid w:val="25B82157"/>
    <w:rsid w:val="25BA5ED0"/>
    <w:rsid w:val="25BC1C48"/>
    <w:rsid w:val="25BD00FE"/>
    <w:rsid w:val="25BD4805"/>
    <w:rsid w:val="25BD73D6"/>
    <w:rsid w:val="25BD776E"/>
    <w:rsid w:val="25C05C24"/>
    <w:rsid w:val="25C1100C"/>
    <w:rsid w:val="25C24D84"/>
    <w:rsid w:val="25C271E7"/>
    <w:rsid w:val="25C6157E"/>
    <w:rsid w:val="25C64874"/>
    <w:rsid w:val="25C94365"/>
    <w:rsid w:val="25CB3688"/>
    <w:rsid w:val="25CD12A2"/>
    <w:rsid w:val="25CD5C03"/>
    <w:rsid w:val="25CE3729"/>
    <w:rsid w:val="25CE54D7"/>
    <w:rsid w:val="25CE6675"/>
    <w:rsid w:val="25D30D3F"/>
    <w:rsid w:val="25D32AED"/>
    <w:rsid w:val="25D9601A"/>
    <w:rsid w:val="25DA0320"/>
    <w:rsid w:val="25DC0BEB"/>
    <w:rsid w:val="25DE1BBE"/>
    <w:rsid w:val="25E20F82"/>
    <w:rsid w:val="25E62821"/>
    <w:rsid w:val="25E87F6B"/>
    <w:rsid w:val="25EB42DB"/>
    <w:rsid w:val="25EC2D81"/>
    <w:rsid w:val="25F25669"/>
    <w:rsid w:val="25F34F3E"/>
    <w:rsid w:val="25F5515A"/>
    <w:rsid w:val="25F62593"/>
    <w:rsid w:val="25F72C80"/>
    <w:rsid w:val="25F74A2E"/>
    <w:rsid w:val="25F809F7"/>
    <w:rsid w:val="25F82554"/>
    <w:rsid w:val="25F91781"/>
    <w:rsid w:val="25F969F8"/>
    <w:rsid w:val="25FD5DBC"/>
    <w:rsid w:val="25FE400E"/>
    <w:rsid w:val="25FF1B34"/>
    <w:rsid w:val="26012E81"/>
    <w:rsid w:val="26013AFE"/>
    <w:rsid w:val="260158AC"/>
    <w:rsid w:val="2604714B"/>
    <w:rsid w:val="260544E4"/>
    <w:rsid w:val="26087307"/>
    <w:rsid w:val="260929B3"/>
    <w:rsid w:val="2610184F"/>
    <w:rsid w:val="26115F4E"/>
    <w:rsid w:val="26120D79"/>
    <w:rsid w:val="26155168"/>
    <w:rsid w:val="26170C2C"/>
    <w:rsid w:val="26171494"/>
    <w:rsid w:val="261D2218"/>
    <w:rsid w:val="261F6035"/>
    <w:rsid w:val="26265313"/>
    <w:rsid w:val="26267F98"/>
    <w:rsid w:val="262C1176"/>
    <w:rsid w:val="262C35EF"/>
    <w:rsid w:val="262C61A6"/>
    <w:rsid w:val="262D304D"/>
    <w:rsid w:val="262E5F76"/>
    <w:rsid w:val="26321F0A"/>
    <w:rsid w:val="26341C05"/>
    <w:rsid w:val="26355556"/>
    <w:rsid w:val="26395046"/>
    <w:rsid w:val="263C4B36"/>
    <w:rsid w:val="264056AC"/>
    <w:rsid w:val="26414594"/>
    <w:rsid w:val="26437C73"/>
    <w:rsid w:val="26445799"/>
    <w:rsid w:val="26451C3D"/>
    <w:rsid w:val="26467763"/>
    <w:rsid w:val="26485289"/>
    <w:rsid w:val="264D0AF2"/>
    <w:rsid w:val="264D30A2"/>
    <w:rsid w:val="264D464E"/>
    <w:rsid w:val="264E519F"/>
    <w:rsid w:val="265527FC"/>
    <w:rsid w:val="265754CC"/>
    <w:rsid w:val="265A6D6B"/>
    <w:rsid w:val="265B50F2"/>
    <w:rsid w:val="265C0D35"/>
    <w:rsid w:val="265E0CC2"/>
    <w:rsid w:val="265F14A3"/>
    <w:rsid w:val="266940DE"/>
    <w:rsid w:val="266B4E43"/>
    <w:rsid w:val="26720558"/>
    <w:rsid w:val="26743AD6"/>
    <w:rsid w:val="26746C89"/>
    <w:rsid w:val="26747E2C"/>
    <w:rsid w:val="267511C1"/>
    <w:rsid w:val="26760048"/>
    <w:rsid w:val="26760499"/>
    <w:rsid w:val="267838A4"/>
    <w:rsid w:val="267A11BB"/>
    <w:rsid w:val="267F0A80"/>
    <w:rsid w:val="2685028B"/>
    <w:rsid w:val="268564DD"/>
    <w:rsid w:val="26865DB2"/>
    <w:rsid w:val="268818DC"/>
    <w:rsid w:val="26881B2A"/>
    <w:rsid w:val="268842A2"/>
    <w:rsid w:val="26887D7C"/>
    <w:rsid w:val="268A6D0C"/>
    <w:rsid w:val="268D7140"/>
    <w:rsid w:val="268E37D0"/>
    <w:rsid w:val="26924756"/>
    <w:rsid w:val="26961D17"/>
    <w:rsid w:val="26961EDB"/>
    <w:rsid w:val="26971D6D"/>
    <w:rsid w:val="26971E09"/>
    <w:rsid w:val="269721FF"/>
    <w:rsid w:val="26993E2E"/>
    <w:rsid w:val="269F0C21"/>
    <w:rsid w:val="26A37FEB"/>
    <w:rsid w:val="26A526DC"/>
    <w:rsid w:val="26A5448A"/>
    <w:rsid w:val="26A60202"/>
    <w:rsid w:val="26A8223F"/>
    <w:rsid w:val="26AA1AA0"/>
    <w:rsid w:val="26AB52FF"/>
    <w:rsid w:val="26AC3A6A"/>
    <w:rsid w:val="26AD77E2"/>
    <w:rsid w:val="26B134AE"/>
    <w:rsid w:val="26B31B07"/>
    <w:rsid w:val="26B4047C"/>
    <w:rsid w:val="26B47DA6"/>
    <w:rsid w:val="26B5091A"/>
    <w:rsid w:val="26B74F7E"/>
    <w:rsid w:val="26B80661"/>
    <w:rsid w:val="26BD4622"/>
    <w:rsid w:val="26C16DEA"/>
    <w:rsid w:val="26C4386A"/>
    <w:rsid w:val="26C62652"/>
    <w:rsid w:val="26C64400"/>
    <w:rsid w:val="26CF5B70"/>
    <w:rsid w:val="26D27249"/>
    <w:rsid w:val="26D42FC1"/>
    <w:rsid w:val="26D46B1D"/>
    <w:rsid w:val="26D7485F"/>
    <w:rsid w:val="26D85306"/>
    <w:rsid w:val="26DB2141"/>
    <w:rsid w:val="26DE174A"/>
    <w:rsid w:val="26DE6C18"/>
    <w:rsid w:val="26E34FB2"/>
    <w:rsid w:val="26E72A47"/>
    <w:rsid w:val="26EA00EF"/>
    <w:rsid w:val="26EC0FAA"/>
    <w:rsid w:val="26EF0376"/>
    <w:rsid w:val="26EF052C"/>
    <w:rsid w:val="26F241DE"/>
    <w:rsid w:val="26F617E0"/>
    <w:rsid w:val="26F64CE5"/>
    <w:rsid w:val="26F7280B"/>
    <w:rsid w:val="26F7456D"/>
    <w:rsid w:val="26F907FB"/>
    <w:rsid w:val="26FB45C4"/>
    <w:rsid w:val="26FC7E22"/>
    <w:rsid w:val="26FD374B"/>
    <w:rsid w:val="270311B0"/>
    <w:rsid w:val="27035654"/>
    <w:rsid w:val="270513CC"/>
    <w:rsid w:val="27051B03"/>
    <w:rsid w:val="2705317A"/>
    <w:rsid w:val="27095934"/>
    <w:rsid w:val="270A253F"/>
    <w:rsid w:val="270B5D00"/>
    <w:rsid w:val="270C3E08"/>
    <w:rsid w:val="270C59B5"/>
    <w:rsid w:val="270D202F"/>
    <w:rsid w:val="270F3FF9"/>
    <w:rsid w:val="271105C8"/>
    <w:rsid w:val="27127645"/>
    <w:rsid w:val="27135897"/>
    <w:rsid w:val="271414AB"/>
    <w:rsid w:val="2714160F"/>
    <w:rsid w:val="271635D9"/>
    <w:rsid w:val="27174C5C"/>
    <w:rsid w:val="27181100"/>
    <w:rsid w:val="27190A70"/>
    <w:rsid w:val="271C2272"/>
    <w:rsid w:val="27207561"/>
    <w:rsid w:val="272464E1"/>
    <w:rsid w:val="27247AA4"/>
    <w:rsid w:val="27250A4C"/>
    <w:rsid w:val="2725381D"/>
    <w:rsid w:val="27271343"/>
    <w:rsid w:val="272A0E33"/>
    <w:rsid w:val="272A6E20"/>
    <w:rsid w:val="272D447F"/>
    <w:rsid w:val="272E26D1"/>
    <w:rsid w:val="272F1FA5"/>
    <w:rsid w:val="273D0B66"/>
    <w:rsid w:val="273D2914"/>
    <w:rsid w:val="27402404"/>
    <w:rsid w:val="27436777"/>
    <w:rsid w:val="2746618D"/>
    <w:rsid w:val="27470A00"/>
    <w:rsid w:val="27473793"/>
    <w:rsid w:val="27483067"/>
    <w:rsid w:val="2749585F"/>
    <w:rsid w:val="274C5FB3"/>
    <w:rsid w:val="275E288B"/>
    <w:rsid w:val="275F557D"/>
    <w:rsid w:val="27624415"/>
    <w:rsid w:val="276577D5"/>
    <w:rsid w:val="276854B7"/>
    <w:rsid w:val="27693709"/>
    <w:rsid w:val="276A46FA"/>
    <w:rsid w:val="276C4FA7"/>
    <w:rsid w:val="277057A2"/>
    <w:rsid w:val="27724D2D"/>
    <w:rsid w:val="27725098"/>
    <w:rsid w:val="2773480C"/>
    <w:rsid w:val="277B343D"/>
    <w:rsid w:val="277B51EB"/>
    <w:rsid w:val="277B5D3F"/>
    <w:rsid w:val="277F117F"/>
    <w:rsid w:val="27806CA5"/>
    <w:rsid w:val="27822A1D"/>
    <w:rsid w:val="278247CB"/>
    <w:rsid w:val="27826579"/>
    <w:rsid w:val="278422F1"/>
    <w:rsid w:val="27846795"/>
    <w:rsid w:val="27856069"/>
    <w:rsid w:val="27912C60"/>
    <w:rsid w:val="279664C8"/>
    <w:rsid w:val="27983944"/>
    <w:rsid w:val="27983FEE"/>
    <w:rsid w:val="279D33B3"/>
    <w:rsid w:val="279D5271"/>
    <w:rsid w:val="279F712B"/>
    <w:rsid w:val="27A43DC3"/>
    <w:rsid w:val="27A460F5"/>
    <w:rsid w:val="27A6171B"/>
    <w:rsid w:val="27AC1848"/>
    <w:rsid w:val="27B22717"/>
    <w:rsid w:val="27B23302"/>
    <w:rsid w:val="27B40F5F"/>
    <w:rsid w:val="27B5694E"/>
    <w:rsid w:val="27B626C7"/>
    <w:rsid w:val="27B64475"/>
    <w:rsid w:val="27B801ED"/>
    <w:rsid w:val="27BB051C"/>
    <w:rsid w:val="27C22E19"/>
    <w:rsid w:val="27C364E2"/>
    <w:rsid w:val="27C60B5C"/>
    <w:rsid w:val="27C748D4"/>
    <w:rsid w:val="27C957AB"/>
    <w:rsid w:val="27CB2730"/>
    <w:rsid w:val="27CC5A46"/>
    <w:rsid w:val="27D112AE"/>
    <w:rsid w:val="27D25752"/>
    <w:rsid w:val="27D35027"/>
    <w:rsid w:val="27D668C5"/>
    <w:rsid w:val="27D72D69"/>
    <w:rsid w:val="27DA63B5"/>
    <w:rsid w:val="27DC212D"/>
    <w:rsid w:val="27DD40F7"/>
    <w:rsid w:val="27DF5779"/>
    <w:rsid w:val="27E2170E"/>
    <w:rsid w:val="27E2526A"/>
    <w:rsid w:val="27E50A60"/>
    <w:rsid w:val="27E77793"/>
    <w:rsid w:val="27EB05C2"/>
    <w:rsid w:val="27EB4EDE"/>
    <w:rsid w:val="27EB5C8B"/>
    <w:rsid w:val="27EE00B2"/>
    <w:rsid w:val="27EE3C0E"/>
    <w:rsid w:val="27F33914"/>
    <w:rsid w:val="27F356C9"/>
    <w:rsid w:val="27F54F9D"/>
    <w:rsid w:val="27F95320"/>
    <w:rsid w:val="27FA0805"/>
    <w:rsid w:val="28041684"/>
    <w:rsid w:val="28071C4F"/>
    <w:rsid w:val="28074CD0"/>
    <w:rsid w:val="280B44BC"/>
    <w:rsid w:val="280F4778"/>
    <w:rsid w:val="28100718"/>
    <w:rsid w:val="2810627B"/>
    <w:rsid w:val="28153891"/>
    <w:rsid w:val="281806F1"/>
    <w:rsid w:val="281C4C20"/>
    <w:rsid w:val="281F201A"/>
    <w:rsid w:val="281F2A9C"/>
    <w:rsid w:val="28212236"/>
    <w:rsid w:val="28235FAE"/>
    <w:rsid w:val="28246B07"/>
    <w:rsid w:val="282633A8"/>
    <w:rsid w:val="282910EA"/>
    <w:rsid w:val="282B4E63"/>
    <w:rsid w:val="282D05AA"/>
    <w:rsid w:val="2830203E"/>
    <w:rsid w:val="28321D4D"/>
    <w:rsid w:val="28341F69"/>
    <w:rsid w:val="283811BC"/>
    <w:rsid w:val="284042E0"/>
    <w:rsid w:val="28416434"/>
    <w:rsid w:val="284303FE"/>
    <w:rsid w:val="28463A4A"/>
    <w:rsid w:val="284716F2"/>
    <w:rsid w:val="28476006"/>
    <w:rsid w:val="284A00B6"/>
    <w:rsid w:val="284C3915"/>
    <w:rsid w:val="284E0B51"/>
    <w:rsid w:val="284E59A3"/>
    <w:rsid w:val="285048C9"/>
    <w:rsid w:val="28520495"/>
    <w:rsid w:val="285223EF"/>
    <w:rsid w:val="28531034"/>
    <w:rsid w:val="28550131"/>
    <w:rsid w:val="28551EE0"/>
    <w:rsid w:val="28562B5B"/>
    <w:rsid w:val="2858552C"/>
    <w:rsid w:val="285939E6"/>
    <w:rsid w:val="28594272"/>
    <w:rsid w:val="285945DE"/>
    <w:rsid w:val="285B737A"/>
    <w:rsid w:val="285C326E"/>
    <w:rsid w:val="285F2D5E"/>
    <w:rsid w:val="2863136D"/>
    <w:rsid w:val="28643ED1"/>
    <w:rsid w:val="28655BFD"/>
    <w:rsid w:val="28675388"/>
    <w:rsid w:val="28677614"/>
    <w:rsid w:val="28687E65"/>
    <w:rsid w:val="28694820"/>
    <w:rsid w:val="286B1703"/>
    <w:rsid w:val="286B525F"/>
    <w:rsid w:val="28703ACC"/>
    <w:rsid w:val="28715905"/>
    <w:rsid w:val="28722A91"/>
    <w:rsid w:val="287A1946"/>
    <w:rsid w:val="287C121A"/>
    <w:rsid w:val="287D218E"/>
    <w:rsid w:val="287E0F5C"/>
    <w:rsid w:val="287E31E4"/>
    <w:rsid w:val="287F0D0A"/>
    <w:rsid w:val="287F6F5C"/>
    <w:rsid w:val="28801FE8"/>
    <w:rsid w:val="2882146F"/>
    <w:rsid w:val="28827CF6"/>
    <w:rsid w:val="28831186"/>
    <w:rsid w:val="288523D1"/>
    <w:rsid w:val="2886653D"/>
    <w:rsid w:val="288672EE"/>
    <w:rsid w:val="28884063"/>
    <w:rsid w:val="28885E11"/>
    <w:rsid w:val="28902F18"/>
    <w:rsid w:val="28904CC6"/>
    <w:rsid w:val="28942A08"/>
    <w:rsid w:val="28943227"/>
    <w:rsid w:val="28976054"/>
    <w:rsid w:val="289A5B44"/>
    <w:rsid w:val="289B1FE8"/>
    <w:rsid w:val="289C089D"/>
    <w:rsid w:val="289C74AE"/>
    <w:rsid w:val="289E3886"/>
    <w:rsid w:val="28A075FF"/>
    <w:rsid w:val="28A36CB5"/>
    <w:rsid w:val="28A56B9A"/>
    <w:rsid w:val="28AC5FA3"/>
    <w:rsid w:val="28B07116"/>
    <w:rsid w:val="28B16468"/>
    <w:rsid w:val="28B409B4"/>
    <w:rsid w:val="28B9246E"/>
    <w:rsid w:val="28BB61E6"/>
    <w:rsid w:val="28BC3D0D"/>
    <w:rsid w:val="28BF3FDA"/>
    <w:rsid w:val="28BF6361"/>
    <w:rsid w:val="28C42085"/>
    <w:rsid w:val="28C64B8B"/>
    <w:rsid w:val="28C76D25"/>
    <w:rsid w:val="28C77B6A"/>
    <w:rsid w:val="28CA642A"/>
    <w:rsid w:val="28CF517E"/>
    <w:rsid w:val="28D34DC7"/>
    <w:rsid w:val="28D545CD"/>
    <w:rsid w:val="28D728F5"/>
    <w:rsid w:val="28D9666D"/>
    <w:rsid w:val="28DB0637"/>
    <w:rsid w:val="28DE70CF"/>
    <w:rsid w:val="28DF6BE8"/>
    <w:rsid w:val="28E36FAE"/>
    <w:rsid w:val="28E514B5"/>
    <w:rsid w:val="28E62B38"/>
    <w:rsid w:val="28E817DD"/>
    <w:rsid w:val="28E979F3"/>
    <w:rsid w:val="28EC760A"/>
    <w:rsid w:val="28F11087"/>
    <w:rsid w:val="28F17E5A"/>
    <w:rsid w:val="28F214DC"/>
    <w:rsid w:val="28F33BD2"/>
    <w:rsid w:val="28F434A6"/>
    <w:rsid w:val="28F50017"/>
    <w:rsid w:val="28F72F97"/>
    <w:rsid w:val="28F90ABD"/>
    <w:rsid w:val="28FA43F5"/>
    <w:rsid w:val="28FB2A87"/>
    <w:rsid w:val="28FB65E3"/>
    <w:rsid w:val="28FE331F"/>
    <w:rsid w:val="28FE60D3"/>
    <w:rsid w:val="2900009D"/>
    <w:rsid w:val="29003BF9"/>
    <w:rsid w:val="29017971"/>
    <w:rsid w:val="29023E15"/>
    <w:rsid w:val="290703C0"/>
    <w:rsid w:val="2907142C"/>
    <w:rsid w:val="290A0F1C"/>
    <w:rsid w:val="290C6A42"/>
    <w:rsid w:val="290D4568"/>
    <w:rsid w:val="29161FA6"/>
    <w:rsid w:val="2917171A"/>
    <w:rsid w:val="291833B1"/>
    <w:rsid w:val="291E6775"/>
    <w:rsid w:val="29206EB8"/>
    <w:rsid w:val="29211DC2"/>
    <w:rsid w:val="29220014"/>
    <w:rsid w:val="29234D3B"/>
    <w:rsid w:val="2927562A"/>
    <w:rsid w:val="292A208E"/>
    <w:rsid w:val="292A336C"/>
    <w:rsid w:val="292C2C40"/>
    <w:rsid w:val="292D0766"/>
    <w:rsid w:val="292E4C0A"/>
    <w:rsid w:val="292F44DF"/>
    <w:rsid w:val="29312005"/>
    <w:rsid w:val="293164A9"/>
    <w:rsid w:val="293715E5"/>
    <w:rsid w:val="293F112D"/>
    <w:rsid w:val="29400691"/>
    <w:rsid w:val="294066EC"/>
    <w:rsid w:val="29451F54"/>
    <w:rsid w:val="29455AB0"/>
    <w:rsid w:val="294C32E2"/>
    <w:rsid w:val="295126A7"/>
    <w:rsid w:val="29535AE8"/>
    <w:rsid w:val="29567CBD"/>
    <w:rsid w:val="29595666"/>
    <w:rsid w:val="295D00EB"/>
    <w:rsid w:val="295D104C"/>
    <w:rsid w:val="295D54F0"/>
    <w:rsid w:val="295E61D7"/>
    <w:rsid w:val="295F542A"/>
    <w:rsid w:val="295F5795"/>
    <w:rsid w:val="2960326E"/>
    <w:rsid w:val="296049E8"/>
    <w:rsid w:val="296248B4"/>
    <w:rsid w:val="29671ECA"/>
    <w:rsid w:val="296C128F"/>
    <w:rsid w:val="296E1A34"/>
    <w:rsid w:val="296E3259"/>
    <w:rsid w:val="29736AC1"/>
    <w:rsid w:val="297A4F87"/>
    <w:rsid w:val="297D349C"/>
    <w:rsid w:val="297E036A"/>
    <w:rsid w:val="297E0DAB"/>
    <w:rsid w:val="297F5466"/>
    <w:rsid w:val="29826D04"/>
    <w:rsid w:val="29830BB3"/>
    <w:rsid w:val="29852351"/>
    <w:rsid w:val="29874881"/>
    <w:rsid w:val="298A66CF"/>
    <w:rsid w:val="298B4180"/>
    <w:rsid w:val="298B4A0C"/>
    <w:rsid w:val="298D2626"/>
    <w:rsid w:val="298D2B47"/>
    <w:rsid w:val="298F1421"/>
    <w:rsid w:val="29962751"/>
    <w:rsid w:val="29967194"/>
    <w:rsid w:val="299A6286"/>
    <w:rsid w:val="29A053DC"/>
    <w:rsid w:val="29A44ECD"/>
    <w:rsid w:val="29A547A1"/>
    <w:rsid w:val="29A7420A"/>
    <w:rsid w:val="29A94291"/>
    <w:rsid w:val="29AC3D89"/>
    <w:rsid w:val="29AC7FF1"/>
    <w:rsid w:val="29AE5D4B"/>
    <w:rsid w:val="29AE7AF9"/>
    <w:rsid w:val="29AF73CD"/>
    <w:rsid w:val="29B017DF"/>
    <w:rsid w:val="29B03871"/>
    <w:rsid w:val="29B35110"/>
    <w:rsid w:val="29B6075C"/>
    <w:rsid w:val="29B727FF"/>
    <w:rsid w:val="29B83B80"/>
    <w:rsid w:val="29BA46F0"/>
    <w:rsid w:val="29BD1AEA"/>
    <w:rsid w:val="29BD5F8E"/>
    <w:rsid w:val="29C42E79"/>
    <w:rsid w:val="29C56BF1"/>
    <w:rsid w:val="29C70BBB"/>
    <w:rsid w:val="29C76E0D"/>
    <w:rsid w:val="29CB06AB"/>
    <w:rsid w:val="29D3130E"/>
    <w:rsid w:val="29D477B9"/>
    <w:rsid w:val="29D47CDA"/>
    <w:rsid w:val="29D55086"/>
    <w:rsid w:val="29D65FCB"/>
    <w:rsid w:val="29D86C49"/>
    <w:rsid w:val="29D906E2"/>
    <w:rsid w:val="29E22822"/>
    <w:rsid w:val="29E259F5"/>
    <w:rsid w:val="29E325E0"/>
    <w:rsid w:val="29E3739C"/>
    <w:rsid w:val="29E4351B"/>
    <w:rsid w:val="29E51041"/>
    <w:rsid w:val="29EB2AFB"/>
    <w:rsid w:val="29EE6148"/>
    <w:rsid w:val="29EF33C4"/>
    <w:rsid w:val="29EF3C6E"/>
    <w:rsid w:val="29F145BE"/>
    <w:rsid w:val="29F251A1"/>
    <w:rsid w:val="29F74E0B"/>
    <w:rsid w:val="29F902F0"/>
    <w:rsid w:val="29FA4AED"/>
    <w:rsid w:val="29FF2103"/>
    <w:rsid w:val="29FF65A7"/>
    <w:rsid w:val="2A0066C4"/>
    <w:rsid w:val="2A0140CD"/>
    <w:rsid w:val="2A015401"/>
    <w:rsid w:val="2A021BF3"/>
    <w:rsid w:val="2A025DDB"/>
    <w:rsid w:val="2A027E45"/>
    <w:rsid w:val="2A047719"/>
    <w:rsid w:val="2A0616E3"/>
    <w:rsid w:val="2A0B4F4C"/>
    <w:rsid w:val="2A0D52AD"/>
    <w:rsid w:val="2A0E0598"/>
    <w:rsid w:val="2A0E2346"/>
    <w:rsid w:val="2A102562"/>
    <w:rsid w:val="2A132E42"/>
    <w:rsid w:val="2A187669"/>
    <w:rsid w:val="2A1A0CEB"/>
    <w:rsid w:val="2A1B3136"/>
    <w:rsid w:val="2A1B42F8"/>
    <w:rsid w:val="2A202079"/>
    <w:rsid w:val="2A22039D"/>
    <w:rsid w:val="2A241B69"/>
    <w:rsid w:val="2A24600D"/>
    <w:rsid w:val="2A285421"/>
    <w:rsid w:val="2A2B114A"/>
    <w:rsid w:val="2A2B5E5C"/>
    <w:rsid w:val="2A2C6C70"/>
    <w:rsid w:val="2A375015"/>
    <w:rsid w:val="2A383867"/>
    <w:rsid w:val="2A3873C3"/>
    <w:rsid w:val="2A390483"/>
    <w:rsid w:val="2A3A313B"/>
    <w:rsid w:val="2A3D1C3C"/>
    <w:rsid w:val="2A3D2C2B"/>
    <w:rsid w:val="2A3F341C"/>
    <w:rsid w:val="2A3F35DE"/>
    <w:rsid w:val="2A4346E5"/>
    <w:rsid w:val="2A446AAD"/>
    <w:rsid w:val="2A452503"/>
    <w:rsid w:val="2A460026"/>
    <w:rsid w:val="2A473AAA"/>
    <w:rsid w:val="2A4A0D9B"/>
    <w:rsid w:val="2A4A5D98"/>
    <w:rsid w:val="2A4C31DA"/>
    <w:rsid w:val="2A5078E5"/>
    <w:rsid w:val="2A51704C"/>
    <w:rsid w:val="2A522B7B"/>
    <w:rsid w:val="2A557F75"/>
    <w:rsid w:val="2A5A1A2F"/>
    <w:rsid w:val="2A5B7B7F"/>
    <w:rsid w:val="2A5C7555"/>
    <w:rsid w:val="2A5F2BA2"/>
    <w:rsid w:val="2A602AE0"/>
    <w:rsid w:val="2A612DBE"/>
    <w:rsid w:val="2A644AF2"/>
    <w:rsid w:val="2A6C420C"/>
    <w:rsid w:val="2A75037D"/>
    <w:rsid w:val="2A756869"/>
    <w:rsid w:val="2A787052"/>
    <w:rsid w:val="2A7A79DB"/>
    <w:rsid w:val="2A7C3754"/>
    <w:rsid w:val="2A7D23FA"/>
    <w:rsid w:val="2A7D5EEA"/>
    <w:rsid w:val="2A7F29B1"/>
    <w:rsid w:val="2A8075A0"/>
    <w:rsid w:val="2A830F86"/>
    <w:rsid w:val="2A84085A"/>
    <w:rsid w:val="2A862824"/>
    <w:rsid w:val="2A8820F8"/>
    <w:rsid w:val="2A8B7E3A"/>
    <w:rsid w:val="2A917A18"/>
    <w:rsid w:val="2A992557"/>
    <w:rsid w:val="2A9A1E2C"/>
    <w:rsid w:val="2A9C2048"/>
    <w:rsid w:val="2AA1140C"/>
    <w:rsid w:val="2AA341D5"/>
    <w:rsid w:val="2AA4561F"/>
    <w:rsid w:val="2AA50EFC"/>
    <w:rsid w:val="2AAE58D7"/>
    <w:rsid w:val="2AAF18B0"/>
    <w:rsid w:val="2AAF1C1B"/>
    <w:rsid w:val="2AB0164F"/>
    <w:rsid w:val="2AB51923"/>
    <w:rsid w:val="2AB56C65"/>
    <w:rsid w:val="2AB949A8"/>
    <w:rsid w:val="2ABB0720"/>
    <w:rsid w:val="2ABB16BA"/>
    <w:rsid w:val="2ABC7FF4"/>
    <w:rsid w:val="2ABD4919"/>
    <w:rsid w:val="2ABD7E2E"/>
    <w:rsid w:val="2ABF1892"/>
    <w:rsid w:val="2AC05D36"/>
    <w:rsid w:val="2AC5334C"/>
    <w:rsid w:val="2AC729E0"/>
    <w:rsid w:val="2ACA2711"/>
    <w:rsid w:val="2ACB0237"/>
    <w:rsid w:val="2ACB7617"/>
    <w:rsid w:val="2ACF5F79"/>
    <w:rsid w:val="2AD24543"/>
    <w:rsid w:val="2AD31BAE"/>
    <w:rsid w:val="2AD52E64"/>
    <w:rsid w:val="2AD64354"/>
    <w:rsid w:val="2ADA1568"/>
    <w:rsid w:val="2ADB0450"/>
    <w:rsid w:val="2ADC0696"/>
    <w:rsid w:val="2ADE440E"/>
    <w:rsid w:val="2ADF135E"/>
    <w:rsid w:val="2AE13EFE"/>
    <w:rsid w:val="2AE33D87"/>
    <w:rsid w:val="2AE35581"/>
    <w:rsid w:val="2AE61515"/>
    <w:rsid w:val="2AE80DE9"/>
    <w:rsid w:val="2AE82B97"/>
    <w:rsid w:val="2AED4651"/>
    <w:rsid w:val="2AF43C32"/>
    <w:rsid w:val="2AF85ADC"/>
    <w:rsid w:val="2AF86E01"/>
    <w:rsid w:val="2AFB6D6E"/>
    <w:rsid w:val="2AFF05EB"/>
    <w:rsid w:val="2B02634F"/>
    <w:rsid w:val="2B033E75"/>
    <w:rsid w:val="2B0C0F7B"/>
    <w:rsid w:val="2B0F6376"/>
    <w:rsid w:val="2B1163C7"/>
    <w:rsid w:val="2B1971F4"/>
    <w:rsid w:val="2B1E355F"/>
    <w:rsid w:val="2B1E480B"/>
    <w:rsid w:val="2B200583"/>
    <w:rsid w:val="2B2112CD"/>
    <w:rsid w:val="2B234F0D"/>
    <w:rsid w:val="2B2362C5"/>
    <w:rsid w:val="2B275DB5"/>
    <w:rsid w:val="2B277B63"/>
    <w:rsid w:val="2B286A75"/>
    <w:rsid w:val="2B2924BB"/>
    <w:rsid w:val="2B2A31B0"/>
    <w:rsid w:val="2B2C33CC"/>
    <w:rsid w:val="2B326508"/>
    <w:rsid w:val="2B335B90"/>
    <w:rsid w:val="2B3478AE"/>
    <w:rsid w:val="2B365FF8"/>
    <w:rsid w:val="2B380B20"/>
    <w:rsid w:val="2B382564"/>
    <w:rsid w:val="2B3B360F"/>
    <w:rsid w:val="2B3C335F"/>
    <w:rsid w:val="2B3F01E4"/>
    <w:rsid w:val="2B4329C2"/>
    <w:rsid w:val="2B457FE9"/>
    <w:rsid w:val="2B465B0F"/>
    <w:rsid w:val="2B496BF1"/>
    <w:rsid w:val="2B4A1AA4"/>
    <w:rsid w:val="2B4C0B44"/>
    <w:rsid w:val="2B5244B4"/>
    <w:rsid w:val="2B536BAA"/>
    <w:rsid w:val="2B57010A"/>
    <w:rsid w:val="2B575927"/>
    <w:rsid w:val="2B5841C1"/>
    <w:rsid w:val="2B604E23"/>
    <w:rsid w:val="2B634913"/>
    <w:rsid w:val="2B674404"/>
    <w:rsid w:val="2B6C75E4"/>
    <w:rsid w:val="2B726905"/>
    <w:rsid w:val="2B74267D"/>
    <w:rsid w:val="2B746B21"/>
    <w:rsid w:val="2B762899"/>
    <w:rsid w:val="2B764647"/>
    <w:rsid w:val="2B794137"/>
    <w:rsid w:val="2B7B144C"/>
    <w:rsid w:val="2B7D3EBC"/>
    <w:rsid w:val="2B7D5189"/>
    <w:rsid w:val="2B7E34FB"/>
    <w:rsid w:val="2B7F6702"/>
    <w:rsid w:val="2B8054C5"/>
    <w:rsid w:val="2B824D9A"/>
    <w:rsid w:val="2B846863"/>
    <w:rsid w:val="2B852ADC"/>
    <w:rsid w:val="2B8723B0"/>
    <w:rsid w:val="2B89459E"/>
    <w:rsid w:val="2B8B7AD6"/>
    <w:rsid w:val="2B8C79C6"/>
    <w:rsid w:val="2B8D373E"/>
    <w:rsid w:val="2B900466"/>
    <w:rsid w:val="2B9063BD"/>
    <w:rsid w:val="2B911481"/>
    <w:rsid w:val="2B9144CC"/>
    <w:rsid w:val="2B917537"/>
    <w:rsid w:val="2B932BBB"/>
    <w:rsid w:val="2B996587"/>
    <w:rsid w:val="2BA0741C"/>
    <w:rsid w:val="2BA2121F"/>
    <w:rsid w:val="2BA32F62"/>
    <w:rsid w:val="2BA50A88"/>
    <w:rsid w:val="2BA5214F"/>
    <w:rsid w:val="2BA54F2C"/>
    <w:rsid w:val="2BA64024"/>
    <w:rsid w:val="2BA70CA4"/>
    <w:rsid w:val="2BA80578"/>
    <w:rsid w:val="2BA83D3D"/>
    <w:rsid w:val="2BA936A8"/>
    <w:rsid w:val="2BA93F88"/>
    <w:rsid w:val="2BAC1E16"/>
    <w:rsid w:val="2BAD3B6A"/>
    <w:rsid w:val="2BB05DAB"/>
    <w:rsid w:val="2BB1742D"/>
    <w:rsid w:val="2BB37649"/>
    <w:rsid w:val="2BB84C5F"/>
    <w:rsid w:val="2BBC3D43"/>
    <w:rsid w:val="2BC26DFE"/>
    <w:rsid w:val="2BC3635D"/>
    <w:rsid w:val="2BC453B2"/>
    <w:rsid w:val="2BC52ED8"/>
    <w:rsid w:val="2BC6410F"/>
    <w:rsid w:val="2BC76C50"/>
    <w:rsid w:val="2BCC4267"/>
    <w:rsid w:val="2BD15D21"/>
    <w:rsid w:val="2BD27D8D"/>
    <w:rsid w:val="2BD27F42"/>
    <w:rsid w:val="2BD870AF"/>
    <w:rsid w:val="2BD96984"/>
    <w:rsid w:val="2BDA4BD6"/>
    <w:rsid w:val="2BDD46C6"/>
    <w:rsid w:val="2BDF043E"/>
    <w:rsid w:val="2BE041B6"/>
    <w:rsid w:val="2BE04315"/>
    <w:rsid w:val="2BE07D12"/>
    <w:rsid w:val="2BE21CDC"/>
    <w:rsid w:val="2BE71E1B"/>
    <w:rsid w:val="2BE772F2"/>
    <w:rsid w:val="2BE802EC"/>
    <w:rsid w:val="2BE94E19"/>
    <w:rsid w:val="2BED72F8"/>
    <w:rsid w:val="2BEE242F"/>
    <w:rsid w:val="2BEF0B9E"/>
    <w:rsid w:val="2BEF7F55"/>
    <w:rsid w:val="2BF57C61"/>
    <w:rsid w:val="2BF612E4"/>
    <w:rsid w:val="2BF808D8"/>
    <w:rsid w:val="2BF8505C"/>
    <w:rsid w:val="2BFD08C4"/>
    <w:rsid w:val="2BFF63EA"/>
    <w:rsid w:val="2C024716"/>
    <w:rsid w:val="2C025EDA"/>
    <w:rsid w:val="2C031008"/>
    <w:rsid w:val="2C043A01"/>
    <w:rsid w:val="2C05036B"/>
    <w:rsid w:val="2C095855"/>
    <w:rsid w:val="2C0B5689"/>
    <w:rsid w:val="2C0E2AD1"/>
    <w:rsid w:val="2C0E7316"/>
    <w:rsid w:val="2C107150"/>
    <w:rsid w:val="2C136339"/>
    <w:rsid w:val="2C153E60"/>
    <w:rsid w:val="2C1856FE"/>
    <w:rsid w:val="2C1A3224"/>
    <w:rsid w:val="2C1A4849"/>
    <w:rsid w:val="2C1B3A9D"/>
    <w:rsid w:val="2C1B5102"/>
    <w:rsid w:val="2C1D0F66"/>
    <w:rsid w:val="2C1E1EF7"/>
    <w:rsid w:val="2C1F083A"/>
    <w:rsid w:val="2C1F6A8C"/>
    <w:rsid w:val="2C2418B7"/>
    <w:rsid w:val="2C267E1B"/>
    <w:rsid w:val="2C286276"/>
    <w:rsid w:val="2C2B3683"/>
    <w:rsid w:val="2C2B5431"/>
    <w:rsid w:val="2C2B789E"/>
    <w:rsid w:val="2C2C11A9"/>
    <w:rsid w:val="2C2C6087"/>
    <w:rsid w:val="2C2D08FC"/>
    <w:rsid w:val="2C3047F6"/>
    <w:rsid w:val="2C31056E"/>
    <w:rsid w:val="2C315A5A"/>
    <w:rsid w:val="2C324A12"/>
    <w:rsid w:val="2C332538"/>
    <w:rsid w:val="2C3619B9"/>
    <w:rsid w:val="2C372028"/>
    <w:rsid w:val="2C376479"/>
    <w:rsid w:val="2C3777A9"/>
    <w:rsid w:val="2C385DA0"/>
    <w:rsid w:val="2C387AF5"/>
    <w:rsid w:val="2C3B112F"/>
    <w:rsid w:val="2C3C763E"/>
    <w:rsid w:val="2C3D5164"/>
    <w:rsid w:val="2C3E049C"/>
    <w:rsid w:val="2C3F0EDD"/>
    <w:rsid w:val="2C3F712F"/>
    <w:rsid w:val="2C411B58"/>
    <w:rsid w:val="2C46226B"/>
    <w:rsid w:val="2C464019"/>
    <w:rsid w:val="2C4B162F"/>
    <w:rsid w:val="2C4B1C25"/>
    <w:rsid w:val="2C4D184B"/>
    <w:rsid w:val="2C4E1120"/>
    <w:rsid w:val="2C4E2B62"/>
    <w:rsid w:val="2C4E2ECE"/>
    <w:rsid w:val="2C4F1421"/>
    <w:rsid w:val="2C500328"/>
    <w:rsid w:val="2C5030EA"/>
    <w:rsid w:val="2C504E98"/>
    <w:rsid w:val="2C5076C3"/>
    <w:rsid w:val="2C5C3F06"/>
    <w:rsid w:val="2C5D5807"/>
    <w:rsid w:val="2C5F332D"/>
    <w:rsid w:val="2C610E53"/>
    <w:rsid w:val="2C646B95"/>
    <w:rsid w:val="2C697D08"/>
    <w:rsid w:val="2C6A598D"/>
    <w:rsid w:val="2C6D3C9C"/>
    <w:rsid w:val="2C7124AA"/>
    <w:rsid w:val="2C714E0E"/>
    <w:rsid w:val="2C723060"/>
    <w:rsid w:val="2C7538F6"/>
    <w:rsid w:val="2C7816BE"/>
    <w:rsid w:val="2C7833AA"/>
    <w:rsid w:val="2C7843EE"/>
    <w:rsid w:val="2C7E7C57"/>
    <w:rsid w:val="2C815051"/>
    <w:rsid w:val="2C842D93"/>
    <w:rsid w:val="2C865910"/>
    <w:rsid w:val="2C8763E0"/>
    <w:rsid w:val="2C8E3C12"/>
    <w:rsid w:val="2C90798A"/>
    <w:rsid w:val="2C954FA0"/>
    <w:rsid w:val="2C9859C5"/>
    <w:rsid w:val="2C98683F"/>
    <w:rsid w:val="2C9C18D6"/>
    <w:rsid w:val="2C9C1E8B"/>
    <w:rsid w:val="2C9C2683"/>
    <w:rsid w:val="2C9D5C03"/>
    <w:rsid w:val="2C9F7BCD"/>
    <w:rsid w:val="2CA945A8"/>
    <w:rsid w:val="2CAE1BBE"/>
    <w:rsid w:val="2CAF3C96"/>
    <w:rsid w:val="2CAF6281"/>
    <w:rsid w:val="2CB321B2"/>
    <w:rsid w:val="2CB90C8F"/>
    <w:rsid w:val="2CBA0563"/>
    <w:rsid w:val="2CC056E2"/>
    <w:rsid w:val="2CC35400"/>
    <w:rsid w:val="2CC55886"/>
    <w:rsid w:val="2CC816F1"/>
    <w:rsid w:val="2CCA2E9C"/>
    <w:rsid w:val="2CCD3F5D"/>
    <w:rsid w:val="2CD31625"/>
    <w:rsid w:val="2CD6332A"/>
    <w:rsid w:val="2CD739E1"/>
    <w:rsid w:val="2CD74631"/>
    <w:rsid w:val="2CDA29B3"/>
    <w:rsid w:val="2CDE6947"/>
    <w:rsid w:val="2CDF0DDB"/>
    <w:rsid w:val="2CE33F5E"/>
    <w:rsid w:val="2CE657FC"/>
    <w:rsid w:val="2CE974BF"/>
    <w:rsid w:val="2CF0667B"/>
    <w:rsid w:val="2CF25F4F"/>
    <w:rsid w:val="2CF40EA6"/>
    <w:rsid w:val="2CF577ED"/>
    <w:rsid w:val="2CF85B24"/>
    <w:rsid w:val="2CFB12A7"/>
    <w:rsid w:val="2CFC5935"/>
    <w:rsid w:val="2CFE48F4"/>
    <w:rsid w:val="2D012F66"/>
    <w:rsid w:val="2D0363AE"/>
    <w:rsid w:val="2D05644F"/>
    <w:rsid w:val="2D0839C4"/>
    <w:rsid w:val="2D0B0DBF"/>
    <w:rsid w:val="2D0B5263"/>
    <w:rsid w:val="2D0F4D53"/>
    <w:rsid w:val="2D102879"/>
    <w:rsid w:val="2D1660E1"/>
    <w:rsid w:val="2D170BB6"/>
    <w:rsid w:val="2D173C07"/>
    <w:rsid w:val="2D1B74CB"/>
    <w:rsid w:val="2D1C4D7A"/>
    <w:rsid w:val="2D205BB7"/>
    <w:rsid w:val="2D214A86"/>
    <w:rsid w:val="2D222C56"/>
    <w:rsid w:val="2D265BF9"/>
    <w:rsid w:val="2D285E15"/>
    <w:rsid w:val="2D2A43DC"/>
    <w:rsid w:val="2D2D19CD"/>
    <w:rsid w:val="2D300825"/>
    <w:rsid w:val="2D350105"/>
    <w:rsid w:val="2D355E3C"/>
    <w:rsid w:val="2D3622E0"/>
    <w:rsid w:val="2D376058"/>
    <w:rsid w:val="2D3B5B48"/>
    <w:rsid w:val="2D3C541C"/>
    <w:rsid w:val="2D3D2806"/>
    <w:rsid w:val="2D40315E"/>
    <w:rsid w:val="2D4349FC"/>
    <w:rsid w:val="2D4542D1"/>
    <w:rsid w:val="2D483DC1"/>
    <w:rsid w:val="2D497F94"/>
    <w:rsid w:val="2D4C4AC2"/>
    <w:rsid w:val="2D4D2A86"/>
    <w:rsid w:val="2D4D7629"/>
    <w:rsid w:val="2D4F2E55"/>
    <w:rsid w:val="2D502C75"/>
    <w:rsid w:val="2D517119"/>
    <w:rsid w:val="2D550172"/>
    <w:rsid w:val="2D55028C"/>
    <w:rsid w:val="2D56396E"/>
    <w:rsid w:val="2D5664DE"/>
    <w:rsid w:val="2D574004"/>
    <w:rsid w:val="2D595FCE"/>
    <w:rsid w:val="2D597D7C"/>
    <w:rsid w:val="2D5C786C"/>
    <w:rsid w:val="2D614E21"/>
    <w:rsid w:val="2D621DCA"/>
    <w:rsid w:val="2D662499"/>
    <w:rsid w:val="2D687FBF"/>
    <w:rsid w:val="2D6A1F89"/>
    <w:rsid w:val="2D6B4704"/>
    <w:rsid w:val="2D6C5D01"/>
    <w:rsid w:val="2D6D1A79"/>
    <w:rsid w:val="2D6D3827"/>
    <w:rsid w:val="2D6F134E"/>
    <w:rsid w:val="2D6F57F1"/>
    <w:rsid w:val="2D71156A"/>
    <w:rsid w:val="2D7256F4"/>
    <w:rsid w:val="2D7352E2"/>
    <w:rsid w:val="2D744BB6"/>
    <w:rsid w:val="2D77352E"/>
    <w:rsid w:val="2D796670"/>
    <w:rsid w:val="2D7B5F44"/>
    <w:rsid w:val="2D7D7F0E"/>
    <w:rsid w:val="2D811081"/>
    <w:rsid w:val="2D8172D3"/>
    <w:rsid w:val="2D855015"/>
    <w:rsid w:val="2D856DC3"/>
    <w:rsid w:val="2D8868B3"/>
    <w:rsid w:val="2D8A262B"/>
    <w:rsid w:val="2D8C6342"/>
    <w:rsid w:val="2D8D7A26"/>
    <w:rsid w:val="2D8E211C"/>
    <w:rsid w:val="2D8E2BB9"/>
    <w:rsid w:val="2D937732"/>
    <w:rsid w:val="2D960FD0"/>
    <w:rsid w:val="2D983721"/>
    <w:rsid w:val="2D9B2143"/>
    <w:rsid w:val="2D9B588B"/>
    <w:rsid w:val="2D9B65E7"/>
    <w:rsid w:val="2D9E56F5"/>
    <w:rsid w:val="2DA21F75"/>
    <w:rsid w:val="2DA323B8"/>
    <w:rsid w:val="2DA60AE7"/>
    <w:rsid w:val="2DA61C84"/>
    <w:rsid w:val="2DAA0707"/>
    <w:rsid w:val="2DAC25A2"/>
    <w:rsid w:val="2DAC4350"/>
    <w:rsid w:val="2DAE631A"/>
    <w:rsid w:val="2DAF2B71"/>
    <w:rsid w:val="2DB07C36"/>
    <w:rsid w:val="2DB5458F"/>
    <w:rsid w:val="2DBA6ABB"/>
    <w:rsid w:val="2DBB27E5"/>
    <w:rsid w:val="2DBD030B"/>
    <w:rsid w:val="2DBD655D"/>
    <w:rsid w:val="2DC01BA9"/>
    <w:rsid w:val="2DC518B5"/>
    <w:rsid w:val="2DC55411"/>
    <w:rsid w:val="2DC90DC3"/>
    <w:rsid w:val="2DC9223C"/>
    <w:rsid w:val="2DCC0037"/>
    <w:rsid w:val="2DCC67A0"/>
    <w:rsid w:val="2DD1025A"/>
    <w:rsid w:val="2DD11694"/>
    <w:rsid w:val="2DD13DB6"/>
    <w:rsid w:val="2DD67732"/>
    <w:rsid w:val="2DD85145"/>
    <w:rsid w:val="2DD90EBD"/>
    <w:rsid w:val="2DDA23E8"/>
    <w:rsid w:val="2DDB4C35"/>
    <w:rsid w:val="2DDE64D3"/>
    <w:rsid w:val="2DE41CA7"/>
    <w:rsid w:val="2DE7182C"/>
    <w:rsid w:val="2DE72621"/>
    <w:rsid w:val="2DE955A4"/>
    <w:rsid w:val="2DEB71E0"/>
    <w:rsid w:val="2DF56170"/>
    <w:rsid w:val="2DF674F5"/>
    <w:rsid w:val="2DFB3102"/>
    <w:rsid w:val="2DFD2F11"/>
    <w:rsid w:val="2DFF4892"/>
    <w:rsid w:val="2E003654"/>
    <w:rsid w:val="2E0423DE"/>
    <w:rsid w:val="2E04418C"/>
    <w:rsid w:val="2E051CB2"/>
    <w:rsid w:val="2E051E23"/>
    <w:rsid w:val="2E0624F1"/>
    <w:rsid w:val="2E073C7C"/>
    <w:rsid w:val="2E075A2A"/>
    <w:rsid w:val="2E0777D8"/>
    <w:rsid w:val="2E0B376C"/>
    <w:rsid w:val="2E0C67FF"/>
    <w:rsid w:val="2E144BAF"/>
    <w:rsid w:val="2E150147"/>
    <w:rsid w:val="2E1E4B22"/>
    <w:rsid w:val="2E1F0FC6"/>
    <w:rsid w:val="2E1F5FB8"/>
    <w:rsid w:val="2E21674A"/>
    <w:rsid w:val="2E220AB6"/>
    <w:rsid w:val="2E222864"/>
    <w:rsid w:val="2E224612"/>
    <w:rsid w:val="2E24038A"/>
    <w:rsid w:val="2E26728F"/>
    <w:rsid w:val="2E2760CC"/>
    <w:rsid w:val="2E3260C6"/>
    <w:rsid w:val="2E33325B"/>
    <w:rsid w:val="2E334A71"/>
    <w:rsid w:val="2E33681F"/>
    <w:rsid w:val="2E3428C0"/>
    <w:rsid w:val="2E351D1B"/>
    <w:rsid w:val="2E383E35"/>
    <w:rsid w:val="2E3A7BAD"/>
    <w:rsid w:val="2E3B3926"/>
    <w:rsid w:val="2E425517"/>
    <w:rsid w:val="2E426A62"/>
    <w:rsid w:val="2E433EDE"/>
    <w:rsid w:val="2E440A2C"/>
    <w:rsid w:val="2E443131"/>
    <w:rsid w:val="2E494294"/>
    <w:rsid w:val="2E4B2482"/>
    <w:rsid w:val="2E4C168F"/>
    <w:rsid w:val="2E530C6F"/>
    <w:rsid w:val="2E580034"/>
    <w:rsid w:val="2E5A0250"/>
    <w:rsid w:val="2E5B19D1"/>
    <w:rsid w:val="2E5B686B"/>
    <w:rsid w:val="2E5D5B9A"/>
    <w:rsid w:val="2E5E3A03"/>
    <w:rsid w:val="2E5F7614"/>
    <w:rsid w:val="2E607823"/>
    <w:rsid w:val="2E655ADE"/>
    <w:rsid w:val="2E667F96"/>
    <w:rsid w:val="2E67471B"/>
    <w:rsid w:val="2E690493"/>
    <w:rsid w:val="2E6A6B71"/>
    <w:rsid w:val="2E6A7D67"/>
    <w:rsid w:val="2E6B020F"/>
    <w:rsid w:val="2E6B280E"/>
    <w:rsid w:val="2E6E3CFB"/>
    <w:rsid w:val="2E6E7857"/>
    <w:rsid w:val="2E756E38"/>
    <w:rsid w:val="2E766A63"/>
    <w:rsid w:val="2E7F7CB6"/>
    <w:rsid w:val="2E8226AB"/>
    <w:rsid w:val="2E870919"/>
    <w:rsid w:val="2E87338A"/>
    <w:rsid w:val="2E8B665B"/>
    <w:rsid w:val="2E8C23C9"/>
    <w:rsid w:val="2E8C3CC8"/>
    <w:rsid w:val="2E8C76CD"/>
    <w:rsid w:val="2E9276CB"/>
    <w:rsid w:val="2E960B5C"/>
    <w:rsid w:val="2E964ADD"/>
    <w:rsid w:val="2E976DAE"/>
    <w:rsid w:val="2E9A4AF0"/>
    <w:rsid w:val="2E9B1989"/>
    <w:rsid w:val="2E9B6172"/>
    <w:rsid w:val="2E9D638E"/>
    <w:rsid w:val="2E9F3EB4"/>
    <w:rsid w:val="2E9F5C62"/>
    <w:rsid w:val="2EA414CB"/>
    <w:rsid w:val="2EA6182F"/>
    <w:rsid w:val="2EA8720D"/>
    <w:rsid w:val="2EAB4607"/>
    <w:rsid w:val="2EAC25AF"/>
    <w:rsid w:val="2EAD4823"/>
    <w:rsid w:val="2EAE2349"/>
    <w:rsid w:val="2EB21E3A"/>
    <w:rsid w:val="2EB602E8"/>
    <w:rsid w:val="2EB726C1"/>
    <w:rsid w:val="2EB75385"/>
    <w:rsid w:val="2EB92AB6"/>
    <w:rsid w:val="2EBA6F40"/>
    <w:rsid w:val="2EBD1ECE"/>
    <w:rsid w:val="2EBE07DF"/>
    <w:rsid w:val="2EC42C7A"/>
    <w:rsid w:val="2EC456C9"/>
    <w:rsid w:val="2EC51ECD"/>
    <w:rsid w:val="2EC60C00"/>
    <w:rsid w:val="2EC622A9"/>
    <w:rsid w:val="2EC83B1E"/>
    <w:rsid w:val="2ECB4CA9"/>
    <w:rsid w:val="2ECD0A22"/>
    <w:rsid w:val="2ED31DB0"/>
    <w:rsid w:val="2ED43FD4"/>
    <w:rsid w:val="2ED7496F"/>
    <w:rsid w:val="2EDB7A3A"/>
    <w:rsid w:val="2EDE5871"/>
    <w:rsid w:val="2EDF2503"/>
    <w:rsid w:val="2EE105F2"/>
    <w:rsid w:val="2EE15806"/>
    <w:rsid w:val="2EE23DA1"/>
    <w:rsid w:val="2EE265FC"/>
    <w:rsid w:val="2EE31FF3"/>
    <w:rsid w:val="2EE44E0D"/>
    <w:rsid w:val="2EE47B19"/>
    <w:rsid w:val="2EE5561F"/>
    <w:rsid w:val="2EE644C2"/>
    <w:rsid w:val="2EED10C4"/>
    <w:rsid w:val="2EED6B95"/>
    <w:rsid w:val="2EEE0998"/>
    <w:rsid w:val="2EEE2746"/>
    <w:rsid w:val="2EEF6BEA"/>
    <w:rsid w:val="2EF17758"/>
    <w:rsid w:val="2EF266DA"/>
    <w:rsid w:val="2EF75A9F"/>
    <w:rsid w:val="2EF835C5"/>
    <w:rsid w:val="2EF91817"/>
    <w:rsid w:val="2EFD03CC"/>
    <w:rsid w:val="2EFE0F6B"/>
    <w:rsid w:val="2EFE507F"/>
    <w:rsid w:val="2EFF6701"/>
    <w:rsid w:val="2F0335FF"/>
    <w:rsid w:val="2F034443"/>
    <w:rsid w:val="2F067332"/>
    <w:rsid w:val="2F0957D2"/>
    <w:rsid w:val="2F097580"/>
    <w:rsid w:val="2F0B03F1"/>
    <w:rsid w:val="2F0B703D"/>
    <w:rsid w:val="2F0B76BC"/>
    <w:rsid w:val="2F0D2C5E"/>
    <w:rsid w:val="2F0D7070"/>
    <w:rsid w:val="2F0F6197"/>
    <w:rsid w:val="2F110272"/>
    <w:rsid w:val="2F1228D8"/>
    <w:rsid w:val="2F152201"/>
    <w:rsid w:val="2F155F25"/>
    <w:rsid w:val="2F1A0783"/>
    <w:rsid w:val="2F1A79DF"/>
    <w:rsid w:val="2F1C6FCF"/>
    <w:rsid w:val="2F1D70ED"/>
    <w:rsid w:val="2F1E2DE1"/>
    <w:rsid w:val="2F1E302B"/>
    <w:rsid w:val="2F1E74CF"/>
    <w:rsid w:val="2F1F6DA3"/>
    <w:rsid w:val="2F203D67"/>
    <w:rsid w:val="2F21303A"/>
    <w:rsid w:val="2F3300A1"/>
    <w:rsid w:val="2F351857"/>
    <w:rsid w:val="2F3565C7"/>
    <w:rsid w:val="2F37233F"/>
    <w:rsid w:val="2F3C5BA7"/>
    <w:rsid w:val="2F3F11F4"/>
    <w:rsid w:val="2F452CAE"/>
    <w:rsid w:val="2F45680A"/>
    <w:rsid w:val="2F4772C6"/>
    <w:rsid w:val="2F4961AE"/>
    <w:rsid w:val="2F4D56BE"/>
    <w:rsid w:val="2F5051AF"/>
    <w:rsid w:val="2F5277B1"/>
    <w:rsid w:val="2F5527C5"/>
    <w:rsid w:val="2F562335"/>
    <w:rsid w:val="2F572C17"/>
    <w:rsid w:val="2F576686"/>
    <w:rsid w:val="2F631386"/>
    <w:rsid w:val="2F665E23"/>
    <w:rsid w:val="2F6824F8"/>
    <w:rsid w:val="2F6C023B"/>
    <w:rsid w:val="2F715851"/>
    <w:rsid w:val="2F7722EC"/>
    <w:rsid w:val="2F776BDF"/>
    <w:rsid w:val="2F792957"/>
    <w:rsid w:val="2F7A262F"/>
    <w:rsid w:val="2F83700A"/>
    <w:rsid w:val="2F8512FC"/>
    <w:rsid w:val="2F866E22"/>
    <w:rsid w:val="2F884949"/>
    <w:rsid w:val="2F8F3F29"/>
    <w:rsid w:val="2F912073"/>
    <w:rsid w:val="2F923A19"/>
    <w:rsid w:val="2F94153F"/>
    <w:rsid w:val="2F9432ED"/>
    <w:rsid w:val="2F947791"/>
    <w:rsid w:val="2F994DA8"/>
    <w:rsid w:val="2F9E79C6"/>
    <w:rsid w:val="2F9F386E"/>
    <w:rsid w:val="2F9F4D71"/>
    <w:rsid w:val="2F9F4F27"/>
    <w:rsid w:val="2FA16C6A"/>
    <w:rsid w:val="2FA23C5C"/>
    <w:rsid w:val="2FA554FB"/>
    <w:rsid w:val="2FA71273"/>
    <w:rsid w:val="2FA774C5"/>
    <w:rsid w:val="2FA94014"/>
    <w:rsid w:val="2FAA0D63"/>
    <w:rsid w:val="2FAA2B11"/>
    <w:rsid w:val="2FB137E1"/>
    <w:rsid w:val="2FB41BE1"/>
    <w:rsid w:val="2FB43990"/>
    <w:rsid w:val="2FB63264"/>
    <w:rsid w:val="2FB971F8"/>
    <w:rsid w:val="2FBB6ACC"/>
    <w:rsid w:val="2FBC2844"/>
    <w:rsid w:val="2FBC45F2"/>
    <w:rsid w:val="2FBD1134"/>
    <w:rsid w:val="2FC56C4D"/>
    <w:rsid w:val="2FC83556"/>
    <w:rsid w:val="2FCC2A87"/>
    <w:rsid w:val="2FCD50A9"/>
    <w:rsid w:val="2FD03ECC"/>
    <w:rsid w:val="2FD065E6"/>
    <w:rsid w:val="2FD14C2F"/>
    <w:rsid w:val="2FD24608"/>
    <w:rsid w:val="2FD57720"/>
    <w:rsid w:val="2FD63906"/>
    <w:rsid w:val="2FD96870"/>
    <w:rsid w:val="2FDC6A42"/>
    <w:rsid w:val="2FDD2EE6"/>
    <w:rsid w:val="2FE04785"/>
    <w:rsid w:val="2FE20F33"/>
    <w:rsid w:val="2FE36023"/>
    <w:rsid w:val="2FE37DD1"/>
    <w:rsid w:val="2FE8003F"/>
    <w:rsid w:val="2FE85162"/>
    <w:rsid w:val="2FEC3129"/>
    <w:rsid w:val="2FF24A22"/>
    <w:rsid w:val="2FF40230"/>
    <w:rsid w:val="2FF43D8C"/>
    <w:rsid w:val="2FF95846"/>
    <w:rsid w:val="2FFD0E93"/>
    <w:rsid w:val="2FFD5337"/>
    <w:rsid w:val="2FFE4D66"/>
    <w:rsid w:val="30006BD5"/>
    <w:rsid w:val="30017972"/>
    <w:rsid w:val="30021FA5"/>
    <w:rsid w:val="300264A9"/>
    <w:rsid w:val="30030473"/>
    <w:rsid w:val="30063D2C"/>
    <w:rsid w:val="300761B5"/>
    <w:rsid w:val="30077F63"/>
    <w:rsid w:val="30085A89"/>
    <w:rsid w:val="300C5C28"/>
    <w:rsid w:val="300D4E4E"/>
    <w:rsid w:val="300E4E84"/>
    <w:rsid w:val="30112B90"/>
    <w:rsid w:val="301306B6"/>
    <w:rsid w:val="3014442E"/>
    <w:rsid w:val="301461D3"/>
    <w:rsid w:val="30146BDF"/>
    <w:rsid w:val="301663F8"/>
    <w:rsid w:val="301F4BCA"/>
    <w:rsid w:val="30217819"/>
    <w:rsid w:val="30221FB4"/>
    <w:rsid w:val="302428C3"/>
    <w:rsid w:val="30273D1D"/>
    <w:rsid w:val="30275F10"/>
    <w:rsid w:val="30281C88"/>
    <w:rsid w:val="302B25FC"/>
    <w:rsid w:val="302C2998"/>
    <w:rsid w:val="303348B4"/>
    <w:rsid w:val="3034062C"/>
    <w:rsid w:val="3038636F"/>
    <w:rsid w:val="303B24C1"/>
    <w:rsid w:val="303B7C0D"/>
    <w:rsid w:val="303E2C6D"/>
    <w:rsid w:val="30403475"/>
    <w:rsid w:val="30405223"/>
    <w:rsid w:val="30422D49"/>
    <w:rsid w:val="304271ED"/>
    <w:rsid w:val="30492C9C"/>
    <w:rsid w:val="304A079B"/>
    <w:rsid w:val="304C26FA"/>
    <w:rsid w:val="304C5976"/>
    <w:rsid w:val="304E047D"/>
    <w:rsid w:val="304F36B8"/>
    <w:rsid w:val="3051409E"/>
    <w:rsid w:val="30517430"/>
    <w:rsid w:val="30580BC9"/>
    <w:rsid w:val="305B22B4"/>
    <w:rsid w:val="305D6C11"/>
    <w:rsid w:val="30650FD5"/>
    <w:rsid w:val="306C26A5"/>
    <w:rsid w:val="306E1044"/>
    <w:rsid w:val="30716B1B"/>
    <w:rsid w:val="30782C0F"/>
    <w:rsid w:val="307976F4"/>
    <w:rsid w:val="307B19CD"/>
    <w:rsid w:val="307B5F05"/>
    <w:rsid w:val="307B625B"/>
    <w:rsid w:val="30803872"/>
    <w:rsid w:val="3085061F"/>
    <w:rsid w:val="3085324C"/>
    <w:rsid w:val="30873FAB"/>
    <w:rsid w:val="30874C00"/>
    <w:rsid w:val="308826E2"/>
    <w:rsid w:val="308C66BA"/>
    <w:rsid w:val="308E41E1"/>
    <w:rsid w:val="309317F7"/>
    <w:rsid w:val="30937A49"/>
    <w:rsid w:val="30964D84"/>
    <w:rsid w:val="309650EF"/>
    <w:rsid w:val="309817B5"/>
    <w:rsid w:val="30982D0A"/>
    <w:rsid w:val="30986E0D"/>
    <w:rsid w:val="309A621E"/>
    <w:rsid w:val="309A6C96"/>
    <w:rsid w:val="309B51CA"/>
    <w:rsid w:val="309D08C8"/>
    <w:rsid w:val="30A56B20"/>
    <w:rsid w:val="30B15C07"/>
    <w:rsid w:val="30B17ECF"/>
    <w:rsid w:val="30B4775A"/>
    <w:rsid w:val="30B54637"/>
    <w:rsid w:val="30B65170"/>
    <w:rsid w:val="30B8125D"/>
    <w:rsid w:val="30BD6874"/>
    <w:rsid w:val="30C10112"/>
    <w:rsid w:val="30C145B6"/>
    <w:rsid w:val="30C220DC"/>
    <w:rsid w:val="30C23E8A"/>
    <w:rsid w:val="30C41C15"/>
    <w:rsid w:val="30C51E78"/>
    <w:rsid w:val="30C61284"/>
    <w:rsid w:val="30C65728"/>
    <w:rsid w:val="30C72FFF"/>
    <w:rsid w:val="30C85944"/>
    <w:rsid w:val="30C916BD"/>
    <w:rsid w:val="30CD4548"/>
    <w:rsid w:val="30D36097"/>
    <w:rsid w:val="30D37E45"/>
    <w:rsid w:val="30D50061"/>
    <w:rsid w:val="30D616E4"/>
    <w:rsid w:val="30D8545C"/>
    <w:rsid w:val="30D94843"/>
    <w:rsid w:val="30DA7426"/>
    <w:rsid w:val="30DC0DDE"/>
    <w:rsid w:val="30DF1286"/>
    <w:rsid w:val="30DF67EA"/>
    <w:rsid w:val="30E03A94"/>
    <w:rsid w:val="30E16A06"/>
    <w:rsid w:val="30E20088"/>
    <w:rsid w:val="30E262DA"/>
    <w:rsid w:val="30E42053"/>
    <w:rsid w:val="30E738F1"/>
    <w:rsid w:val="30EE1123"/>
    <w:rsid w:val="30EF1562"/>
    <w:rsid w:val="30EF394C"/>
    <w:rsid w:val="30F143BD"/>
    <w:rsid w:val="30F2476F"/>
    <w:rsid w:val="30F312A6"/>
    <w:rsid w:val="30F42A4E"/>
    <w:rsid w:val="30F5600E"/>
    <w:rsid w:val="30F878AC"/>
    <w:rsid w:val="30FB552D"/>
    <w:rsid w:val="30FD381E"/>
    <w:rsid w:val="30FD480F"/>
    <w:rsid w:val="30FD5F50"/>
    <w:rsid w:val="30FF41AF"/>
    <w:rsid w:val="31012C04"/>
    <w:rsid w:val="3106021B"/>
    <w:rsid w:val="31061FC9"/>
    <w:rsid w:val="3106646D"/>
    <w:rsid w:val="31070492"/>
    <w:rsid w:val="31140B8A"/>
    <w:rsid w:val="3115045E"/>
    <w:rsid w:val="311741D6"/>
    <w:rsid w:val="31176043"/>
    <w:rsid w:val="31181CFC"/>
    <w:rsid w:val="31197F4E"/>
    <w:rsid w:val="311B77D4"/>
    <w:rsid w:val="311B7D98"/>
    <w:rsid w:val="311C4015"/>
    <w:rsid w:val="311D0F11"/>
    <w:rsid w:val="311E2ED7"/>
    <w:rsid w:val="311E5564"/>
    <w:rsid w:val="31237633"/>
    <w:rsid w:val="312406A1"/>
    <w:rsid w:val="312566B9"/>
    <w:rsid w:val="312615BA"/>
    <w:rsid w:val="312707D0"/>
    <w:rsid w:val="312B5ED3"/>
    <w:rsid w:val="312D39F9"/>
    <w:rsid w:val="313649A0"/>
    <w:rsid w:val="31374878"/>
    <w:rsid w:val="313C1E8F"/>
    <w:rsid w:val="3140197F"/>
    <w:rsid w:val="31413001"/>
    <w:rsid w:val="3146400C"/>
    <w:rsid w:val="314A1AEA"/>
    <w:rsid w:val="314C6BC6"/>
    <w:rsid w:val="314D19A6"/>
    <w:rsid w:val="314D5E4A"/>
    <w:rsid w:val="3155147F"/>
    <w:rsid w:val="31556AAC"/>
    <w:rsid w:val="315619EE"/>
    <w:rsid w:val="315C449C"/>
    <w:rsid w:val="31615451"/>
    <w:rsid w:val="316311C9"/>
    <w:rsid w:val="316333CE"/>
    <w:rsid w:val="31682C84"/>
    <w:rsid w:val="316B2774"/>
    <w:rsid w:val="316F5DC0"/>
    <w:rsid w:val="31701B38"/>
    <w:rsid w:val="31705EE7"/>
    <w:rsid w:val="3171536C"/>
    <w:rsid w:val="31721C5E"/>
    <w:rsid w:val="31722022"/>
    <w:rsid w:val="31723B02"/>
    <w:rsid w:val="317258B0"/>
    <w:rsid w:val="3172765E"/>
    <w:rsid w:val="317653A0"/>
    <w:rsid w:val="31772AF1"/>
    <w:rsid w:val="3179279B"/>
    <w:rsid w:val="31796C3F"/>
    <w:rsid w:val="317C228B"/>
    <w:rsid w:val="317C5C1F"/>
    <w:rsid w:val="318123B0"/>
    <w:rsid w:val="318203D5"/>
    <w:rsid w:val="31822F4F"/>
    <w:rsid w:val="3183186B"/>
    <w:rsid w:val="31833AED"/>
    <w:rsid w:val="3186310A"/>
    <w:rsid w:val="31863ECE"/>
    <w:rsid w:val="31886E82"/>
    <w:rsid w:val="318D26EA"/>
    <w:rsid w:val="318E6A66"/>
    <w:rsid w:val="318F1FBE"/>
    <w:rsid w:val="31947FB6"/>
    <w:rsid w:val="3195334D"/>
    <w:rsid w:val="3196159F"/>
    <w:rsid w:val="31992E3D"/>
    <w:rsid w:val="319C0B7F"/>
    <w:rsid w:val="31A33CBC"/>
    <w:rsid w:val="31AB0043"/>
    <w:rsid w:val="31AB03AE"/>
    <w:rsid w:val="31AC0DC2"/>
    <w:rsid w:val="31AF440F"/>
    <w:rsid w:val="31B25CAD"/>
    <w:rsid w:val="31B373CF"/>
    <w:rsid w:val="31B43515"/>
    <w:rsid w:val="31B71515"/>
    <w:rsid w:val="31B82709"/>
    <w:rsid w:val="31B93261"/>
    <w:rsid w:val="31B9703B"/>
    <w:rsid w:val="31BD45C7"/>
    <w:rsid w:val="31C002BB"/>
    <w:rsid w:val="31C003CA"/>
    <w:rsid w:val="31C12394"/>
    <w:rsid w:val="31C61758"/>
    <w:rsid w:val="31C7024A"/>
    <w:rsid w:val="31C75BFC"/>
    <w:rsid w:val="31C924FA"/>
    <w:rsid w:val="31C9380E"/>
    <w:rsid w:val="31D04385"/>
    <w:rsid w:val="31D05482"/>
    <w:rsid w:val="31D14A2C"/>
    <w:rsid w:val="31DA1B50"/>
    <w:rsid w:val="31DA35B5"/>
    <w:rsid w:val="31DA5230"/>
    <w:rsid w:val="31DD71CE"/>
    <w:rsid w:val="31DE4CF4"/>
    <w:rsid w:val="31DE5041"/>
    <w:rsid w:val="31DF34BF"/>
    <w:rsid w:val="31E22281"/>
    <w:rsid w:val="31E247E4"/>
    <w:rsid w:val="31E5172B"/>
    <w:rsid w:val="31E51C4C"/>
    <w:rsid w:val="31E6045D"/>
    <w:rsid w:val="31E760F3"/>
    <w:rsid w:val="31E87920"/>
    <w:rsid w:val="31ED3189"/>
    <w:rsid w:val="31F67A05"/>
    <w:rsid w:val="31F84007"/>
    <w:rsid w:val="32001FAA"/>
    <w:rsid w:val="32026C34"/>
    <w:rsid w:val="3206456A"/>
    <w:rsid w:val="3207424B"/>
    <w:rsid w:val="320A5AE9"/>
    <w:rsid w:val="320B7DBF"/>
    <w:rsid w:val="320D2B0A"/>
    <w:rsid w:val="320D55D9"/>
    <w:rsid w:val="320E382B"/>
    <w:rsid w:val="32110C25"/>
    <w:rsid w:val="32116E77"/>
    <w:rsid w:val="32132BEF"/>
    <w:rsid w:val="3216623C"/>
    <w:rsid w:val="321D3A6E"/>
    <w:rsid w:val="3220355E"/>
    <w:rsid w:val="32244DFC"/>
    <w:rsid w:val="322841C1"/>
    <w:rsid w:val="3228703D"/>
    <w:rsid w:val="322A1CE7"/>
    <w:rsid w:val="322A618B"/>
    <w:rsid w:val="322A7F39"/>
    <w:rsid w:val="322B6720"/>
    <w:rsid w:val="322B6EFB"/>
    <w:rsid w:val="322C3CB1"/>
    <w:rsid w:val="323047F2"/>
    <w:rsid w:val="32317519"/>
    <w:rsid w:val="32340DB8"/>
    <w:rsid w:val="3236068C"/>
    <w:rsid w:val="323928EB"/>
    <w:rsid w:val="323B751F"/>
    <w:rsid w:val="32400B34"/>
    <w:rsid w:val="32406EF5"/>
    <w:rsid w:val="3240775C"/>
    <w:rsid w:val="32430FFB"/>
    <w:rsid w:val="32452FC5"/>
    <w:rsid w:val="32496DC9"/>
    <w:rsid w:val="324B1B69"/>
    <w:rsid w:val="324E1E79"/>
    <w:rsid w:val="324E3C27"/>
    <w:rsid w:val="324E7BDE"/>
    <w:rsid w:val="324F174E"/>
    <w:rsid w:val="324F1E45"/>
    <w:rsid w:val="324F79A0"/>
    <w:rsid w:val="325133BE"/>
    <w:rsid w:val="325532A1"/>
    <w:rsid w:val="32560D2E"/>
    <w:rsid w:val="32565BFD"/>
    <w:rsid w:val="32584AA6"/>
    <w:rsid w:val="325A6A70"/>
    <w:rsid w:val="325B27ED"/>
    <w:rsid w:val="325B6344"/>
    <w:rsid w:val="325D41F6"/>
    <w:rsid w:val="325F0DF7"/>
    <w:rsid w:val="3264344B"/>
    <w:rsid w:val="32672F3B"/>
    <w:rsid w:val="3275602C"/>
    <w:rsid w:val="32764F2C"/>
    <w:rsid w:val="327A16BC"/>
    <w:rsid w:val="327F0767"/>
    <w:rsid w:val="327F4D4C"/>
    <w:rsid w:val="32807B59"/>
    <w:rsid w:val="3281224F"/>
    <w:rsid w:val="32851613"/>
    <w:rsid w:val="328C777E"/>
    <w:rsid w:val="32902492"/>
    <w:rsid w:val="32934090"/>
    <w:rsid w:val="32944916"/>
    <w:rsid w:val="32951856"/>
    <w:rsid w:val="32953ED5"/>
    <w:rsid w:val="32954240"/>
    <w:rsid w:val="32955444"/>
    <w:rsid w:val="3298755C"/>
    <w:rsid w:val="329A3AE5"/>
    <w:rsid w:val="329A50BF"/>
    <w:rsid w:val="329E6876"/>
    <w:rsid w:val="329F26D5"/>
    <w:rsid w:val="329F4483"/>
    <w:rsid w:val="32A2020C"/>
    <w:rsid w:val="32A73338"/>
    <w:rsid w:val="32A777DC"/>
    <w:rsid w:val="32AC3044"/>
    <w:rsid w:val="32AE46C6"/>
    <w:rsid w:val="32B02D54"/>
    <w:rsid w:val="32B72BDE"/>
    <w:rsid w:val="32B759EB"/>
    <w:rsid w:val="32B97FD1"/>
    <w:rsid w:val="32BE48B0"/>
    <w:rsid w:val="32BF2D77"/>
    <w:rsid w:val="32BF68D3"/>
    <w:rsid w:val="32C26F97"/>
    <w:rsid w:val="32C35685"/>
    <w:rsid w:val="32C4213C"/>
    <w:rsid w:val="32C65857"/>
    <w:rsid w:val="32C65EB4"/>
    <w:rsid w:val="32C951E5"/>
    <w:rsid w:val="32C97752"/>
    <w:rsid w:val="32CB5278"/>
    <w:rsid w:val="32CC2D9E"/>
    <w:rsid w:val="32CE7231"/>
    <w:rsid w:val="32D0288E"/>
    <w:rsid w:val="32D3237F"/>
    <w:rsid w:val="32D44EC9"/>
    <w:rsid w:val="32D700C1"/>
    <w:rsid w:val="32D81743"/>
    <w:rsid w:val="32DA195F"/>
    <w:rsid w:val="32DA54BB"/>
    <w:rsid w:val="32DB1C5F"/>
    <w:rsid w:val="32DF0D23"/>
    <w:rsid w:val="32E14A9C"/>
    <w:rsid w:val="32E225C2"/>
    <w:rsid w:val="32E427DE"/>
    <w:rsid w:val="32E4458C"/>
    <w:rsid w:val="32E60304"/>
    <w:rsid w:val="32E60EA2"/>
    <w:rsid w:val="32E61066"/>
    <w:rsid w:val="32E7076E"/>
    <w:rsid w:val="32E95C5F"/>
    <w:rsid w:val="32E97DF4"/>
    <w:rsid w:val="32EC51EE"/>
    <w:rsid w:val="32F26A71"/>
    <w:rsid w:val="32F62FAF"/>
    <w:rsid w:val="32F64B55"/>
    <w:rsid w:val="32F6606D"/>
    <w:rsid w:val="32F7552F"/>
    <w:rsid w:val="32F9594C"/>
    <w:rsid w:val="32FB3DF2"/>
    <w:rsid w:val="32FB4313"/>
    <w:rsid w:val="32FC7B27"/>
    <w:rsid w:val="32FF3174"/>
    <w:rsid w:val="32FF5855"/>
    <w:rsid w:val="330036E8"/>
    <w:rsid w:val="33010C9A"/>
    <w:rsid w:val="33022C64"/>
    <w:rsid w:val="330469DC"/>
    <w:rsid w:val="33046F06"/>
    <w:rsid w:val="330707FF"/>
    <w:rsid w:val="33076501"/>
    <w:rsid w:val="330813A2"/>
    <w:rsid w:val="33093642"/>
    <w:rsid w:val="330B1B18"/>
    <w:rsid w:val="330B38C7"/>
    <w:rsid w:val="330C763F"/>
    <w:rsid w:val="331108DD"/>
    <w:rsid w:val="331210F9"/>
    <w:rsid w:val="33122EA7"/>
    <w:rsid w:val="331251B5"/>
    <w:rsid w:val="33134E41"/>
    <w:rsid w:val="33150BE9"/>
    <w:rsid w:val="33175049"/>
    <w:rsid w:val="33184235"/>
    <w:rsid w:val="33186085"/>
    <w:rsid w:val="331C0AED"/>
    <w:rsid w:val="331C1F78"/>
    <w:rsid w:val="331D18DA"/>
    <w:rsid w:val="331D7A9E"/>
    <w:rsid w:val="331E20F0"/>
    <w:rsid w:val="33244988"/>
    <w:rsid w:val="33246EBE"/>
    <w:rsid w:val="33263E15"/>
    <w:rsid w:val="332901F1"/>
    <w:rsid w:val="333015F2"/>
    <w:rsid w:val="33312FC4"/>
    <w:rsid w:val="33323549"/>
    <w:rsid w:val="3333106F"/>
    <w:rsid w:val="33331E0D"/>
    <w:rsid w:val="33370B5F"/>
    <w:rsid w:val="33374AC4"/>
    <w:rsid w:val="333F77C1"/>
    <w:rsid w:val="334628EF"/>
    <w:rsid w:val="334B0167"/>
    <w:rsid w:val="334B6320"/>
    <w:rsid w:val="334C648B"/>
    <w:rsid w:val="3350044E"/>
    <w:rsid w:val="3350577D"/>
    <w:rsid w:val="335072D3"/>
    <w:rsid w:val="3352264A"/>
    <w:rsid w:val="335229B5"/>
    <w:rsid w:val="335313EB"/>
    <w:rsid w:val="33552964"/>
    <w:rsid w:val="33572FB0"/>
    <w:rsid w:val="3358590E"/>
    <w:rsid w:val="335A65FC"/>
    <w:rsid w:val="335C6818"/>
    <w:rsid w:val="335F1E64"/>
    <w:rsid w:val="33666E2C"/>
    <w:rsid w:val="336B25B7"/>
    <w:rsid w:val="336B6A5B"/>
    <w:rsid w:val="336D071C"/>
    <w:rsid w:val="336D4581"/>
    <w:rsid w:val="336D632F"/>
    <w:rsid w:val="336F5E32"/>
    <w:rsid w:val="33704071"/>
    <w:rsid w:val="33707BCD"/>
    <w:rsid w:val="33752A81"/>
    <w:rsid w:val="33757AD9"/>
    <w:rsid w:val="337771AE"/>
    <w:rsid w:val="33791178"/>
    <w:rsid w:val="33793C59"/>
    <w:rsid w:val="337A297F"/>
    <w:rsid w:val="337B3785"/>
    <w:rsid w:val="337C2A16"/>
    <w:rsid w:val="337D1A76"/>
    <w:rsid w:val="337E678E"/>
    <w:rsid w:val="337F6063"/>
    <w:rsid w:val="33815ADD"/>
    <w:rsid w:val="3383112B"/>
    <w:rsid w:val="33863895"/>
    <w:rsid w:val="338673F1"/>
    <w:rsid w:val="33890C8F"/>
    <w:rsid w:val="338C3013"/>
    <w:rsid w:val="338C34A7"/>
    <w:rsid w:val="338F52EF"/>
    <w:rsid w:val="33900270"/>
    <w:rsid w:val="339064C2"/>
    <w:rsid w:val="3391065F"/>
    <w:rsid w:val="33957634"/>
    <w:rsid w:val="339715FE"/>
    <w:rsid w:val="33995376"/>
    <w:rsid w:val="339977DD"/>
    <w:rsid w:val="339A792E"/>
    <w:rsid w:val="33A26964"/>
    <w:rsid w:val="33A42273"/>
    <w:rsid w:val="33A65CE5"/>
    <w:rsid w:val="33A70526"/>
    <w:rsid w:val="33A77124"/>
    <w:rsid w:val="33AB6E58"/>
    <w:rsid w:val="33AF226D"/>
    <w:rsid w:val="33B2468A"/>
    <w:rsid w:val="33B45D0C"/>
    <w:rsid w:val="33B640C1"/>
    <w:rsid w:val="33B71CA0"/>
    <w:rsid w:val="33C00B55"/>
    <w:rsid w:val="33C06DA7"/>
    <w:rsid w:val="33C26A70"/>
    <w:rsid w:val="33C323F3"/>
    <w:rsid w:val="33C543BD"/>
    <w:rsid w:val="33CA5530"/>
    <w:rsid w:val="33CB74FA"/>
    <w:rsid w:val="33CC3D88"/>
    <w:rsid w:val="33CC574C"/>
    <w:rsid w:val="33CD5020"/>
    <w:rsid w:val="33CE508C"/>
    <w:rsid w:val="33D0525E"/>
    <w:rsid w:val="33D47D4F"/>
    <w:rsid w:val="33D77C4D"/>
    <w:rsid w:val="33D83D04"/>
    <w:rsid w:val="33D8726A"/>
    <w:rsid w:val="33D934D4"/>
    <w:rsid w:val="33D97E69"/>
    <w:rsid w:val="33DB43A2"/>
    <w:rsid w:val="33DC5263"/>
    <w:rsid w:val="33DD7FC4"/>
    <w:rsid w:val="33E02FA5"/>
    <w:rsid w:val="33E10ACB"/>
    <w:rsid w:val="33E16D1D"/>
    <w:rsid w:val="33E800AC"/>
    <w:rsid w:val="33E87093"/>
    <w:rsid w:val="33ED121E"/>
    <w:rsid w:val="33EF4F96"/>
    <w:rsid w:val="33F151B2"/>
    <w:rsid w:val="33F523FC"/>
    <w:rsid w:val="33F64577"/>
    <w:rsid w:val="33F8693E"/>
    <w:rsid w:val="33FC5673"/>
    <w:rsid w:val="33FE2F6A"/>
    <w:rsid w:val="33FE342B"/>
    <w:rsid w:val="340547BA"/>
    <w:rsid w:val="34055A10"/>
    <w:rsid w:val="34086058"/>
    <w:rsid w:val="340E07E5"/>
    <w:rsid w:val="340E1496"/>
    <w:rsid w:val="340F73E6"/>
    <w:rsid w:val="34120C85"/>
    <w:rsid w:val="341542BD"/>
    <w:rsid w:val="34160775"/>
    <w:rsid w:val="3417273F"/>
    <w:rsid w:val="34181F9A"/>
    <w:rsid w:val="341D33E7"/>
    <w:rsid w:val="341D5FA7"/>
    <w:rsid w:val="341E587B"/>
    <w:rsid w:val="341E7629"/>
    <w:rsid w:val="34210CBB"/>
    <w:rsid w:val="342310E4"/>
    <w:rsid w:val="34235BF7"/>
    <w:rsid w:val="342509B8"/>
    <w:rsid w:val="34253971"/>
    <w:rsid w:val="34256C0A"/>
    <w:rsid w:val="34262F80"/>
    <w:rsid w:val="3428494C"/>
    <w:rsid w:val="342866FA"/>
    <w:rsid w:val="34313801"/>
    <w:rsid w:val="34316ACF"/>
    <w:rsid w:val="34367069"/>
    <w:rsid w:val="343A0E45"/>
    <w:rsid w:val="343A7CCB"/>
    <w:rsid w:val="343B01DB"/>
    <w:rsid w:val="343B1876"/>
    <w:rsid w:val="343B77AA"/>
    <w:rsid w:val="343C3F54"/>
    <w:rsid w:val="344057F2"/>
    <w:rsid w:val="344252FD"/>
    <w:rsid w:val="344277BC"/>
    <w:rsid w:val="34430EE4"/>
    <w:rsid w:val="34491A9E"/>
    <w:rsid w:val="34496D9C"/>
    <w:rsid w:val="344C4197"/>
    <w:rsid w:val="344E1631"/>
    <w:rsid w:val="34501C98"/>
    <w:rsid w:val="34565015"/>
    <w:rsid w:val="345745AF"/>
    <w:rsid w:val="34590721"/>
    <w:rsid w:val="345B49C2"/>
    <w:rsid w:val="345C0152"/>
    <w:rsid w:val="345E211C"/>
    <w:rsid w:val="345F6F7C"/>
    <w:rsid w:val="34620DEE"/>
    <w:rsid w:val="346314E0"/>
    <w:rsid w:val="346317C9"/>
    <w:rsid w:val="34677222"/>
    <w:rsid w:val="346A286F"/>
    <w:rsid w:val="346C65E7"/>
    <w:rsid w:val="346F60D7"/>
    <w:rsid w:val="347031A0"/>
    <w:rsid w:val="34714633"/>
    <w:rsid w:val="34724719"/>
    <w:rsid w:val="347436ED"/>
    <w:rsid w:val="34757B91"/>
    <w:rsid w:val="34766943"/>
    <w:rsid w:val="347B0F20"/>
    <w:rsid w:val="347E631A"/>
    <w:rsid w:val="348079F5"/>
    <w:rsid w:val="348222AE"/>
    <w:rsid w:val="348343DD"/>
    <w:rsid w:val="348778C8"/>
    <w:rsid w:val="34880F47"/>
    <w:rsid w:val="348B6F28"/>
    <w:rsid w:val="348C6C89"/>
    <w:rsid w:val="349124F1"/>
    <w:rsid w:val="34913981"/>
    <w:rsid w:val="3491604D"/>
    <w:rsid w:val="3492540B"/>
    <w:rsid w:val="34983880"/>
    <w:rsid w:val="349873DC"/>
    <w:rsid w:val="349D0E96"/>
    <w:rsid w:val="34A00986"/>
    <w:rsid w:val="34A42225"/>
    <w:rsid w:val="34A43FD3"/>
    <w:rsid w:val="34A55F9D"/>
    <w:rsid w:val="34A84ADE"/>
    <w:rsid w:val="34AA710F"/>
    <w:rsid w:val="34B45226"/>
    <w:rsid w:val="34B55DC5"/>
    <w:rsid w:val="34B82084"/>
    <w:rsid w:val="34BA1A48"/>
    <w:rsid w:val="34BF5849"/>
    <w:rsid w:val="34C44675"/>
    <w:rsid w:val="34C53F49"/>
    <w:rsid w:val="34C764F2"/>
    <w:rsid w:val="34C77CC1"/>
    <w:rsid w:val="34CB53EE"/>
    <w:rsid w:val="34CB5A03"/>
    <w:rsid w:val="34CC6681"/>
    <w:rsid w:val="34D01B4D"/>
    <w:rsid w:val="34D643A8"/>
    <w:rsid w:val="34D97E94"/>
    <w:rsid w:val="34DA3E98"/>
    <w:rsid w:val="34DA419B"/>
    <w:rsid w:val="34DA79F4"/>
    <w:rsid w:val="34E02B31"/>
    <w:rsid w:val="34E02D31"/>
    <w:rsid w:val="34E6283D"/>
    <w:rsid w:val="34E97C37"/>
    <w:rsid w:val="34EB1C02"/>
    <w:rsid w:val="34EC7728"/>
    <w:rsid w:val="34EE524E"/>
    <w:rsid w:val="34F0546A"/>
    <w:rsid w:val="34F211E2"/>
    <w:rsid w:val="34F328E8"/>
    <w:rsid w:val="34F33406"/>
    <w:rsid w:val="34F47513"/>
    <w:rsid w:val="34F5482E"/>
    <w:rsid w:val="34F67037"/>
    <w:rsid w:val="34FB5BBD"/>
    <w:rsid w:val="34FC3E0F"/>
    <w:rsid w:val="34FF11EB"/>
    <w:rsid w:val="34FF38FF"/>
    <w:rsid w:val="34FF56AD"/>
    <w:rsid w:val="34FF745B"/>
    <w:rsid w:val="35004F81"/>
    <w:rsid w:val="3502519D"/>
    <w:rsid w:val="35067E71"/>
    <w:rsid w:val="350933CD"/>
    <w:rsid w:val="350E3B42"/>
    <w:rsid w:val="351153E0"/>
    <w:rsid w:val="35132F06"/>
    <w:rsid w:val="35137050"/>
    <w:rsid w:val="35165C82"/>
    <w:rsid w:val="351A24E7"/>
    <w:rsid w:val="351A4295"/>
    <w:rsid w:val="351C000D"/>
    <w:rsid w:val="35243365"/>
    <w:rsid w:val="352769B2"/>
    <w:rsid w:val="352A065E"/>
    <w:rsid w:val="352F588A"/>
    <w:rsid w:val="35366BF5"/>
    <w:rsid w:val="35373099"/>
    <w:rsid w:val="353F2EFD"/>
    <w:rsid w:val="354111EE"/>
    <w:rsid w:val="3542559A"/>
    <w:rsid w:val="3546508A"/>
    <w:rsid w:val="35470E02"/>
    <w:rsid w:val="35493093"/>
    <w:rsid w:val="354C01C6"/>
    <w:rsid w:val="354D536F"/>
    <w:rsid w:val="3550415A"/>
    <w:rsid w:val="35505355"/>
    <w:rsid w:val="35521C81"/>
    <w:rsid w:val="35531555"/>
    <w:rsid w:val="35573069"/>
    <w:rsid w:val="355A0B35"/>
    <w:rsid w:val="355C7D01"/>
    <w:rsid w:val="355D71A8"/>
    <w:rsid w:val="35613C72"/>
    <w:rsid w:val="35635C3C"/>
    <w:rsid w:val="35645510"/>
    <w:rsid w:val="35661288"/>
    <w:rsid w:val="35675000"/>
    <w:rsid w:val="3569521C"/>
    <w:rsid w:val="356A0091"/>
    <w:rsid w:val="356B2D42"/>
    <w:rsid w:val="356B4AF0"/>
    <w:rsid w:val="356B611A"/>
    <w:rsid w:val="356C3BFA"/>
    <w:rsid w:val="35730F32"/>
    <w:rsid w:val="357558AB"/>
    <w:rsid w:val="357A128E"/>
    <w:rsid w:val="357D65D2"/>
    <w:rsid w:val="35810DEB"/>
    <w:rsid w:val="358221AA"/>
    <w:rsid w:val="35852999"/>
    <w:rsid w:val="3587200E"/>
    <w:rsid w:val="35885AF5"/>
    <w:rsid w:val="358C5FA8"/>
    <w:rsid w:val="358F4C83"/>
    <w:rsid w:val="35904736"/>
    <w:rsid w:val="359202CF"/>
    <w:rsid w:val="35926521"/>
    <w:rsid w:val="35935DF5"/>
    <w:rsid w:val="359871BA"/>
    <w:rsid w:val="359978AF"/>
    <w:rsid w:val="359E4EC6"/>
    <w:rsid w:val="359F2D89"/>
    <w:rsid w:val="35A84FFF"/>
    <w:rsid w:val="35AD6EB7"/>
    <w:rsid w:val="35AE50D1"/>
    <w:rsid w:val="35B2271F"/>
    <w:rsid w:val="35B3327A"/>
    <w:rsid w:val="35BA15D4"/>
    <w:rsid w:val="35BC534C"/>
    <w:rsid w:val="35BE10C4"/>
    <w:rsid w:val="35BF6BEA"/>
    <w:rsid w:val="35C0308E"/>
    <w:rsid w:val="35C1105C"/>
    <w:rsid w:val="35C15DF1"/>
    <w:rsid w:val="35C27393"/>
    <w:rsid w:val="35C36951"/>
    <w:rsid w:val="35C506A4"/>
    <w:rsid w:val="35C53375"/>
    <w:rsid w:val="35C9101D"/>
    <w:rsid w:val="35C91CF6"/>
    <w:rsid w:val="35C97A69"/>
    <w:rsid w:val="35CB1A33"/>
    <w:rsid w:val="35CC0BCC"/>
    <w:rsid w:val="35CD57AB"/>
    <w:rsid w:val="35CE6E2D"/>
    <w:rsid w:val="35CF1523"/>
    <w:rsid w:val="35D02246"/>
    <w:rsid w:val="35D02D98"/>
    <w:rsid w:val="35D54660"/>
    <w:rsid w:val="35D94150"/>
    <w:rsid w:val="35DA1C76"/>
    <w:rsid w:val="35DD75FE"/>
    <w:rsid w:val="35DE1766"/>
    <w:rsid w:val="35DE52C2"/>
    <w:rsid w:val="35E054DE"/>
    <w:rsid w:val="35E13004"/>
    <w:rsid w:val="35E34777"/>
    <w:rsid w:val="35E461A2"/>
    <w:rsid w:val="35E84393"/>
    <w:rsid w:val="35E86332"/>
    <w:rsid w:val="35F06330"/>
    <w:rsid w:val="35F1149A"/>
    <w:rsid w:val="35F6273E"/>
    <w:rsid w:val="35FB2318"/>
    <w:rsid w:val="35FC399A"/>
    <w:rsid w:val="35FC4375"/>
    <w:rsid w:val="35FD75B5"/>
    <w:rsid w:val="36002857"/>
    <w:rsid w:val="3600792F"/>
    <w:rsid w:val="3601226B"/>
    <w:rsid w:val="36065737"/>
    <w:rsid w:val="36074A7F"/>
    <w:rsid w:val="36080591"/>
    <w:rsid w:val="360A255B"/>
    <w:rsid w:val="360B1E2F"/>
    <w:rsid w:val="360D5BA8"/>
    <w:rsid w:val="360E3A7E"/>
    <w:rsid w:val="3611037B"/>
    <w:rsid w:val="36146F36"/>
    <w:rsid w:val="36174C78"/>
    <w:rsid w:val="36197CB0"/>
    <w:rsid w:val="361C3E64"/>
    <w:rsid w:val="362058DB"/>
    <w:rsid w:val="36213401"/>
    <w:rsid w:val="3622205E"/>
    <w:rsid w:val="36266C69"/>
    <w:rsid w:val="362715D4"/>
    <w:rsid w:val="3628478F"/>
    <w:rsid w:val="362A675A"/>
    <w:rsid w:val="362B0F44"/>
    <w:rsid w:val="362F0EA3"/>
    <w:rsid w:val="362F5B1E"/>
    <w:rsid w:val="36321AB2"/>
    <w:rsid w:val="3632560E"/>
    <w:rsid w:val="363366EC"/>
    <w:rsid w:val="36343134"/>
    <w:rsid w:val="363624CF"/>
    <w:rsid w:val="36367ECB"/>
    <w:rsid w:val="36377AE2"/>
    <w:rsid w:val="36394BEF"/>
    <w:rsid w:val="363B44C3"/>
    <w:rsid w:val="363D46DF"/>
    <w:rsid w:val="36400C61"/>
    <w:rsid w:val="36420A7F"/>
    <w:rsid w:val="3645356B"/>
    <w:rsid w:val="36472A7C"/>
    <w:rsid w:val="3647730B"/>
    <w:rsid w:val="36483084"/>
    <w:rsid w:val="364A0BAA"/>
    <w:rsid w:val="364A2958"/>
    <w:rsid w:val="364D069A"/>
    <w:rsid w:val="364D41F6"/>
    <w:rsid w:val="36541A28"/>
    <w:rsid w:val="36610C19"/>
    <w:rsid w:val="36637EBD"/>
    <w:rsid w:val="36642D30"/>
    <w:rsid w:val="36657792"/>
    <w:rsid w:val="366C4FC4"/>
    <w:rsid w:val="36703696"/>
    <w:rsid w:val="3670428D"/>
    <w:rsid w:val="36713175"/>
    <w:rsid w:val="36721EAF"/>
    <w:rsid w:val="36723C5D"/>
    <w:rsid w:val="36743E79"/>
    <w:rsid w:val="367479D5"/>
    <w:rsid w:val="3676374D"/>
    <w:rsid w:val="36767BF1"/>
    <w:rsid w:val="36783969"/>
    <w:rsid w:val="367A4E79"/>
    <w:rsid w:val="367B5207"/>
    <w:rsid w:val="367C49A1"/>
    <w:rsid w:val="367D2D2D"/>
    <w:rsid w:val="3680527C"/>
    <w:rsid w:val="3681431A"/>
    <w:rsid w:val="36820344"/>
    <w:rsid w:val="3684230E"/>
    <w:rsid w:val="368619EC"/>
    <w:rsid w:val="368857DA"/>
    <w:rsid w:val="368D0A96"/>
    <w:rsid w:val="36913B20"/>
    <w:rsid w:val="36923549"/>
    <w:rsid w:val="369260AD"/>
    <w:rsid w:val="36935099"/>
    <w:rsid w:val="36971AA0"/>
    <w:rsid w:val="36987B67"/>
    <w:rsid w:val="369B7657"/>
    <w:rsid w:val="369D17F5"/>
    <w:rsid w:val="36A22794"/>
    <w:rsid w:val="36A22C5C"/>
    <w:rsid w:val="36A42101"/>
    <w:rsid w:val="36A75FFC"/>
    <w:rsid w:val="36AB3E1C"/>
    <w:rsid w:val="36AB4187"/>
    <w:rsid w:val="36AC53C0"/>
    <w:rsid w:val="36B04A93"/>
    <w:rsid w:val="36B0782A"/>
    <w:rsid w:val="36B10C29"/>
    <w:rsid w:val="36B204FD"/>
    <w:rsid w:val="36B349A1"/>
    <w:rsid w:val="36B75FBF"/>
    <w:rsid w:val="36B85AAB"/>
    <w:rsid w:val="36B9188B"/>
    <w:rsid w:val="36BA5D2F"/>
    <w:rsid w:val="36BD0C45"/>
    <w:rsid w:val="36BD75CE"/>
    <w:rsid w:val="36C344B8"/>
    <w:rsid w:val="36CA779E"/>
    <w:rsid w:val="36CC7811"/>
    <w:rsid w:val="36D52B69"/>
    <w:rsid w:val="36D63769"/>
    <w:rsid w:val="36D84407"/>
    <w:rsid w:val="36DE64A9"/>
    <w:rsid w:val="36E36908"/>
    <w:rsid w:val="36EE59D9"/>
    <w:rsid w:val="36F12692"/>
    <w:rsid w:val="36F30A8E"/>
    <w:rsid w:val="36F31165"/>
    <w:rsid w:val="36F530E8"/>
    <w:rsid w:val="36F62AE0"/>
    <w:rsid w:val="36F666FD"/>
    <w:rsid w:val="36F73ABB"/>
    <w:rsid w:val="36FA124C"/>
    <w:rsid w:val="37006181"/>
    <w:rsid w:val="370074BA"/>
    <w:rsid w:val="37015C42"/>
    <w:rsid w:val="37022B95"/>
    <w:rsid w:val="370451FC"/>
    <w:rsid w:val="370F76FD"/>
    <w:rsid w:val="37117919"/>
    <w:rsid w:val="37144761"/>
    <w:rsid w:val="37160A8C"/>
    <w:rsid w:val="3717386F"/>
    <w:rsid w:val="37184804"/>
    <w:rsid w:val="371D7A17"/>
    <w:rsid w:val="371F77E4"/>
    <w:rsid w:val="3720190B"/>
    <w:rsid w:val="37225683"/>
    <w:rsid w:val="372413FB"/>
    <w:rsid w:val="37265173"/>
    <w:rsid w:val="37282D41"/>
    <w:rsid w:val="372C6501"/>
    <w:rsid w:val="372D1578"/>
    <w:rsid w:val="37307DA0"/>
    <w:rsid w:val="373830F8"/>
    <w:rsid w:val="37386C54"/>
    <w:rsid w:val="373C4996"/>
    <w:rsid w:val="373D2F93"/>
    <w:rsid w:val="373F4487"/>
    <w:rsid w:val="3741225E"/>
    <w:rsid w:val="37421881"/>
    <w:rsid w:val="37425EAE"/>
    <w:rsid w:val="374260F0"/>
    <w:rsid w:val="37467E7E"/>
    <w:rsid w:val="3747333B"/>
    <w:rsid w:val="374B2E2B"/>
    <w:rsid w:val="374B4BD9"/>
    <w:rsid w:val="374B6987"/>
    <w:rsid w:val="374C5422"/>
    <w:rsid w:val="374F1D40"/>
    <w:rsid w:val="37515F68"/>
    <w:rsid w:val="3756404C"/>
    <w:rsid w:val="37585548"/>
    <w:rsid w:val="375B14AA"/>
    <w:rsid w:val="375C6DE7"/>
    <w:rsid w:val="375F0FBA"/>
    <w:rsid w:val="37603448"/>
    <w:rsid w:val="37607AED"/>
    <w:rsid w:val="37692E75"/>
    <w:rsid w:val="376C4B50"/>
    <w:rsid w:val="376D2DA2"/>
    <w:rsid w:val="376E2676"/>
    <w:rsid w:val="37753A04"/>
    <w:rsid w:val="37757EA8"/>
    <w:rsid w:val="37774A03"/>
    <w:rsid w:val="37781747"/>
    <w:rsid w:val="37797999"/>
    <w:rsid w:val="377C1237"/>
    <w:rsid w:val="377C2FE5"/>
    <w:rsid w:val="37872EAE"/>
    <w:rsid w:val="37873738"/>
    <w:rsid w:val="37882173"/>
    <w:rsid w:val="378D125D"/>
    <w:rsid w:val="378F142A"/>
    <w:rsid w:val="37920A5A"/>
    <w:rsid w:val="379245B6"/>
    <w:rsid w:val="379320DC"/>
    <w:rsid w:val="37932920"/>
    <w:rsid w:val="37943E0C"/>
    <w:rsid w:val="379876F3"/>
    <w:rsid w:val="379E11AD"/>
    <w:rsid w:val="37A147F9"/>
    <w:rsid w:val="37A20571"/>
    <w:rsid w:val="37A34A15"/>
    <w:rsid w:val="37A80AC9"/>
    <w:rsid w:val="37A95DA4"/>
    <w:rsid w:val="37AE5168"/>
    <w:rsid w:val="37B05FEC"/>
    <w:rsid w:val="37B207B5"/>
    <w:rsid w:val="37B3452D"/>
    <w:rsid w:val="37B502A5"/>
    <w:rsid w:val="37B81B43"/>
    <w:rsid w:val="37BC7885"/>
    <w:rsid w:val="37BF1123"/>
    <w:rsid w:val="37C16C4A"/>
    <w:rsid w:val="37C30C14"/>
    <w:rsid w:val="37C36E66"/>
    <w:rsid w:val="37CA2CE6"/>
    <w:rsid w:val="37CD3E53"/>
    <w:rsid w:val="37CD3F9D"/>
    <w:rsid w:val="37D06FCA"/>
    <w:rsid w:val="37D22C05"/>
    <w:rsid w:val="37D631F9"/>
    <w:rsid w:val="37D84772"/>
    <w:rsid w:val="37DC7F27"/>
    <w:rsid w:val="37DD4FF7"/>
    <w:rsid w:val="37DE77FC"/>
    <w:rsid w:val="37E00298"/>
    <w:rsid w:val="37E33064"/>
    <w:rsid w:val="37E34E12"/>
    <w:rsid w:val="37E80BA5"/>
    <w:rsid w:val="37E95C2A"/>
    <w:rsid w:val="37ED7A3F"/>
    <w:rsid w:val="37EE37B7"/>
    <w:rsid w:val="37F330E7"/>
    <w:rsid w:val="37F47148"/>
    <w:rsid w:val="37F94635"/>
    <w:rsid w:val="37FC5ED4"/>
    <w:rsid w:val="37FD60EC"/>
    <w:rsid w:val="37FE1C4C"/>
    <w:rsid w:val="380357AD"/>
    <w:rsid w:val="380B3F3F"/>
    <w:rsid w:val="380B6117"/>
    <w:rsid w:val="380F3E59"/>
    <w:rsid w:val="380F5C07"/>
    <w:rsid w:val="380F7189"/>
    <w:rsid w:val="38141050"/>
    <w:rsid w:val="3814146F"/>
    <w:rsid w:val="38163439"/>
    <w:rsid w:val="38166DB6"/>
    <w:rsid w:val="3817332C"/>
    <w:rsid w:val="38190C3E"/>
    <w:rsid w:val="381B0A50"/>
    <w:rsid w:val="381C67F8"/>
    <w:rsid w:val="381F1BC2"/>
    <w:rsid w:val="3820340E"/>
    <w:rsid w:val="38237904"/>
    <w:rsid w:val="38241E1F"/>
    <w:rsid w:val="38250B51"/>
    <w:rsid w:val="3825542A"/>
    <w:rsid w:val="382877F5"/>
    <w:rsid w:val="382A7217"/>
    <w:rsid w:val="382F4F9D"/>
    <w:rsid w:val="38303DCF"/>
    <w:rsid w:val="38337C5B"/>
    <w:rsid w:val="383513E6"/>
    <w:rsid w:val="38351EAB"/>
    <w:rsid w:val="3838311F"/>
    <w:rsid w:val="383A69FC"/>
    <w:rsid w:val="383B2EA0"/>
    <w:rsid w:val="383C09C6"/>
    <w:rsid w:val="383D6139"/>
    <w:rsid w:val="384004B6"/>
    <w:rsid w:val="38415FDC"/>
    <w:rsid w:val="38471845"/>
    <w:rsid w:val="384B0D26"/>
    <w:rsid w:val="384B3F96"/>
    <w:rsid w:val="384F06F9"/>
    <w:rsid w:val="384F4255"/>
    <w:rsid w:val="3850049E"/>
    <w:rsid w:val="3857135C"/>
    <w:rsid w:val="385950D4"/>
    <w:rsid w:val="385C4BC4"/>
    <w:rsid w:val="385F2C7B"/>
    <w:rsid w:val="385F751D"/>
    <w:rsid w:val="38601122"/>
    <w:rsid w:val="386121DB"/>
    <w:rsid w:val="38613F89"/>
    <w:rsid w:val="38632B5B"/>
    <w:rsid w:val="38646D95"/>
    <w:rsid w:val="386A108F"/>
    <w:rsid w:val="386D4BCC"/>
    <w:rsid w:val="386D5023"/>
    <w:rsid w:val="386D7749"/>
    <w:rsid w:val="386E33A0"/>
    <w:rsid w:val="386E4861"/>
    <w:rsid w:val="386F2593"/>
    <w:rsid w:val="386F3228"/>
    <w:rsid w:val="38765C86"/>
    <w:rsid w:val="38767A34"/>
    <w:rsid w:val="387719FE"/>
    <w:rsid w:val="38787C50"/>
    <w:rsid w:val="387B131C"/>
    <w:rsid w:val="38810BBF"/>
    <w:rsid w:val="3881462B"/>
    <w:rsid w:val="38857EBA"/>
    <w:rsid w:val="38871C41"/>
    <w:rsid w:val="388B0C24"/>
    <w:rsid w:val="388C0C94"/>
    <w:rsid w:val="388E23D2"/>
    <w:rsid w:val="388E3CDE"/>
    <w:rsid w:val="388F6D48"/>
    <w:rsid w:val="3891567A"/>
    <w:rsid w:val="3894610C"/>
    <w:rsid w:val="389600D6"/>
    <w:rsid w:val="389B1F7E"/>
    <w:rsid w:val="389C3213"/>
    <w:rsid w:val="389C366B"/>
    <w:rsid w:val="389C54E6"/>
    <w:rsid w:val="389E24AD"/>
    <w:rsid w:val="38A071A7"/>
    <w:rsid w:val="38A345A1"/>
    <w:rsid w:val="38A5656B"/>
    <w:rsid w:val="38A81BB8"/>
    <w:rsid w:val="38A87E0A"/>
    <w:rsid w:val="38AC5B4C"/>
    <w:rsid w:val="38AD5420"/>
    <w:rsid w:val="38B14F10"/>
    <w:rsid w:val="38B247E4"/>
    <w:rsid w:val="38B302F9"/>
    <w:rsid w:val="38B30C88"/>
    <w:rsid w:val="38B36EDA"/>
    <w:rsid w:val="38B93DC5"/>
    <w:rsid w:val="38BA0BCC"/>
    <w:rsid w:val="38BB5D8F"/>
    <w:rsid w:val="38C028D3"/>
    <w:rsid w:val="38C31254"/>
    <w:rsid w:val="38CA7D80"/>
    <w:rsid w:val="38CC58A6"/>
    <w:rsid w:val="38D210E2"/>
    <w:rsid w:val="38D2355B"/>
    <w:rsid w:val="38D62BC9"/>
    <w:rsid w:val="38D806EF"/>
    <w:rsid w:val="38E4205E"/>
    <w:rsid w:val="38E4576D"/>
    <w:rsid w:val="38E54BBA"/>
    <w:rsid w:val="38E56968"/>
    <w:rsid w:val="38EB1BA0"/>
    <w:rsid w:val="38EB3928"/>
    <w:rsid w:val="38EC7CF6"/>
    <w:rsid w:val="38EE4222"/>
    <w:rsid w:val="38F117B0"/>
    <w:rsid w:val="38F12CD3"/>
    <w:rsid w:val="38F35529"/>
    <w:rsid w:val="38F36F8D"/>
    <w:rsid w:val="38F4304F"/>
    <w:rsid w:val="38F82B3F"/>
    <w:rsid w:val="38F94775"/>
    <w:rsid w:val="38FE416C"/>
    <w:rsid w:val="390239BE"/>
    <w:rsid w:val="39033292"/>
    <w:rsid w:val="39037E27"/>
    <w:rsid w:val="39072D82"/>
    <w:rsid w:val="39094D4C"/>
    <w:rsid w:val="390A4620"/>
    <w:rsid w:val="390A6409"/>
    <w:rsid w:val="390D66F3"/>
    <w:rsid w:val="39102ED9"/>
    <w:rsid w:val="391042D2"/>
    <w:rsid w:val="39112E4E"/>
    <w:rsid w:val="3911775D"/>
    <w:rsid w:val="39131727"/>
    <w:rsid w:val="39184FEF"/>
    <w:rsid w:val="39186D3D"/>
    <w:rsid w:val="391B05DB"/>
    <w:rsid w:val="391B682D"/>
    <w:rsid w:val="391E700B"/>
    <w:rsid w:val="3923264B"/>
    <w:rsid w:val="3927370A"/>
    <w:rsid w:val="392806B2"/>
    <w:rsid w:val="39292CF8"/>
    <w:rsid w:val="392971ED"/>
    <w:rsid w:val="392C0A3B"/>
    <w:rsid w:val="392C27E9"/>
    <w:rsid w:val="392D7A3E"/>
    <w:rsid w:val="392E6561"/>
    <w:rsid w:val="39311BAD"/>
    <w:rsid w:val="39316051"/>
    <w:rsid w:val="39325651"/>
    <w:rsid w:val="393578EF"/>
    <w:rsid w:val="39363667"/>
    <w:rsid w:val="39396CB4"/>
    <w:rsid w:val="393D0552"/>
    <w:rsid w:val="393D49F6"/>
    <w:rsid w:val="393F251C"/>
    <w:rsid w:val="393F42CA"/>
    <w:rsid w:val="39406294"/>
    <w:rsid w:val="39423DBA"/>
    <w:rsid w:val="39445D84"/>
    <w:rsid w:val="39482FE7"/>
    <w:rsid w:val="394D768A"/>
    <w:rsid w:val="394E6C03"/>
    <w:rsid w:val="394F0285"/>
    <w:rsid w:val="39504414"/>
    <w:rsid w:val="395064D7"/>
    <w:rsid w:val="3951224F"/>
    <w:rsid w:val="39534219"/>
    <w:rsid w:val="39537D75"/>
    <w:rsid w:val="395835DE"/>
    <w:rsid w:val="395A55A8"/>
    <w:rsid w:val="395B12C8"/>
    <w:rsid w:val="396024B0"/>
    <w:rsid w:val="39671A73"/>
    <w:rsid w:val="396820D7"/>
    <w:rsid w:val="396A5773"/>
    <w:rsid w:val="396F0447"/>
    <w:rsid w:val="396F1706"/>
    <w:rsid w:val="3971469F"/>
    <w:rsid w:val="3971644D"/>
    <w:rsid w:val="39754190"/>
    <w:rsid w:val="397A17A6"/>
    <w:rsid w:val="397B107A"/>
    <w:rsid w:val="397D1296"/>
    <w:rsid w:val="397F3D71"/>
    <w:rsid w:val="3980268B"/>
    <w:rsid w:val="39820FA3"/>
    <w:rsid w:val="3983100C"/>
    <w:rsid w:val="39837B1F"/>
    <w:rsid w:val="3986014B"/>
    <w:rsid w:val="3987236F"/>
    <w:rsid w:val="39882115"/>
    <w:rsid w:val="398914A4"/>
    <w:rsid w:val="398E5251"/>
    <w:rsid w:val="39932868"/>
    <w:rsid w:val="3995038E"/>
    <w:rsid w:val="399565E0"/>
    <w:rsid w:val="39987E7E"/>
    <w:rsid w:val="39A04924"/>
    <w:rsid w:val="39A131D7"/>
    <w:rsid w:val="39A14F85"/>
    <w:rsid w:val="39A16D33"/>
    <w:rsid w:val="39A24859"/>
    <w:rsid w:val="39A44A75"/>
    <w:rsid w:val="39AA37AD"/>
    <w:rsid w:val="39AA4401"/>
    <w:rsid w:val="39AB0B50"/>
    <w:rsid w:val="39AB1959"/>
    <w:rsid w:val="39AD073A"/>
    <w:rsid w:val="39AE76A2"/>
    <w:rsid w:val="39B003B6"/>
    <w:rsid w:val="39B051C8"/>
    <w:rsid w:val="39B06F76"/>
    <w:rsid w:val="39B123FD"/>
    <w:rsid w:val="39B42EA8"/>
    <w:rsid w:val="39B50A30"/>
    <w:rsid w:val="39BC1A94"/>
    <w:rsid w:val="39BC591B"/>
    <w:rsid w:val="39BD0E9D"/>
    <w:rsid w:val="39BE5B37"/>
    <w:rsid w:val="39C24EFB"/>
    <w:rsid w:val="39C35FBC"/>
    <w:rsid w:val="39C42A21"/>
    <w:rsid w:val="39C57535"/>
    <w:rsid w:val="39C72511"/>
    <w:rsid w:val="39C742BF"/>
    <w:rsid w:val="39C80763"/>
    <w:rsid w:val="39C96289"/>
    <w:rsid w:val="39CC0F12"/>
    <w:rsid w:val="39CE3CDD"/>
    <w:rsid w:val="39D06D45"/>
    <w:rsid w:val="39D07618"/>
    <w:rsid w:val="39D54C2E"/>
    <w:rsid w:val="39D72754"/>
    <w:rsid w:val="39DA0497"/>
    <w:rsid w:val="39DC5FBD"/>
    <w:rsid w:val="39DD7DEB"/>
    <w:rsid w:val="39DF1424"/>
    <w:rsid w:val="39E3559D"/>
    <w:rsid w:val="39E52F7A"/>
    <w:rsid w:val="39E6508D"/>
    <w:rsid w:val="39E71901"/>
    <w:rsid w:val="39E71C6D"/>
    <w:rsid w:val="39E9692C"/>
    <w:rsid w:val="39EA1A37"/>
    <w:rsid w:val="39EB4452"/>
    <w:rsid w:val="39EC3D26"/>
    <w:rsid w:val="39F23A32"/>
    <w:rsid w:val="39F63F29"/>
    <w:rsid w:val="39F72FC6"/>
    <w:rsid w:val="39F74BA5"/>
    <w:rsid w:val="39F8091D"/>
    <w:rsid w:val="39FA4695"/>
    <w:rsid w:val="39FF3A59"/>
    <w:rsid w:val="3A015A23"/>
    <w:rsid w:val="3A055959"/>
    <w:rsid w:val="3A086DB2"/>
    <w:rsid w:val="3A092B2A"/>
    <w:rsid w:val="3A0D26B3"/>
    <w:rsid w:val="3A0E1EEE"/>
    <w:rsid w:val="3A0F6392"/>
    <w:rsid w:val="3A106F28"/>
    <w:rsid w:val="3A1204A1"/>
    <w:rsid w:val="3A1219DE"/>
    <w:rsid w:val="3A1514CF"/>
    <w:rsid w:val="3A1565DD"/>
    <w:rsid w:val="3A1A306A"/>
    <w:rsid w:val="3A1C460B"/>
    <w:rsid w:val="3A1F234D"/>
    <w:rsid w:val="3A1F40FB"/>
    <w:rsid w:val="3A201C69"/>
    <w:rsid w:val="3A213355"/>
    <w:rsid w:val="3A223DCB"/>
    <w:rsid w:val="3A230C04"/>
    <w:rsid w:val="3A233BEC"/>
    <w:rsid w:val="3A25040D"/>
    <w:rsid w:val="3A257964"/>
    <w:rsid w:val="3A2636DC"/>
    <w:rsid w:val="3A267238"/>
    <w:rsid w:val="3A271FF2"/>
    <w:rsid w:val="3A282FB0"/>
    <w:rsid w:val="3A2931D7"/>
    <w:rsid w:val="3A2B0CF2"/>
    <w:rsid w:val="3A2F2590"/>
    <w:rsid w:val="3A2F4904"/>
    <w:rsid w:val="3A30371F"/>
    <w:rsid w:val="3A371445"/>
    <w:rsid w:val="3A3A0F35"/>
    <w:rsid w:val="3A3D7417"/>
    <w:rsid w:val="3A415124"/>
    <w:rsid w:val="3A451DB4"/>
    <w:rsid w:val="3A485400"/>
    <w:rsid w:val="3A4B4718"/>
    <w:rsid w:val="3A4D04EA"/>
    <w:rsid w:val="3A4F2BEB"/>
    <w:rsid w:val="3A534537"/>
    <w:rsid w:val="3A57018C"/>
    <w:rsid w:val="3A5C3C90"/>
    <w:rsid w:val="3A5D2B79"/>
    <w:rsid w:val="3A60099C"/>
    <w:rsid w:val="3A622985"/>
    <w:rsid w:val="3A63223A"/>
    <w:rsid w:val="3A644A9D"/>
    <w:rsid w:val="3A6B10EF"/>
    <w:rsid w:val="3A6D3797"/>
    <w:rsid w:val="3A742699"/>
    <w:rsid w:val="3A7461F5"/>
    <w:rsid w:val="3A7601BF"/>
    <w:rsid w:val="3A766411"/>
    <w:rsid w:val="3A7A6F3C"/>
    <w:rsid w:val="3A7D77A0"/>
    <w:rsid w:val="3A7E341D"/>
    <w:rsid w:val="3A80103E"/>
    <w:rsid w:val="3A802DEC"/>
    <w:rsid w:val="3A8328DC"/>
    <w:rsid w:val="3A84407A"/>
    <w:rsid w:val="3A850402"/>
    <w:rsid w:val="3A872856"/>
    <w:rsid w:val="3A886145"/>
    <w:rsid w:val="3A8D262A"/>
    <w:rsid w:val="3A8D2BD6"/>
    <w:rsid w:val="3A8D2D9B"/>
    <w:rsid w:val="3A9248CD"/>
    <w:rsid w:val="3A960861"/>
    <w:rsid w:val="3A96260F"/>
    <w:rsid w:val="3A9643BE"/>
    <w:rsid w:val="3A966C69"/>
    <w:rsid w:val="3A9746CD"/>
    <w:rsid w:val="3A976388"/>
    <w:rsid w:val="3A9E7716"/>
    <w:rsid w:val="3AA23B5C"/>
    <w:rsid w:val="3AA50161"/>
    <w:rsid w:val="3AAB598F"/>
    <w:rsid w:val="3AB12E2E"/>
    <w:rsid w:val="3AB26D1E"/>
    <w:rsid w:val="3AB74334"/>
    <w:rsid w:val="3AB807D8"/>
    <w:rsid w:val="3AC058DE"/>
    <w:rsid w:val="3AC23843"/>
    <w:rsid w:val="3ACB0218"/>
    <w:rsid w:val="3ACB1E7C"/>
    <w:rsid w:val="3AD06540"/>
    <w:rsid w:val="3AD06F82"/>
    <w:rsid w:val="3ADA779E"/>
    <w:rsid w:val="3ADF67F8"/>
    <w:rsid w:val="3ADF6BB1"/>
    <w:rsid w:val="3AE63CBA"/>
    <w:rsid w:val="3AE77F14"/>
    <w:rsid w:val="3AE8273F"/>
    <w:rsid w:val="3AED5FA8"/>
    <w:rsid w:val="3AEE41FA"/>
    <w:rsid w:val="3AEF12CB"/>
    <w:rsid w:val="3AF12444"/>
    <w:rsid w:val="3AF37A62"/>
    <w:rsid w:val="3AFE5DD5"/>
    <w:rsid w:val="3AFF67B0"/>
    <w:rsid w:val="3B03174A"/>
    <w:rsid w:val="3B07411C"/>
    <w:rsid w:val="3B0752BB"/>
    <w:rsid w:val="3B075DBD"/>
    <w:rsid w:val="3B0A04B5"/>
    <w:rsid w:val="3B0C5BAE"/>
    <w:rsid w:val="3B0E664A"/>
    <w:rsid w:val="3B11613A"/>
    <w:rsid w:val="3B141786"/>
    <w:rsid w:val="3B153852"/>
    <w:rsid w:val="3B163750"/>
    <w:rsid w:val="3B1672AC"/>
    <w:rsid w:val="3B185C9C"/>
    <w:rsid w:val="3B1874C8"/>
    <w:rsid w:val="3B192250"/>
    <w:rsid w:val="3B1925BB"/>
    <w:rsid w:val="3B194FEF"/>
    <w:rsid w:val="3B196D9D"/>
    <w:rsid w:val="3B1B48C3"/>
    <w:rsid w:val="3B1D345E"/>
    <w:rsid w:val="3B206F37"/>
    <w:rsid w:val="3B242034"/>
    <w:rsid w:val="3B2714BA"/>
    <w:rsid w:val="3B2F65C0"/>
    <w:rsid w:val="3B304812"/>
    <w:rsid w:val="3B31058A"/>
    <w:rsid w:val="3B365BA1"/>
    <w:rsid w:val="3B3763D1"/>
    <w:rsid w:val="3B385475"/>
    <w:rsid w:val="3B390F77"/>
    <w:rsid w:val="3B3973AD"/>
    <w:rsid w:val="3B3A1CDA"/>
    <w:rsid w:val="3B3D3C2D"/>
    <w:rsid w:val="3B4262F3"/>
    <w:rsid w:val="3B4402BD"/>
    <w:rsid w:val="3B4448CF"/>
    <w:rsid w:val="3B450DF0"/>
    <w:rsid w:val="3B451940"/>
    <w:rsid w:val="3B462D4B"/>
    <w:rsid w:val="3B4C3275"/>
    <w:rsid w:val="3B4E6A46"/>
    <w:rsid w:val="3B4F0A10"/>
    <w:rsid w:val="3B561D9F"/>
    <w:rsid w:val="3B567FF1"/>
    <w:rsid w:val="3B581673"/>
    <w:rsid w:val="3B5A188F"/>
    <w:rsid w:val="3B6224F2"/>
    <w:rsid w:val="3B624C93"/>
    <w:rsid w:val="3B64270E"/>
    <w:rsid w:val="3B6444BC"/>
    <w:rsid w:val="3B6E533A"/>
    <w:rsid w:val="3B716BD9"/>
    <w:rsid w:val="3B717104"/>
    <w:rsid w:val="3B717625"/>
    <w:rsid w:val="3B7346FF"/>
    <w:rsid w:val="3B783AC3"/>
    <w:rsid w:val="3B787F67"/>
    <w:rsid w:val="3B7B35B3"/>
    <w:rsid w:val="3B7F1A97"/>
    <w:rsid w:val="3B800B35"/>
    <w:rsid w:val="3B800BCA"/>
    <w:rsid w:val="3B850573"/>
    <w:rsid w:val="3B875338"/>
    <w:rsid w:val="3B893F22"/>
    <w:rsid w:val="3B9052B1"/>
    <w:rsid w:val="3B912340"/>
    <w:rsid w:val="3B914B85"/>
    <w:rsid w:val="3B950B19"/>
    <w:rsid w:val="3B970308"/>
    <w:rsid w:val="3B9D6010"/>
    <w:rsid w:val="3B9F3746"/>
    <w:rsid w:val="3B9F72A2"/>
    <w:rsid w:val="3BB30F9F"/>
    <w:rsid w:val="3BB32D4D"/>
    <w:rsid w:val="3BB35239"/>
    <w:rsid w:val="3BB47700"/>
    <w:rsid w:val="3BB84807"/>
    <w:rsid w:val="3BB93D77"/>
    <w:rsid w:val="3BBC60A6"/>
    <w:rsid w:val="3BBD3BCC"/>
    <w:rsid w:val="3BBF5B96"/>
    <w:rsid w:val="3BBF7944"/>
    <w:rsid w:val="3BC06454"/>
    <w:rsid w:val="3BC1190E"/>
    <w:rsid w:val="3BC13445"/>
    <w:rsid w:val="3BC1546A"/>
    <w:rsid w:val="3BC74A4B"/>
    <w:rsid w:val="3BC82C9D"/>
    <w:rsid w:val="3BC9431F"/>
    <w:rsid w:val="3BCC3E0F"/>
    <w:rsid w:val="3BD479B6"/>
    <w:rsid w:val="3BD553B9"/>
    <w:rsid w:val="3BD57167"/>
    <w:rsid w:val="3BD76E6C"/>
    <w:rsid w:val="3BDF3B42"/>
    <w:rsid w:val="3BE13D5E"/>
    <w:rsid w:val="3BE473AB"/>
    <w:rsid w:val="3BE61375"/>
    <w:rsid w:val="3BE70C49"/>
    <w:rsid w:val="3BE850ED"/>
    <w:rsid w:val="3BEB24E7"/>
    <w:rsid w:val="3BEB698B"/>
    <w:rsid w:val="3BF03FA1"/>
    <w:rsid w:val="3BF10EB2"/>
    <w:rsid w:val="3BF43750"/>
    <w:rsid w:val="3BF55114"/>
    <w:rsid w:val="3BFA097C"/>
    <w:rsid w:val="3BFA4E20"/>
    <w:rsid w:val="3C0161AE"/>
    <w:rsid w:val="3C017566"/>
    <w:rsid w:val="3C0267B9"/>
    <w:rsid w:val="3C035D77"/>
    <w:rsid w:val="3C0812EB"/>
    <w:rsid w:val="3C0839FD"/>
    <w:rsid w:val="3C086A0B"/>
    <w:rsid w:val="3C09240E"/>
    <w:rsid w:val="3C0D6901"/>
    <w:rsid w:val="3C0E61B4"/>
    <w:rsid w:val="3C101F4E"/>
    <w:rsid w:val="3C12216A"/>
    <w:rsid w:val="3C123F18"/>
    <w:rsid w:val="3C1275F2"/>
    <w:rsid w:val="3C162914"/>
    <w:rsid w:val="3C1732DC"/>
    <w:rsid w:val="3C1C04CF"/>
    <w:rsid w:val="3C1D696F"/>
    <w:rsid w:val="3C215F09"/>
    <w:rsid w:val="3C2459F9"/>
    <w:rsid w:val="3C2B322B"/>
    <w:rsid w:val="3C2C5EA5"/>
    <w:rsid w:val="3C2C64D2"/>
    <w:rsid w:val="3C2C7F48"/>
    <w:rsid w:val="3C2F6E1E"/>
    <w:rsid w:val="3C304DE5"/>
    <w:rsid w:val="3C304EFA"/>
    <w:rsid w:val="3C330E21"/>
    <w:rsid w:val="3C333E8E"/>
    <w:rsid w:val="3C340332"/>
    <w:rsid w:val="3C3420E0"/>
    <w:rsid w:val="3C3519B4"/>
    <w:rsid w:val="3C355E58"/>
    <w:rsid w:val="3C3C2D43"/>
    <w:rsid w:val="3C3C7CEC"/>
    <w:rsid w:val="3C3F2833"/>
    <w:rsid w:val="3C461E13"/>
    <w:rsid w:val="3C463BC1"/>
    <w:rsid w:val="3C4C173C"/>
    <w:rsid w:val="3C4D4F50"/>
    <w:rsid w:val="3C4D6CFE"/>
    <w:rsid w:val="3C4F64BA"/>
    <w:rsid w:val="3C5C6ED0"/>
    <w:rsid w:val="3C5D483B"/>
    <w:rsid w:val="3C6978B0"/>
    <w:rsid w:val="3C6A5B02"/>
    <w:rsid w:val="3C6B7ACC"/>
    <w:rsid w:val="3C6C2C0E"/>
    <w:rsid w:val="3C6E3646"/>
    <w:rsid w:val="3C6E4EC6"/>
    <w:rsid w:val="3C6F5B36"/>
    <w:rsid w:val="3C715440"/>
    <w:rsid w:val="3C746980"/>
    <w:rsid w:val="3C75032E"/>
    <w:rsid w:val="3C761E16"/>
    <w:rsid w:val="3C7707DD"/>
    <w:rsid w:val="3C776471"/>
    <w:rsid w:val="3C7A386B"/>
    <w:rsid w:val="3C7C70D7"/>
    <w:rsid w:val="3C8446EA"/>
    <w:rsid w:val="3C8452B8"/>
    <w:rsid w:val="3C85300E"/>
    <w:rsid w:val="3C853D67"/>
    <w:rsid w:val="3C86155C"/>
    <w:rsid w:val="3C8B3CCA"/>
    <w:rsid w:val="3C8D6BCF"/>
    <w:rsid w:val="3C8E5159"/>
    <w:rsid w:val="3C8E62D0"/>
    <w:rsid w:val="3C8F09F7"/>
    <w:rsid w:val="3C925059"/>
    <w:rsid w:val="3C9506A5"/>
    <w:rsid w:val="3C9568F7"/>
    <w:rsid w:val="3C972E5F"/>
    <w:rsid w:val="3C9E1216"/>
    <w:rsid w:val="3C9F07CB"/>
    <w:rsid w:val="3CA1529C"/>
    <w:rsid w:val="3CA20495"/>
    <w:rsid w:val="3CA4693B"/>
    <w:rsid w:val="3CAA05F4"/>
    <w:rsid w:val="3CAA23A2"/>
    <w:rsid w:val="3CAD3C40"/>
    <w:rsid w:val="3CB12751"/>
    <w:rsid w:val="3CB215A2"/>
    <w:rsid w:val="3CB43221"/>
    <w:rsid w:val="3CB7061B"/>
    <w:rsid w:val="3CB72D11"/>
    <w:rsid w:val="3CB7686D"/>
    <w:rsid w:val="3CBA021E"/>
    <w:rsid w:val="3CBC1920"/>
    <w:rsid w:val="3CBC20D5"/>
    <w:rsid w:val="3CBE05CE"/>
    <w:rsid w:val="3CBE0B75"/>
    <w:rsid w:val="3CC2593E"/>
    <w:rsid w:val="3CC72F54"/>
    <w:rsid w:val="3CC80A7A"/>
    <w:rsid w:val="3CC86CCC"/>
    <w:rsid w:val="3CC97668"/>
    <w:rsid w:val="3CCA65A0"/>
    <w:rsid w:val="3CCB2319"/>
    <w:rsid w:val="3CCB40C7"/>
    <w:rsid w:val="3CCD1A7A"/>
    <w:rsid w:val="3CCD770B"/>
    <w:rsid w:val="3CD13DD3"/>
    <w:rsid w:val="3CD15B81"/>
    <w:rsid w:val="3CDA245A"/>
    <w:rsid w:val="3CDB255C"/>
    <w:rsid w:val="3CDC5A84"/>
    <w:rsid w:val="3CDC5C48"/>
    <w:rsid w:val="3CDD6728"/>
    <w:rsid w:val="3CDE3DFA"/>
    <w:rsid w:val="3CDF20AA"/>
    <w:rsid w:val="3CE138EA"/>
    <w:rsid w:val="3CE77152"/>
    <w:rsid w:val="3CE97620"/>
    <w:rsid w:val="3CEA09F1"/>
    <w:rsid w:val="3CEA4F7F"/>
    <w:rsid w:val="3CEB6517"/>
    <w:rsid w:val="3CEB78B2"/>
    <w:rsid w:val="3CED04E1"/>
    <w:rsid w:val="3CEF6007"/>
    <w:rsid w:val="3CF01C6E"/>
    <w:rsid w:val="3CF278A5"/>
    <w:rsid w:val="3CF61143"/>
    <w:rsid w:val="3CF8135F"/>
    <w:rsid w:val="3CFD4BC8"/>
    <w:rsid w:val="3CFE624A"/>
    <w:rsid w:val="3CFF4A54"/>
    <w:rsid w:val="3D015D3A"/>
    <w:rsid w:val="3D023F8C"/>
    <w:rsid w:val="3D042809"/>
    <w:rsid w:val="3D0777F5"/>
    <w:rsid w:val="3D0A2E41"/>
    <w:rsid w:val="3D0A4BEF"/>
    <w:rsid w:val="3D0C4E0B"/>
    <w:rsid w:val="3D0C6BB9"/>
    <w:rsid w:val="3D0F48FB"/>
    <w:rsid w:val="3D15106D"/>
    <w:rsid w:val="3D172303"/>
    <w:rsid w:val="3D1837B0"/>
    <w:rsid w:val="3D18555E"/>
    <w:rsid w:val="3D1912D6"/>
    <w:rsid w:val="3D193084"/>
    <w:rsid w:val="3D1D2B74"/>
    <w:rsid w:val="3D1E06B7"/>
    <w:rsid w:val="3D207CCF"/>
    <w:rsid w:val="3D233F03"/>
    <w:rsid w:val="3D2642D0"/>
    <w:rsid w:val="3D2A5291"/>
    <w:rsid w:val="3D2B441C"/>
    <w:rsid w:val="3D2F36AB"/>
    <w:rsid w:val="3D363C36"/>
    <w:rsid w:val="3D3842E3"/>
    <w:rsid w:val="3D3B2FFA"/>
    <w:rsid w:val="3D3D5856"/>
    <w:rsid w:val="3D3D6D72"/>
    <w:rsid w:val="3D3D6F88"/>
    <w:rsid w:val="3D4225DB"/>
    <w:rsid w:val="3D45031D"/>
    <w:rsid w:val="3D474095"/>
    <w:rsid w:val="3D4D0ABF"/>
    <w:rsid w:val="3D4D2D2E"/>
    <w:rsid w:val="3D513775"/>
    <w:rsid w:val="3D532A3A"/>
    <w:rsid w:val="3D532D7C"/>
    <w:rsid w:val="3D536596"/>
    <w:rsid w:val="3D5A0F8B"/>
    <w:rsid w:val="3D5B544A"/>
    <w:rsid w:val="3D5D4772"/>
    <w:rsid w:val="3D5D7415"/>
    <w:rsid w:val="3D605787"/>
    <w:rsid w:val="3D632551"/>
    <w:rsid w:val="3D670293"/>
    <w:rsid w:val="3D6764E5"/>
    <w:rsid w:val="3D6A7D83"/>
    <w:rsid w:val="3D6B59D2"/>
    <w:rsid w:val="3D6D517E"/>
    <w:rsid w:val="3D6E33D0"/>
    <w:rsid w:val="3D7309E6"/>
    <w:rsid w:val="3D745844"/>
    <w:rsid w:val="3D781D24"/>
    <w:rsid w:val="3D7824A0"/>
    <w:rsid w:val="3D7A6218"/>
    <w:rsid w:val="3D7B1A05"/>
    <w:rsid w:val="3D7B5AED"/>
    <w:rsid w:val="3D7E57B5"/>
    <w:rsid w:val="3D801355"/>
    <w:rsid w:val="3D803724"/>
    <w:rsid w:val="3D820C29"/>
    <w:rsid w:val="3D8A5562"/>
    <w:rsid w:val="3D8C1249"/>
    <w:rsid w:val="3D8E3243"/>
    <w:rsid w:val="3D910D6D"/>
    <w:rsid w:val="3D913562"/>
    <w:rsid w:val="3D953A3C"/>
    <w:rsid w:val="3D960B78"/>
    <w:rsid w:val="3D962926"/>
    <w:rsid w:val="3D98669F"/>
    <w:rsid w:val="3D9A7546"/>
    <w:rsid w:val="3D9D2171"/>
    <w:rsid w:val="3D9F17DB"/>
    <w:rsid w:val="3D9F7A2D"/>
    <w:rsid w:val="3DA23079"/>
    <w:rsid w:val="3DA546DD"/>
    <w:rsid w:val="3DAE7C70"/>
    <w:rsid w:val="3DB35602"/>
    <w:rsid w:val="3DB42DAD"/>
    <w:rsid w:val="3DB446B2"/>
    <w:rsid w:val="3DB64D77"/>
    <w:rsid w:val="3DB64D8C"/>
    <w:rsid w:val="3DC01751"/>
    <w:rsid w:val="3DC94AAA"/>
    <w:rsid w:val="3DD1395F"/>
    <w:rsid w:val="3DD31485"/>
    <w:rsid w:val="3DD671C7"/>
    <w:rsid w:val="3DDB658B"/>
    <w:rsid w:val="3DDC47DD"/>
    <w:rsid w:val="3DDD0555"/>
    <w:rsid w:val="3DE35197"/>
    <w:rsid w:val="3DE713D4"/>
    <w:rsid w:val="3DE74F30"/>
    <w:rsid w:val="3DE90CA8"/>
    <w:rsid w:val="3DE9514C"/>
    <w:rsid w:val="3DEB0EC4"/>
    <w:rsid w:val="3DF00289"/>
    <w:rsid w:val="3DF064DB"/>
    <w:rsid w:val="3DF5589F"/>
    <w:rsid w:val="3DF96791"/>
    <w:rsid w:val="3DFE0BF8"/>
    <w:rsid w:val="3E004877"/>
    <w:rsid w:val="3E03620E"/>
    <w:rsid w:val="3E0470F9"/>
    <w:rsid w:val="3E063608"/>
    <w:rsid w:val="3E0E4BB3"/>
    <w:rsid w:val="3E0E7BD8"/>
    <w:rsid w:val="3E124471"/>
    <w:rsid w:val="3E1321C9"/>
    <w:rsid w:val="3E1379D5"/>
    <w:rsid w:val="3E1877DF"/>
    <w:rsid w:val="3E1A6173"/>
    <w:rsid w:val="3E1D6BA4"/>
    <w:rsid w:val="3E203BE4"/>
    <w:rsid w:val="3E261EFC"/>
    <w:rsid w:val="3E285C74"/>
    <w:rsid w:val="3E2D1DC5"/>
    <w:rsid w:val="3E2E0DB1"/>
    <w:rsid w:val="3E3208A1"/>
    <w:rsid w:val="3E350391"/>
    <w:rsid w:val="3E35373D"/>
    <w:rsid w:val="3E3B0AA5"/>
    <w:rsid w:val="3E3F6B1A"/>
    <w:rsid w:val="3E43780F"/>
    <w:rsid w:val="3E444130"/>
    <w:rsid w:val="3E493DC2"/>
    <w:rsid w:val="3E495BEB"/>
    <w:rsid w:val="3E4960B6"/>
    <w:rsid w:val="3E4D56DB"/>
    <w:rsid w:val="3E4D7489"/>
    <w:rsid w:val="3E4E4FAF"/>
    <w:rsid w:val="3E522CF1"/>
    <w:rsid w:val="3E524A9F"/>
    <w:rsid w:val="3E594080"/>
    <w:rsid w:val="3E596801"/>
    <w:rsid w:val="3E5A656F"/>
    <w:rsid w:val="3E637826"/>
    <w:rsid w:val="3E646581"/>
    <w:rsid w:val="3E66679D"/>
    <w:rsid w:val="3E6807DB"/>
    <w:rsid w:val="3E6B2961"/>
    <w:rsid w:val="3E6D3687"/>
    <w:rsid w:val="3E70367D"/>
    <w:rsid w:val="3E727235"/>
    <w:rsid w:val="3E734A16"/>
    <w:rsid w:val="3E7358EE"/>
    <w:rsid w:val="3E746D7E"/>
    <w:rsid w:val="3E772758"/>
    <w:rsid w:val="3E79027E"/>
    <w:rsid w:val="3E7A3FF6"/>
    <w:rsid w:val="3E7C084C"/>
    <w:rsid w:val="3E815E94"/>
    <w:rsid w:val="3E824A11"/>
    <w:rsid w:val="3E83486D"/>
    <w:rsid w:val="3E834C59"/>
    <w:rsid w:val="3E846C23"/>
    <w:rsid w:val="3E857D03"/>
    <w:rsid w:val="3E8B6203"/>
    <w:rsid w:val="3E8D5AD7"/>
    <w:rsid w:val="3E8F18F5"/>
    <w:rsid w:val="3E927592"/>
    <w:rsid w:val="3E9560B7"/>
    <w:rsid w:val="3E990920"/>
    <w:rsid w:val="3E9A1FA2"/>
    <w:rsid w:val="3E9D5996"/>
    <w:rsid w:val="3E9E2257"/>
    <w:rsid w:val="3E9F19CB"/>
    <w:rsid w:val="3EA13331"/>
    <w:rsid w:val="3EA5274E"/>
    <w:rsid w:val="3EA64DEB"/>
    <w:rsid w:val="3EA80B63"/>
    <w:rsid w:val="3EAD487E"/>
    <w:rsid w:val="3EAD7F28"/>
    <w:rsid w:val="3EAE5A4E"/>
    <w:rsid w:val="3EB07A18"/>
    <w:rsid w:val="3EB27775"/>
    <w:rsid w:val="3EB470D7"/>
    <w:rsid w:val="3EB56DDC"/>
    <w:rsid w:val="3EBC016B"/>
    <w:rsid w:val="3EBD5197"/>
    <w:rsid w:val="3EBF7C5B"/>
    <w:rsid w:val="3EC11C25"/>
    <w:rsid w:val="3EC425C4"/>
    <w:rsid w:val="3ECA6D2C"/>
    <w:rsid w:val="3ECE7988"/>
    <w:rsid w:val="3ED40106"/>
    <w:rsid w:val="3ED8360B"/>
    <w:rsid w:val="3EDA0523"/>
    <w:rsid w:val="3EDC080D"/>
    <w:rsid w:val="3EDF090D"/>
    <w:rsid w:val="3EE15E23"/>
    <w:rsid w:val="3EEB1E76"/>
    <w:rsid w:val="3EEF22EE"/>
    <w:rsid w:val="3EF23B8C"/>
    <w:rsid w:val="3EF55704"/>
    <w:rsid w:val="3EF75453"/>
    <w:rsid w:val="3EF766CA"/>
    <w:rsid w:val="3EFC2A06"/>
    <w:rsid w:val="3EFC5866"/>
    <w:rsid w:val="3F0006E1"/>
    <w:rsid w:val="3F00274D"/>
    <w:rsid w:val="3F010273"/>
    <w:rsid w:val="3F041198"/>
    <w:rsid w:val="3F0538C0"/>
    <w:rsid w:val="3F067638"/>
    <w:rsid w:val="3F0A537A"/>
    <w:rsid w:val="3F0A7FA0"/>
    <w:rsid w:val="3F0D09C6"/>
    <w:rsid w:val="3F0F0BE2"/>
    <w:rsid w:val="3F0F2990"/>
    <w:rsid w:val="3F11495A"/>
    <w:rsid w:val="3F141D55"/>
    <w:rsid w:val="3F147FA7"/>
    <w:rsid w:val="3F164A3D"/>
    <w:rsid w:val="3F19736B"/>
    <w:rsid w:val="3F1A15A0"/>
    <w:rsid w:val="3F1B1335"/>
    <w:rsid w:val="3F1C50AD"/>
    <w:rsid w:val="3F1D32FF"/>
    <w:rsid w:val="3F1E0E25"/>
    <w:rsid w:val="3F2301EA"/>
    <w:rsid w:val="3F266AA8"/>
    <w:rsid w:val="3F275F2C"/>
    <w:rsid w:val="3F277CDA"/>
    <w:rsid w:val="3F285800"/>
    <w:rsid w:val="3F2A77CA"/>
    <w:rsid w:val="3F2D1069"/>
    <w:rsid w:val="3F32042D"/>
    <w:rsid w:val="3F3917BB"/>
    <w:rsid w:val="3F397A0D"/>
    <w:rsid w:val="3F3A01B8"/>
    <w:rsid w:val="3F3A3A46"/>
    <w:rsid w:val="3F3D74FE"/>
    <w:rsid w:val="3F401D03"/>
    <w:rsid w:val="3F402B4A"/>
    <w:rsid w:val="3F406FEE"/>
    <w:rsid w:val="3F436A47"/>
    <w:rsid w:val="3F47037C"/>
    <w:rsid w:val="3F474FAC"/>
    <w:rsid w:val="3F4924A5"/>
    <w:rsid w:val="3F4D34B9"/>
    <w:rsid w:val="3F4D73A5"/>
    <w:rsid w:val="3F514D57"/>
    <w:rsid w:val="3F544847"/>
    <w:rsid w:val="3F556B53"/>
    <w:rsid w:val="3F5A1E64"/>
    <w:rsid w:val="3F5B0817"/>
    <w:rsid w:val="3F5B3E28"/>
    <w:rsid w:val="3F5C54AA"/>
    <w:rsid w:val="3F620D12"/>
    <w:rsid w:val="3F631D44"/>
    <w:rsid w:val="3F634A8A"/>
    <w:rsid w:val="3F6444D4"/>
    <w:rsid w:val="3F67457A"/>
    <w:rsid w:val="3F685DEA"/>
    <w:rsid w:val="3F696545"/>
    <w:rsid w:val="3F6C1B91"/>
    <w:rsid w:val="3F6C7DE3"/>
    <w:rsid w:val="3F6E3B5B"/>
    <w:rsid w:val="3F6E5909"/>
    <w:rsid w:val="3F6F78D3"/>
    <w:rsid w:val="3F7241FA"/>
    <w:rsid w:val="3F746C97"/>
    <w:rsid w:val="3F7B230B"/>
    <w:rsid w:val="3F7B2D15"/>
    <w:rsid w:val="3F830C89"/>
    <w:rsid w:val="3F852C53"/>
    <w:rsid w:val="3F8663DE"/>
    <w:rsid w:val="3F8762E6"/>
    <w:rsid w:val="3F8C0042"/>
    <w:rsid w:val="3F8C6B08"/>
    <w:rsid w:val="3F8E1B07"/>
    <w:rsid w:val="3F9240AD"/>
    <w:rsid w:val="3F941E72"/>
    <w:rsid w:val="3F9609BC"/>
    <w:rsid w:val="3F966588"/>
    <w:rsid w:val="3F9703A6"/>
    <w:rsid w:val="3F9738E4"/>
    <w:rsid w:val="3F9B2476"/>
    <w:rsid w:val="3F9D1D4A"/>
    <w:rsid w:val="3F9D7F9C"/>
    <w:rsid w:val="3F9F48BC"/>
    <w:rsid w:val="3FAE09D4"/>
    <w:rsid w:val="3FAF7CCF"/>
    <w:rsid w:val="3FB05F21"/>
    <w:rsid w:val="3FB11C9A"/>
    <w:rsid w:val="3FB157F6"/>
    <w:rsid w:val="3FB35A36"/>
    <w:rsid w:val="3FB3662D"/>
    <w:rsid w:val="3FB5178A"/>
    <w:rsid w:val="3FB6105E"/>
    <w:rsid w:val="3FB62E0C"/>
    <w:rsid w:val="3FBA6DA0"/>
    <w:rsid w:val="3FC11176"/>
    <w:rsid w:val="3FC372B1"/>
    <w:rsid w:val="3FC512A1"/>
    <w:rsid w:val="3FC92B3F"/>
    <w:rsid w:val="3FD11FAF"/>
    <w:rsid w:val="3FD61700"/>
    <w:rsid w:val="3FDA2F9E"/>
    <w:rsid w:val="3FDA7253"/>
    <w:rsid w:val="3FDB17C4"/>
    <w:rsid w:val="3FDC0668"/>
    <w:rsid w:val="3FE060DB"/>
    <w:rsid w:val="3FE26F6C"/>
    <w:rsid w:val="3FF027C2"/>
    <w:rsid w:val="3FF102E8"/>
    <w:rsid w:val="3FF67059"/>
    <w:rsid w:val="3FF83425"/>
    <w:rsid w:val="3FFB26A8"/>
    <w:rsid w:val="40003751"/>
    <w:rsid w:val="40012B86"/>
    <w:rsid w:val="400224F5"/>
    <w:rsid w:val="40041DC9"/>
    <w:rsid w:val="40072262"/>
    <w:rsid w:val="400E2C48"/>
    <w:rsid w:val="400E49F6"/>
    <w:rsid w:val="40103246"/>
    <w:rsid w:val="401069C0"/>
    <w:rsid w:val="40152228"/>
    <w:rsid w:val="401564AB"/>
    <w:rsid w:val="40161AFD"/>
    <w:rsid w:val="401A5433"/>
    <w:rsid w:val="401C65C3"/>
    <w:rsid w:val="40251D40"/>
    <w:rsid w:val="402B1A4C"/>
    <w:rsid w:val="402B6BAA"/>
    <w:rsid w:val="402C129D"/>
    <w:rsid w:val="402C30CE"/>
    <w:rsid w:val="40300A76"/>
    <w:rsid w:val="40300E10"/>
    <w:rsid w:val="403501D5"/>
    <w:rsid w:val="403B1563"/>
    <w:rsid w:val="403D2262"/>
    <w:rsid w:val="403F72A5"/>
    <w:rsid w:val="40414DCB"/>
    <w:rsid w:val="40454BCA"/>
    <w:rsid w:val="404638FC"/>
    <w:rsid w:val="40472403"/>
    <w:rsid w:val="4047615A"/>
    <w:rsid w:val="404A6A10"/>
    <w:rsid w:val="405014B2"/>
    <w:rsid w:val="40534AFF"/>
    <w:rsid w:val="40582115"/>
    <w:rsid w:val="40595BA0"/>
    <w:rsid w:val="405D597D"/>
    <w:rsid w:val="40644F5E"/>
    <w:rsid w:val="4065146E"/>
    <w:rsid w:val="4068695F"/>
    <w:rsid w:val="40692574"/>
    <w:rsid w:val="406B1E48"/>
    <w:rsid w:val="406D76A1"/>
    <w:rsid w:val="40704A37"/>
    <w:rsid w:val="407056B1"/>
    <w:rsid w:val="40707630"/>
    <w:rsid w:val="407451A1"/>
    <w:rsid w:val="4075481D"/>
    <w:rsid w:val="407A6407"/>
    <w:rsid w:val="407D392A"/>
    <w:rsid w:val="407D712F"/>
    <w:rsid w:val="40842268"/>
    <w:rsid w:val="40842F0A"/>
    <w:rsid w:val="40871387"/>
    <w:rsid w:val="40896772"/>
    <w:rsid w:val="408D1DBF"/>
    <w:rsid w:val="408D6263"/>
    <w:rsid w:val="4090365D"/>
    <w:rsid w:val="40905D53"/>
    <w:rsid w:val="40907B01"/>
    <w:rsid w:val="40925627"/>
    <w:rsid w:val="409619DD"/>
    <w:rsid w:val="40970E8F"/>
    <w:rsid w:val="40980764"/>
    <w:rsid w:val="409A035E"/>
    <w:rsid w:val="409B378D"/>
    <w:rsid w:val="409E221E"/>
    <w:rsid w:val="40A05660"/>
    <w:rsid w:val="40A23390"/>
    <w:rsid w:val="40A37834"/>
    <w:rsid w:val="40A62E81"/>
    <w:rsid w:val="40AA0BC3"/>
    <w:rsid w:val="40AB5373"/>
    <w:rsid w:val="40B5199F"/>
    <w:rsid w:val="40B530C4"/>
    <w:rsid w:val="40B76E3C"/>
    <w:rsid w:val="40BA692C"/>
    <w:rsid w:val="40BB5C8B"/>
    <w:rsid w:val="40BB5E41"/>
    <w:rsid w:val="40BF54B6"/>
    <w:rsid w:val="40C31C84"/>
    <w:rsid w:val="40C44A5B"/>
    <w:rsid w:val="40C833DC"/>
    <w:rsid w:val="40C854ED"/>
    <w:rsid w:val="40C96B6F"/>
    <w:rsid w:val="40CF12A7"/>
    <w:rsid w:val="40D7128C"/>
    <w:rsid w:val="40D7383D"/>
    <w:rsid w:val="40D75730"/>
    <w:rsid w:val="40D81790"/>
    <w:rsid w:val="40D93256"/>
    <w:rsid w:val="40DA6FCE"/>
    <w:rsid w:val="40DB0080"/>
    <w:rsid w:val="40DB5220"/>
    <w:rsid w:val="40DE086C"/>
    <w:rsid w:val="40E02836"/>
    <w:rsid w:val="40E83499"/>
    <w:rsid w:val="40EB2F89"/>
    <w:rsid w:val="40EB4D37"/>
    <w:rsid w:val="40F0234E"/>
    <w:rsid w:val="40F40090"/>
    <w:rsid w:val="40F43C25"/>
    <w:rsid w:val="40F736DC"/>
    <w:rsid w:val="40F938F8"/>
    <w:rsid w:val="40FA31CC"/>
    <w:rsid w:val="40FE0F0E"/>
    <w:rsid w:val="41016309"/>
    <w:rsid w:val="41045C9E"/>
    <w:rsid w:val="410D1152"/>
    <w:rsid w:val="410D4CAE"/>
    <w:rsid w:val="410F6713"/>
    <w:rsid w:val="41114A04"/>
    <w:rsid w:val="41120516"/>
    <w:rsid w:val="4114603C"/>
    <w:rsid w:val="41175B2C"/>
    <w:rsid w:val="41183572"/>
    <w:rsid w:val="41195D48"/>
    <w:rsid w:val="411E510D"/>
    <w:rsid w:val="412073E8"/>
    <w:rsid w:val="41230975"/>
    <w:rsid w:val="41260850"/>
    <w:rsid w:val="41270E47"/>
    <w:rsid w:val="41272213"/>
    <w:rsid w:val="41296327"/>
    <w:rsid w:val="412A14CD"/>
    <w:rsid w:val="412A3AB2"/>
    <w:rsid w:val="412B15D8"/>
    <w:rsid w:val="412D5350"/>
    <w:rsid w:val="412E149E"/>
    <w:rsid w:val="4130498B"/>
    <w:rsid w:val="41313092"/>
    <w:rsid w:val="41327B1D"/>
    <w:rsid w:val="41362456"/>
    <w:rsid w:val="41382494"/>
    <w:rsid w:val="41390199"/>
    <w:rsid w:val="413D1A37"/>
    <w:rsid w:val="413E2D18"/>
    <w:rsid w:val="41406E31"/>
    <w:rsid w:val="414803DC"/>
    <w:rsid w:val="41483F38"/>
    <w:rsid w:val="414A4EB8"/>
    <w:rsid w:val="414C56AB"/>
    <w:rsid w:val="414F176A"/>
    <w:rsid w:val="41504494"/>
    <w:rsid w:val="41504943"/>
    <w:rsid w:val="41546D80"/>
    <w:rsid w:val="4157061F"/>
    <w:rsid w:val="415A01F3"/>
    <w:rsid w:val="41601281"/>
    <w:rsid w:val="41674374"/>
    <w:rsid w:val="41686388"/>
    <w:rsid w:val="416A0352"/>
    <w:rsid w:val="416A65A4"/>
    <w:rsid w:val="416A7152"/>
    <w:rsid w:val="416A7C0C"/>
    <w:rsid w:val="416F3546"/>
    <w:rsid w:val="416F5968"/>
    <w:rsid w:val="416F7716"/>
    <w:rsid w:val="41717932"/>
    <w:rsid w:val="41727207"/>
    <w:rsid w:val="41790595"/>
    <w:rsid w:val="417B1896"/>
    <w:rsid w:val="417E7959"/>
    <w:rsid w:val="418036D2"/>
    <w:rsid w:val="41831414"/>
    <w:rsid w:val="41850217"/>
    <w:rsid w:val="41850CE8"/>
    <w:rsid w:val="41874618"/>
    <w:rsid w:val="41886A2A"/>
    <w:rsid w:val="418A09F4"/>
    <w:rsid w:val="418A27A2"/>
    <w:rsid w:val="418B7E6D"/>
    <w:rsid w:val="418D5DEE"/>
    <w:rsid w:val="419158DF"/>
    <w:rsid w:val="41923405"/>
    <w:rsid w:val="419327FA"/>
    <w:rsid w:val="41941DFC"/>
    <w:rsid w:val="4194717D"/>
    <w:rsid w:val="41955799"/>
    <w:rsid w:val="419569C9"/>
    <w:rsid w:val="41990C37"/>
    <w:rsid w:val="41991DB0"/>
    <w:rsid w:val="419B49AF"/>
    <w:rsid w:val="419E624E"/>
    <w:rsid w:val="419E64E5"/>
    <w:rsid w:val="41AA074E"/>
    <w:rsid w:val="41AE46E3"/>
    <w:rsid w:val="41AF045B"/>
    <w:rsid w:val="41B034B4"/>
    <w:rsid w:val="41B1600A"/>
    <w:rsid w:val="41B16A4B"/>
    <w:rsid w:val="41B61F00"/>
    <w:rsid w:val="41B810BD"/>
    <w:rsid w:val="41BD42ED"/>
    <w:rsid w:val="41C04416"/>
    <w:rsid w:val="41C061C4"/>
    <w:rsid w:val="41C17BF0"/>
    <w:rsid w:val="41C21F3C"/>
    <w:rsid w:val="41C31810"/>
    <w:rsid w:val="41C41A95"/>
    <w:rsid w:val="41C77552"/>
    <w:rsid w:val="41C96953"/>
    <w:rsid w:val="41CB08A2"/>
    <w:rsid w:val="41CC6917"/>
    <w:rsid w:val="41CD08F5"/>
    <w:rsid w:val="41CE268F"/>
    <w:rsid w:val="41CE34E5"/>
    <w:rsid w:val="41CF37F5"/>
    <w:rsid w:val="41D13F2D"/>
    <w:rsid w:val="41D41C6F"/>
    <w:rsid w:val="41D63C39"/>
    <w:rsid w:val="41D659E7"/>
    <w:rsid w:val="41DA7286"/>
    <w:rsid w:val="41DD28D2"/>
    <w:rsid w:val="41DD6D76"/>
    <w:rsid w:val="41DF31A7"/>
    <w:rsid w:val="41E225DE"/>
    <w:rsid w:val="41E2613A"/>
    <w:rsid w:val="41E33C60"/>
    <w:rsid w:val="41E77BF5"/>
    <w:rsid w:val="41E9571B"/>
    <w:rsid w:val="41E974C9"/>
    <w:rsid w:val="41EA1493"/>
    <w:rsid w:val="41EB7C13"/>
    <w:rsid w:val="41EE076D"/>
    <w:rsid w:val="41F30347"/>
    <w:rsid w:val="41F4499C"/>
    <w:rsid w:val="41F61BE6"/>
    <w:rsid w:val="41F66AB4"/>
    <w:rsid w:val="41F84348"/>
    <w:rsid w:val="41F8770C"/>
    <w:rsid w:val="41FB2144"/>
    <w:rsid w:val="41FB36A0"/>
    <w:rsid w:val="41FC2C0A"/>
    <w:rsid w:val="41FD3881"/>
    <w:rsid w:val="41FF6CEC"/>
    <w:rsid w:val="4200449D"/>
    <w:rsid w:val="42010CB6"/>
    <w:rsid w:val="4202058A"/>
    <w:rsid w:val="42041463"/>
    <w:rsid w:val="42044568"/>
    <w:rsid w:val="420E5181"/>
    <w:rsid w:val="42133F79"/>
    <w:rsid w:val="42134546"/>
    <w:rsid w:val="421502BE"/>
    <w:rsid w:val="42154762"/>
    <w:rsid w:val="42167DEC"/>
    <w:rsid w:val="42176448"/>
    <w:rsid w:val="421B789E"/>
    <w:rsid w:val="421D44F9"/>
    <w:rsid w:val="421F738E"/>
    <w:rsid w:val="42213106"/>
    <w:rsid w:val="42223F66"/>
    <w:rsid w:val="422449A5"/>
    <w:rsid w:val="422837DE"/>
    <w:rsid w:val="42295B17"/>
    <w:rsid w:val="422C3859"/>
    <w:rsid w:val="4230334A"/>
    <w:rsid w:val="4235270E"/>
    <w:rsid w:val="42383FAC"/>
    <w:rsid w:val="423A3BCC"/>
    <w:rsid w:val="423F17DF"/>
    <w:rsid w:val="42402E61"/>
    <w:rsid w:val="42415557"/>
    <w:rsid w:val="42417305"/>
    <w:rsid w:val="42425F4A"/>
    <w:rsid w:val="424E57D2"/>
    <w:rsid w:val="425012F6"/>
    <w:rsid w:val="42507548"/>
    <w:rsid w:val="425132C0"/>
    <w:rsid w:val="4258464E"/>
    <w:rsid w:val="425966D3"/>
    <w:rsid w:val="425C6541"/>
    <w:rsid w:val="425D777C"/>
    <w:rsid w:val="425F59DD"/>
    <w:rsid w:val="425F778B"/>
    <w:rsid w:val="42611755"/>
    <w:rsid w:val="42621029"/>
    <w:rsid w:val="42754064"/>
    <w:rsid w:val="427B20EB"/>
    <w:rsid w:val="4283791D"/>
    <w:rsid w:val="42844BC6"/>
    <w:rsid w:val="42862F6A"/>
    <w:rsid w:val="42864D18"/>
    <w:rsid w:val="428B0580"/>
    <w:rsid w:val="428C42F8"/>
    <w:rsid w:val="428E0070"/>
    <w:rsid w:val="42925DB2"/>
    <w:rsid w:val="429338D8"/>
    <w:rsid w:val="429733C9"/>
    <w:rsid w:val="42997C24"/>
    <w:rsid w:val="429A10B4"/>
    <w:rsid w:val="429B2728"/>
    <w:rsid w:val="42A11B51"/>
    <w:rsid w:val="42A258CA"/>
    <w:rsid w:val="42A67168"/>
    <w:rsid w:val="42A72228"/>
    <w:rsid w:val="42A75B77"/>
    <w:rsid w:val="42A930FC"/>
    <w:rsid w:val="42AE24C0"/>
    <w:rsid w:val="42B06238"/>
    <w:rsid w:val="42B1225C"/>
    <w:rsid w:val="42B20202"/>
    <w:rsid w:val="42B26C49"/>
    <w:rsid w:val="42B45D29"/>
    <w:rsid w:val="42B530EB"/>
    <w:rsid w:val="42B86E9B"/>
    <w:rsid w:val="42B871C2"/>
    <w:rsid w:val="42C27D1A"/>
    <w:rsid w:val="42C41750"/>
    <w:rsid w:val="42C45840"/>
    <w:rsid w:val="42C46384"/>
    <w:rsid w:val="42C557B1"/>
    <w:rsid w:val="42C817D4"/>
    <w:rsid w:val="42CB3072"/>
    <w:rsid w:val="42D00689"/>
    <w:rsid w:val="42D02437"/>
    <w:rsid w:val="42DD6902"/>
    <w:rsid w:val="42DE0FF8"/>
    <w:rsid w:val="42DE4EC8"/>
    <w:rsid w:val="42E10D3E"/>
    <w:rsid w:val="42E27DDC"/>
    <w:rsid w:val="42E303BC"/>
    <w:rsid w:val="42E475F9"/>
    <w:rsid w:val="42E859D2"/>
    <w:rsid w:val="42E87780"/>
    <w:rsid w:val="42ED4213"/>
    <w:rsid w:val="42F44377"/>
    <w:rsid w:val="42F779C3"/>
    <w:rsid w:val="42FA2C71"/>
    <w:rsid w:val="42FA74B4"/>
    <w:rsid w:val="42FC76D0"/>
    <w:rsid w:val="42FE0D52"/>
    <w:rsid w:val="42FE52B7"/>
    <w:rsid w:val="42FF3FE9"/>
    <w:rsid w:val="430116F2"/>
    <w:rsid w:val="430125FC"/>
    <w:rsid w:val="4303280C"/>
    <w:rsid w:val="430622FC"/>
    <w:rsid w:val="43065E58"/>
    <w:rsid w:val="4306667C"/>
    <w:rsid w:val="43081263"/>
    <w:rsid w:val="430B5375"/>
    <w:rsid w:val="430D3E24"/>
    <w:rsid w:val="430D5439"/>
    <w:rsid w:val="430D71E7"/>
    <w:rsid w:val="43106CD7"/>
    <w:rsid w:val="43122A4F"/>
    <w:rsid w:val="431247FD"/>
    <w:rsid w:val="43140575"/>
    <w:rsid w:val="43144A19"/>
    <w:rsid w:val="4315253F"/>
    <w:rsid w:val="43170066"/>
    <w:rsid w:val="43195B8C"/>
    <w:rsid w:val="431B1B9B"/>
    <w:rsid w:val="431C1B20"/>
    <w:rsid w:val="4324765C"/>
    <w:rsid w:val="432602A9"/>
    <w:rsid w:val="43282273"/>
    <w:rsid w:val="432B58BF"/>
    <w:rsid w:val="432C1DDD"/>
    <w:rsid w:val="432C22FD"/>
    <w:rsid w:val="432D7889"/>
    <w:rsid w:val="432F47B6"/>
    <w:rsid w:val="43302ED5"/>
    <w:rsid w:val="43341555"/>
    <w:rsid w:val="433469DC"/>
    <w:rsid w:val="43362122"/>
    <w:rsid w:val="43377FF5"/>
    <w:rsid w:val="43385AD2"/>
    <w:rsid w:val="433962C9"/>
    <w:rsid w:val="433A6FE6"/>
    <w:rsid w:val="433C5D1E"/>
    <w:rsid w:val="434150E2"/>
    <w:rsid w:val="4344430F"/>
    <w:rsid w:val="43476B9D"/>
    <w:rsid w:val="43480868"/>
    <w:rsid w:val="4350713C"/>
    <w:rsid w:val="43543068"/>
    <w:rsid w:val="435D4C1C"/>
    <w:rsid w:val="435E4D1A"/>
    <w:rsid w:val="435E7A42"/>
    <w:rsid w:val="4361616E"/>
    <w:rsid w:val="436332AB"/>
    <w:rsid w:val="436533AE"/>
    <w:rsid w:val="43655275"/>
    <w:rsid w:val="436653E0"/>
    <w:rsid w:val="436A26DF"/>
    <w:rsid w:val="436A63E7"/>
    <w:rsid w:val="43707776"/>
    <w:rsid w:val="437239C9"/>
    <w:rsid w:val="437372DB"/>
    <w:rsid w:val="437379B1"/>
    <w:rsid w:val="437454B8"/>
    <w:rsid w:val="43770B04"/>
    <w:rsid w:val="43780409"/>
    <w:rsid w:val="437C5721"/>
    <w:rsid w:val="437E1E93"/>
    <w:rsid w:val="437E6337"/>
    <w:rsid w:val="43873401"/>
    <w:rsid w:val="438A118D"/>
    <w:rsid w:val="438C286B"/>
    <w:rsid w:val="438D0328"/>
    <w:rsid w:val="43903A09"/>
    <w:rsid w:val="439711A6"/>
    <w:rsid w:val="43985491"/>
    <w:rsid w:val="43993170"/>
    <w:rsid w:val="439A505E"/>
    <w:rsid w:val="439B2A45"/>
    <w:rsid w:val="439D37F0"/>
    <w:rsid w:val="439D4A0F"/>
    <w:rsid w:val="439E42E3"/>
    <w:rsid w:val="43A0005B"/>
    <w:rsid w:val="43A01E09"/>
    <w:rsid w:val="43A044FF"/>
    <w:rsid w:val="43A63197"/>
    <w:rsid w:val="43A713E9"/>
    <w:rsid w:val="43A73BF1"/>
    <w:rsid w:val="43A7763B"/>
    <w:rsid w:val="43A85162"/>
    <w:rsid w:val="43AA0EDA"/>
    <w:rsid w:val="43AA1790"/>
    <w:rsid w:val="43AA2623"/>
    <w:rsid w:val="43AD2778"/>
    <w:rsid w:val="43AF64F0"/>
    <w:rsid w:val="43B27D8E"/>
    <w:rsid w:val="43B458B4"/>
    <w:rsid w:val="43BB30E7"/>
    <w:rsid w:val="43BC29BB"/>
    <w:rsid w:val="43BD0C0D"/>
    <w:rsid w:val="43BD12C3"/>
    <w:rsid w:val="43BD1491"/>
    <w:rsid w:val="43BF2BD7"/>
    <w:rsid w:val="43C31F9B"/>
    <w:rsid w:val="43C4431A"/>
    <w:rsid w:val="43C55D14"/>
    <w:rsid w:val="43C60124"/>
    <w:rsid w:val="43C71A8C"/>
    <w:rsid w:val="43C95804"/>
    <w:rsid w:val="43CA280D"/>
    <w:rsid w:val="43CA332A"/>
    <w:rsid w:val="43CB4BD1"/>
    <w:rsid w:val="43D02C9C"/>
    <w:rsid w:val="43D03E57"/>
    <w:rsid w:val="43D10CCB"/>
    <w:rsid w:val="43D60DB0"/>
    <w:rsid w:val="43D674C5"/>
    <w:rsid w:val="43D85A47"/>
    <w:rsid w:val="43DB2051"/>
    <w:rsid w:val="43DF2DC5"/>
    <w:rsid w:val="43E17924"/>
    <w:rsid w:val="43E268C5"/>
    <w:rsid w:val="43E30CD8"/>
    <w:rsid w:val="43E53CC0"/>
    <w:rsid w:val="43E75C8A"/>
    <w:rsid w:val="43E97C54"/>
    <w:rsid w:val="43EE0A42"/>
    <w:rsid w:val="43F02DE7"/>
    <w:rsid w:val="43F13A56"/>
    <w:rsid w:val="43F1416C"/>
    <w:rsid w:val="43F860E9"/>
    <w:rsid w:val="43FC569C"/>
    <w:rsid w:val="43FD725B"/>
    <w:rsid w:val="44006D4C"/>
    <w:rsid w:val="44024872"/>
    <w:rsid w:val="44047066"/>
    <w:rsid w:val="44056103"/>
    <w:rsid w:val="4407632C"/>
    <w:rsid w:val="44084034"/>
    <w:rsid w:val="440A3726"/>
    <w:rsid w:val="440A5A5D"/>
    <w:rsid w:val="440C56F0"/>
    <w:rsid w:val="440E23CF"/>
    <w:rsid w:val="440F51E1"/>
    <w:rsid w:val="44185E43"/>
    <w:rsid w:val="441F5424"/>
    <w:rsid w:val="4420119C"/>
    <w:rsid w:val="44216EB8"/>
    <w:rsid w:val="44224F14"/>
    <w:rsid w:val="442944F4"/>
    <w:rsid w:val="442962A2"/>
    <w:rsid w:val="442A3DC9"/>
    <w:rsid w:val="442A5B77"/>
    <w:rsid w:val="442A6A3F"/>
    <w:rsid w:val="442B201A"/>
    <w:rsid w:val="44305F71"/>
    <w:rsid w:val="443609BF"/>
    <w:rsid w:val="443864E5"/>
    <w:rsid w:val="44386A0C"/>
    <w:rsid w:val="443A225E"/>
    <w:rsid w:val="443C4228"/>
    <w:rsid w:val="443F6F60"/>
    <w:rsid w:val="443F7874"/>
    <w:rsid w:val="44427364"/>
    <w:rsid w:val="44462500"/>
    <w:rsid w:val="44472BCC"/>
    <w:rsid w:val="44494453"/>
    <w:rsid w:val="444A6219"/>
    <w:rsid w:val="444F0B46"/>
    <w:rsid w:val="445175A7"/>
    <w:rsid w:val="44531571"/>
    <w:rsid w:val="4453331F"/>
    <w:rsid w:val="44550E45"/>
    <w:rsid w:val="4459215B"/>
    <w:rsid w:val="445A0AE0"/>
    <w:rsid w:val="445A2900"/>
    <w:rsid w:val="445B0426"/>
    <w:rsid w:val="445C4285"/>
    <w:rsid w:val="445C6678"/>
    <w:rsid w:val="445D7CFA"/>
    <w:rsid w:val="44613C8E"/>
    <w:rsid w:val="44676DCB"/>
    <w:rsid w:val="446E1F07"/>
    <w:rsid w:val="446E1F5A"/>
    <w:rsid w:val="447119F7"/>
    <w:rsid w:val="4471286C"/>
    <w:rsid w:val="447329E5"/>
    <w:rsid w:val="447339C1"/>
    <w:rsid w:val="4473751E"/>
    <w:rsid w:val="44737E08"/>
    <w:rsid w:val="447514E8"/>
    <w:rsid w:val="44775260"/>
    <w:rsid w:val="447C2876"/>
    <w:rsid w:val="447D039C"/>
    <w:rsid w:val="447F3D72"/>
    <w:rsid w:val="447F4114"/>
    <w:rsid w:val="447F5EC2"/>
    <w:rsid w:val="448B4F61"/>
    <w:rsid w:val="448C05DF"/>
    <w:rsid w:val="448C6831"/>
    <w:rsid w:val="449000D0"/>
    <w:rsid w:val="44900788"/>
    <w:rsid w:val="44914615"/>
    <w:rsid w:val="44915BF6"/>
    <w:rsid w:val="44936F46"/>
    <w:rsid w:val="4494346C"/>
    <w:rsid w:val="44957494"/>
    <w:rsid w:val="449851D6"/>
    <w:rsid w:val="4499664B"/>
    <w:rsid w:val="449D0A3E"/>
    <w:rsid w:val="449D27EC"/>
    <w:rsid w:val="44A1052F"/>
    <w:rsid w:val="44A21BB1"/>
    <w:rsid w:val="44A5565A"/>
    <w:rsid w:val="44A616A1"/>
    <w:rsid w:val="44A678F3"/>
    <w:rsid w:val="44A92F3F"/>
    <w:rsid w:val="44AC2A30"/>
    <w:rsid w:val="44B042CE"/>
    <w:rsid w:val="44B508AD"/>
    <w:rsid w:val="44B87626"/>
    <w:rsid w:val="44B951CC"/>
    <w:rsid w:val="44C036BD"/>
    <w:rsid w:val="44C24001"/>
    <w:rsid w:val="44C257D4"/>
    <w:rsid w:val="44C61D43"/>
    <w:rsid w:val="44C71617"/>
    <w:rsid w:val="44C73978"/>
    <w:rsid w:val="44C800DB"/>
    <w:rsid w:val="44C8433A"/>
    <w:rsid w:val="44C91833"/>
    <w:rsid w:val="44CD14E0"/>
    <w:rsid w:val="44CD30D2"/>
    <w:rsid w:val="44CE0BF8"/>
    <w:rsid w:val="44D206E8"/>
    <w:rsid w:val="44D3620E"/>
    <w:rsid w:val="44D722BC"/>
    <w:rsid w:val="44DE4CB0"/>
    <w:rsid w:val="44DE708D"/>
    <w:rsid w:val="44E1092B"/>
    <w:rsid w:val="44E1098A"/>
    <w:rsid w:val="44E177B9"/>
    <w:rsid w:val="44E36EBE"/>
    <w:rsid w:val="44E50F6B"/>
    <w:rsid w:val="44E67CEF"/>
    <w:rsid w:val="44E7583F"/>
    <w:rsid w:val="44E93C84"/>
    <w:rsid w:val="44EA4970"/>
    <w:rsid w:val="44EF1F96"/>
    <w:rsid w:val="44F20B0B"/>
    <w:rsid w:val="44F25523"/>
    <w:rsid w:val="44F52628"/>
    <w:rsid w:val="44F5354B"/>
    <w:rsid w:val="44F543D6"/>
    <w:rsid w:val="44F92119"/>
    <w:rsid w:val="44FA379B"/>
    <w:rsid w:val="44FB62CC"/>
    <w:rsid w:val="44FE14DD"/>
    <w:rsid w:val="44FF0DB1"/>
    <w:rsid w:val="45036AF3"/>
    <w:rsid w:val="45063AB3"/>
    <w:rsid w:val="45085EB8"/>
    <w:rsid w:val="4509231A"/>
    <w:rsid w:val="45097E82"/>
    <w:rsid w:val="450A021D"/>
    <w:rsid w:val="450A60D4"/>
    <w:rsid w:val="450D1720"/>
    <w:rsid w:val="45111A73"/>
    <w:rsid w:val="451505D5"/>
    <w:rsid w:val="45156827"/>
    <w:rsid w:val="45161D4D"/>
    <w:rsid w:val="451707F1"/>
    <w:rsid w:val="451900C5"/>
    <w:rsid w:val="45192D66"/>
    <w:rsid w:val="451A7D74"/>
    <w:rsid w:val="451C7BB5"/>
    <w:rsid w:val="451E56DB"/>
    <w:rsid w:val="452137A8"/>
    <w:rsid w:val="45230F44"/>
    <w:rsid w:val="45252F0E"/>
    <w:rsid w:val="45286D33"/>
    <w:rsid w:val="452D1DC2"/>
    <w:rsid w:val="452D3B70"/>
    <w:rsid w:val="452E5F4C"/>
    <w:rsid w:val="453018B3"/>
    <w:rsid w:val="45362927"/>
    <w:rsid w:val="45366A52"/>
    <w:rsid w:val="453766E7"/>
    <w:rsid w:val="453B6B56"/>
    <w:rsid w:val="453E73B1"/>
    <w:rsid w:val="453F67C9"/>
    <w:rsid w:val="45412D85"/>
    <w:rsid w:val="4541586E"/>
    <w:rsid w:val="45492610"/>
    <w:rsid w:val="45505B10"/>
    <w:rsid w:val="45525385"/>
    <w:rsid w:val="45533C67"/>
    <w:rsid w:val="455A06DD"/>
    <w:rsid w:val="455B692F"/>
    <w:rsid w:val="455C4456"/>
    <w:rsid w:val="455F7AA2"/>
    <w:rsid w:val="45612018"/>
    <w:rsid w:val="45616A75"/>
    <w:rsid w:val="45637592"/>
    <w:rsid w:val="456652D4"/>
    <w:rsid w:val="45670165"/>
    <w:rsid w:val="45682DFA"/>
    <w:rsid w:val="456F23DB"/>
    <w:rsid w:val="456F4189"/>
    <w:rsid w:val="45703A5D"/>
    <w:rsid w:val="4574179F"/>
    <w:rsid w:val="457874C1"/>
    <w:rsid w:val="45793E0E"/>
    <w:rsid w:val="45795008"/>
    <w:rsid w:val="45796DB6"/>
    <w:rsid w:val="457C4AF8"/>
    <w:rsid w:val="457F63EC"/>
    <w:rsid w:val="4584426D"/>
    <w:rsid w:val="45865695"/>
    <w:rsid w:val="458946E9"/>
    <w:rsid w:val="458A0FC3"/>
    <w:rsid w:val="458D1186"/>
    <w:rsid w:val="458D460F"/>
    <w:rsid w:val="458D5460"/>
    <w:rsid w:val="458E5EE1"/>
    <w:rsid w:val="458E7ED9"/>
    <w:rsid w:val="458F015F"/>
    <w:rsid w:val="458F0387"/>
    <w:rsid w:val="458F3ABC"/>
    <w:rsid w:val="458F3C72"/>
    <w:rsid w:val="45991206"/>
    <w:rsid w:val="459C7567"/>
    <w:rsid w:val="459D696F"/>
    <w:rsid w:val="45A00B94"/>
    <w:rsid w:val="45A1630C"/>
    <w:rsid w:val="45A44FCD"/>
    <w:rsid w:val="45A47C0E"/>
    <w:rsid w:val="45AA1D44"/>
    <w:rsid w:val="45AA4CC6"/>
    <w:rsid w:val="45AD2F03"/>
    <w:rsid w:val="45AF3AE3"/>
    <w:rsid w:val="45B147A1"/>
    <w:rsid w:val="45B47DEE"/>
    <w:rsid w:val="45B84DAD"/>
    <w:rsid w:val="45BD01E3"/>
    <w:rsid w:val="45C1250B"/>
    <w:rsid w:val="45C363D7"/>
    <w:rsid w:val="45C73FC5"/>
    <w:rsid w:val="45C94918"/>
    <w:rsid w:val="45CA5863"/>
    <w:rsid w:val="45CD7313"/>
    <w:rsid w:val="45D67D64"/>
    <w:rsid w:val="45DE30BD"/>
    <w:rsid w:val="45DE6EEC"/>
    <w:rsid w:val="45E05087"/>
    <w:rsid w:val="45E32481"/>
    <w:rsid w:val="45E42C1A"/>
    <w:rsid w:val="45E4342C"/>
    <w:rsid w:val="45E5016B"/>
    <w:rsid w:val="45EA1019"/>
    <w:rsid w:val="45F026AD"/>
    <w:rsid w:val="45F0600F"/>
    <w:rsid w:val="45F428E0"/>
    <w:rsid w:val="45F4468E"/>
    <w:rsid w:val="45F91561"/>
    <w:rsid w:val="45FC7254"/>
    <w:rsid w:val="460074D7"/>
    <w:rsid w:val="46010231"/>
    <w:rsid w:val="460103E6"/>
    <w:rsid w:val="46020B59"/>
    <w:rsid w:val="460A3EB2"/>
    <w:rsid w:val="460A7FF5"/>
    <w:rsid w:val="460D47A6"/>
    <w:rsid w:val="460D7382"/>
    <w:rsid w:val="460F14C8"/>
    <w:rsid w:val="461026A2"/>
    <w:rsid w:val="46120473"/>
    <w:rsid w:val="46130FB8"/>
    <w:rsid w:val="4614088C"/>
    <w:rsid w:val="46162856"/>
    <w:rsid w:val="46166F98"/>
    <w:rsid w:val="4618408C"/>
    <w:rsid w:val="461A0599"/>
    <w:rsid w:val="461B1C1B"/>
    <w:rsid w:val="461D3BE5"/>
    <w:rsid w:val="461F5458"/>
    <w:rsid w:val="461F5BAF"/>
    <w:rsid w:val="461F6144"/>
    <w:rsid w:val="46207231"/>
    <w:rsid w:val="462214CE"/>
    <w:rsid w:val="46222FA9"/>
    <w:rsid w:val="46274A64"/>
    <w:rsid w:val="462A4554"/>
    <w:rsid w:val="462F1B6A"/>
    <w:rsid w:val="463D7DE3"/>
    <w:rsid w:val="46452166"/>
    <w:rsid w:val="46460118"/>
    <w:rsid w:val="464651B0"/>
    <w:rsid w:val="46477507"/>
    <w:rsid w:val="464949DA"/>
    <w:rsid w:val="46494FE1"/>
    <w:rsid w:val="46496788"/>
    <w:rsid w:val="464F5D68"/>
    <w:rsid w:val="46503FBA"/>
    <w:rsid w:val="4651388E"/>
    <w:rsid w:val="46514DDA"/>
    <w:rsid w:val="4654337F"/>
    <w:rsid w:val="4654527A"/>
    <w:rsid w:val="4656185A"/>
    <w:rsid w:val="46577FD6"/>
    <w:rsid w:val="46587F31"/>
    <w:rsid w:val="46590ACE"/>
    <w:rsid w:val="46623CEE"/>
    <w:rsid w:val="4665733A"/>
    <w:rsid w:val="46657EC9"/>
    <w:rsid w:val="46671304"/>
    <w:rsid w:val="466C691A"/>
    <w:rsid w:val="466E2692"/>
    <w:rsid w:val="466E26B2"/>
    <w:rsid w:val="46763517"/>
    <w:rsid w:val="4677113D"/>
    <w:rsid w:val="46786335"/>
    <w:rsid w:val="467B090B"/>
    <w:rsid w:val="467D4684"/>
    <w:rsid w:val="467E6E80"/>
    <w:rsid w:val="46800901"/>
    <w:rsid w:val="46805F22"/>
    <w:rsid w:val="46827EEC"/>
    <w:rsid w:val="468974CC"/>
    <w:rsid w:val="468D14AD"/>
    <w:rsid w:val="468E063F"/>
    <w:rsid w:val="4691012F"/>
    <w:rsid w:val="46933EA7"/>
    <w:rsid w:val="469435F1"/>
    <w:rsid w:val="469814BD"/>
    <w:rsid w:val="469D547F"/>
    <w:rsid w:val="469F14E0"/>
    <w:rsid w:val="46A14816"/>
    <w:rsid w:val="46A2233C"/>
    <w:rsid w:val="46A7492C"/>
    <w:rsid w:val="46AA2F9F"/>
    <w:rsid w:val="46AE2A8F"/>
    <w:rsid w:val="46B54E47"/>
    <w:rsid w:val="46B57A3E"/>
    <w:rsid w:val="46B65365"/>
    <w:rsid w:val="46B856BC"/>
    <w:rsid w:val="46BA7686"/>
    <w:rsid w:val="46BC1F6E"/>
    <w:rsid w:val="46BD7176"/>
    <w:rsid w:val="46BE611A"/>
    <w:rsid w:val="46BF2EEE"/>
    <w:rsid w:val="46C2775C"/>
    <w:rsid w:val="46C36D3C"/>
    <w:rsid w:val="46C422B2"/>
    <w:rsid w:val="46C67DD9"/>
    <w:rsid w:val="46CD560B"/>
    <w:rsid w:val="46CE2424"/>
    <w:rsid w:val="46CF05BF"/>
    <w:rsid w:val="46CF085C"/>
    <w:rsid w:val="46D00C57"/>
    <w:rsid w:val="46D01EA2"/>
    <w:rsid w:val="46D02701"/>
    <w:rsid w:val="46D30747"/>
    <w:rsid w:val="46D62851"/>
    <w:rsid w:val="46D955A7"/>
    <w:rsid w:val="46DA7D28"/>
    <w:rsid w:val="46DF0E9A"/>
    <w:rsid w:val="46E22739"/>
    <w:rsid w:val="46E36784"/>
    <w:rsid w:val="46E42955"/>
    <w:rsid w:val="46E464B1"/>
    <w:rsid w:val="46E6047B"/>
    <w:rsid w:val="46E769C3"/>
    <w:rsid w:val="46E97F6B"/>
    <w:rsid w:val="46F31E5A"/>
    <w:rsid w:val="46F50B99"/>
    <w:rsid w:val="46F801AE"/>
    <w:rsid w:val="46F96400"/>
    <w:rsid w:val="46FA3181"/>
    <w:rsid w:val="46FA61CA"/>
    <w:rsid w:val="47024B89"/>
    <w:rsid w:val="470A55FB"/>
    <w:rsid w:val="470B7EE1"/>
    <w:rsid w:val="47131BFB"/>
    <w:rsid w:val="47133957"/>
    <w:rsid w:val="471425D5"/>
    <w:rsid w:val="47152B0E"/>
    <w:rsid w:val="471647A2"/>
    <w:rsid w:val="47172E19"/>
    <w:rsid w:val="4717421D"/>
    <w:rsid w:val="47180B63"/>
    <w:rsid w:val="47190850"/>
    <w:rsid w:val="471B3FF5"/>
    <w:rsid w:val="471C20EE"/>
    <w:rsid w:val="471F1BDF"/>
    <w:rsid w:val="471F398D"/>
    <w:rsid w:val="47205296"/>
    <w:rsid w:val="47217705"/>
    <w:rsid w:val="47242D51"/>
    <w:rsid w:val="4725528A"/>
    <w:rsid w:val="47267EBE"/>
    <w:rsid w:val="47292751"/>
    <w:rsid w:val="472B0583"/>
    <w:rsid w:val="472D42FC"/>
    <w:rsid w:val="472D5909"/>
    <w:rsid w:val="472E42E4"/>
    <w:rsid w:val="47372E5C"/>
    <w:rsid w:val="473A07C7"/>
    <w:rsid w:val="473E5437"/>
    <w:rsid w:val="473F2011"/>
    <w:rsid w:val="47422C86"/>
    <w:rsid w:val="4743112D"/>
    <w:rsid w:val="47482EE3"/>
    <w:rsid w:val="474B2909"/>
    <w:rsid w:val="474D6E84"/>
    <w:rsid w:val="474E1F3C"/>
    <w:rsid w:val="474E580B"/>
    <w:rsid w:val="474E7DCE"/>
    <w:rsid w:val="474F068C"/>
    <w:rsid w:val="474F4272"/>
    <w:rsid w:val="47507FEA"/>
    <w:rsid w:val="4751486C"/>
    <w:rsid w:val="47525B10"/>
    <w:rsid w:val="475353E4"/>
    <w:rsid w:val="475437F3"/>
    <w:rsid w:val="47552708"/>
    <w:rsid w:val="47564DFB"/>
    <w:rsid w:val="475A49C5"/>
    <w:rsid w:val="475C073D"/>
    <w:rsid w:val="475E78D5"/>
    <w:rsid w:val="475E7DF6"/>
    <w:rsid w:val="47613FA5"/>
    <w:rsid w:val="476615BC"/>
    <w:rsid w:val="47680E90"/>
    <w:rsid w:val="476B1033"/>
    <w:rsid w:val="476D6AF7"/>
    <w:rsid w:val="476F0038"/>
    <w:rsid w:val="477261B2"/>
    <w:rsid w:val="47727F60"/>
    <w:rsid w:val="47737835"/>
    <w:rsid w:val="47745A86"/>
    <w:rsid w:val="47771BD9"/>
    <w:rsid w:val="47796D02"/>
    <w:rsid w:val="477A0BC3"/>
    <w:rsid w:val="477A4760"/>
    <w:rsid w:val="477B4524"/>
    <w:rsid w:val="477C0DDF"/>
    <w:rsid w:val="477C2B8D"/>
    <w:rsid w:val="477E0A07"/>
    <w:rsid w:val="477E22F4"/>
    <w:rsid w:val="477E4B57"/>
    <w:rsid w:val="477F61D9"/>
    <w:rsid w:val="47811F51"/>
    <w:rsid w:val="47833F1C"/>
    <w:rsid w:val="47881532"/>
    <w:rsid w:val="47896B2B"/>
    <w:rsid w:val="478B1022"/>
    <w:rsid w:val="478F28C0"/>
    <w:rsid w:val="479000C6"/>
    <w:rsid w:val="47990C52"/>
    <w:rsid w:val="4799729B"/>
    <w:rsid w:val="479B74B7"/>
    <w:rsid w:val="479C4FDD"/>
    <w:rsid w:val="479E0D55"/>
    <w:rsid w:val="479E48B1"/>
    <w:rsid w:val="479E6FA7"/>
    <w:rsid w:val="47A07E0C"/>
    <w:rsid w:val="47A14B07"/>
    <w:rsid w:val="47A619B8"/>
    <w:rsid w:val="47AB4DBB"/>
    <w:rsid w:val="47AB5220"/>
    <w:rsid w:val="47AD71EA"/>
    <w:rsid w:val="47B83392"/>
    <w:rsid w:val="47BB36B5"/>
    <w:rsid w:val="47C307BC"/>
    <w:rsid w:val="47C44006"/>
    <w:rsid w:val="47C50090"/>
    <w:rsid w:val="47C702AC"/>
    <w:rsid w:val="47C84024"/>
    <w:rsid w:val="47CA56A6"/>
    <w:rsid w:val="47CF53B3"/>
    <w:rsid w:val="47D46525"/>
    <w:rsid w:val="47DE1152"/>
    <w:rsid w:val="47DE73A4"/>
    <w:rsid w:val="47E0136E"/>
    <w:rsid w:val="47E04ECA"/>
    <w:rsid w:val="47E14E83"/>
    <w:rsid w:val="47E524E0"/>
    <w:rsid w:val="47E56984"/>
    <w:rsid w:val="47E66258"/>
    <w:rsid w:val="47E726FC"/>
    <w:rsid w:val="47E86299"/>
    <w:rsid w:val="47EA5D49"/>
    <w:rsid w:val="47EA7566"/>
    <w:rsid w:val="47EA7812"/>
    <w:rsid w:val="47ED61C2"/>
    <w:rsid w:val="47EF15B1"/>
    <w:rsid w:val="47F00E85"/>
    <w:rsid w:val="47F06392"/>
    <w:rsid w:val="47F15E72"/>
    <w:rsid w:val="47F24BFD"/>
    <w:rsid w:val="47F61ABC"/>
    <w:rsid w:val="47F61F52"/>
    <w:rsid w:val="47F86550"/>
    <w:rsid w:val="47F92430"/>
    <w:rsid w:val="47FE5A06"/>
    <w:rsid w:val="480037BE"/>
    <w:rsid w:val="48003AA7"/>
    <w:rsid w:val="48007DC3"/>
    <w:rsid w:val="48013092"/>
    <w:rsid w:val="480212E4"/>
    <w:rsid w:val="4803505C"/>
    <w:rsid w:val="48082673"/>
    <w:rsid w:val="48141018"/>
    <w:rsid w:val="481608EC"/>
    <w:rsid w:val="481B05F8"/>
    <w:rsid w:val="481C1A61"/>
    <w:rsid w:val="481C4F33"/>
    <w:rsid w:val="481E59F2"/>
    <w:rsid w:val="482079BC"/>
    <w:rsid w:val="48256D81"/>
    <w:rsid w:val="48272AF9"/>
    <w:rsid w:val="482B7710"/>
    <w:rsid w:val="482C010F"/>
    <w:rsid w:val="482F09DE"/>
    <w:rsid w:val="48311D25"/>
    <w:rsid w:val="4832149E"/>
    <w:rsid w:val="48335942"/>
    <w:rsid w:val="4837077E"/>
    <w:rsid w:val="48384D06"/>
    <w:rsid w:val="483D554C"/>
    <w:rsid w:val="483E7E42"/>
    <w:rsid w:val="48480CC1"/>
    <w:rsid w:val="48483AD3"/>
    <w:rsid w:val="48486B1C"/>
    <w:rsid w:val="48487C6F"/>
    <w:rsid w:val="48517B76"/>
    <w:rsid w:val="4852279F"/>
    <w:rsid w:val="485338EE"/>
    <w:rsid w:val="48537D92"/>
    <w:rsid w:val="485458B8"/>
    <w:rsid w:val="48567CB8"/>
    <w:rsid w:val="48580735"/>
    <w:rsid w:val="485B6C46"/>
    <w:rsid w:val="485C7545"/>
    <w:rsid w:val="486040C9"/>
    <w:rsid w:val="48643D4D"/>
    <w:rsid w:val="48673535"/>
    <w:rsid w:val="48691363"/>
    <w:rsid w:val="486A1D34"/>
    <w:rsid w:val="486C7551"/>
    <w:rsid w:val="486E1F78"/>
    <w:rsid w:val="486F624E"/>
    <w:rsid w:val="4870272E"/>
    <w:rsid w:val="48711FC6"/>
    <w:rsid w:val="487321E2"/>
    <w:rsid w:val="4873326A"/>
    <w:rsid w:val="48783354"/>
    <w:rsid w:val="4879320E"/>
    <w:rsid w:val="487D3F41"/>
    <w:rsid w:val="48802209"/>
    <w:rsid w:val="488241D3"/>
    <w:rsid w:val="48825891"/>
    <w:rsid w:val="4884256B"/>
    <w:rsid w:val="488471B7"/>
    <w:rsid w:val="48847F4B"/>
    <w:rsid w:val="488A3088"/>
    <w:rsid w:val="488B752C"/>
    <w:rsid w:val="488C6E00"/>
    <w:rsid w:val="488E26A7"/>
    <w:rsid w:val="488F0DE5"/>
    <w:rsid w:val="488F68F0"/>
    <w:rsid w:val="48961A2D"/>
    <w:rsid w:val="48965BB0"/>
    <w:rsid w:val="48967C7F"/>
    <w:rsid w:val="48981C49"/>
    <w:rsid w:val="489A151D"/>
    <w:rsid w:val="489B34E7"/>
    <w:rsid w:val="489B5295"/>
    <w:rsid w:val="48A30BB7"/>
    <w:rsid w:val="48A516A1"/>
    <w:rsid w:val="48A57EC2"/>
    <w:rsid w:val="48A736BB"/>
    <w:rsid w:val="48AC74A2"/>
    <w:rsid w:val="48B124D9"/>
    <w:rsid w:val="48B325DE"/>
    <w:rsid w:val="48B60321"/>
    <w:rsid w:val="48B63926"/>
    <w:rsid w:val="48B85E47"/>
    <w:rsid w:val="48B870E3"/>
    <w:rsid w:val="48B92424"/>
    <w:rsid w:val="48BA396D"/>
    <w:rsid w:val="48BC749A"/>
    <w:rsid w:val="48BD578B"/>
    <w:rsid w:val="48C63F51"/>
    <w:rsid w:val="48C70D41"/>
    <w:rsid w:val="48C93BB0"/>
    <w:rsid w:val="48CA3D62"/>
    <w:rsid w:val="48CB0B60"/>
    <w:rsid w:val="48CC544E"/>
    <w:rsid w:val="48D03190"/>
    <w:rsid w:val="48DC7D87"/>
    <w:rsid w:val="48DD28EF"/>
    <w:rsid w:val="48DE348E"/>
    <w:rsid w:val="48DF1625"/>
    <w:rsid w:val="48DF33D4"/>
    <w:rsid w:val="48E155A5"/>
    <w:rsid w:val="48E75E5B"/>
    <w:rsid w:val="48E7672C"/>
    <w:rsid w:val="48E82B89"/>
    <w:rsid w:val="48EC789E"/>
    <w:rsid w:val="48EF5D2E"/>
    <w:rsid w:val="48F0738F"/>
    <w:rsid w:val="48F32E54"/>
    <w:rsid w:val="48F50E49"/>
    <w:rsid w:val="48F52BF7"/>
    <w:rsid w:val="48F7799E"/>
    <w:rsid w:val="48FB5D34"/>
    <w:rsid w:val="48FD1ECC"/>
    <w:rsid w:val="48FD385A"/>
    <w:rsid w:val="48FF5823"/>
    <w:rsid w:val="4901555D"/>
    <w:rsid w:val="490474B0"/>
    <w:rsid w:val="4905291E"/>
    <w:rsid w:val="490746D8"/>
    <w:rsid w:val="490966A2"/>
    <w:rsid w:val="490E5A67"/>
    <w:rsid w:val="49115242"/>
    <w:rsid w:val="49155047"/>
    <w:rsid w:val="4916491B"/>
    <w:rsid w:val="491A265E"/>
    <w:rsid w:val="491A440C"/>
    <w:rsid w:val="491D5CAA"/>
    <w:rsid w:val="49211C3E"/>
    <w:rsid w:val="49221512"/>
    <w:rsid w:val="49223928"/>
    <w:rsid w:val="49227764"/>
    <w:rsid w:val="49262CC7"/>
    <w:rsid w:val="49276B29"/>
    <w:rsid w:val="49296D45"/>
    <w:rsid w:val="492C413F"/>
    <w:rsid w:val="49303C2F"/>
    <w:rsid w:val="49331971"/>
    <w:rsid w:val="493642ED"/>
    <w:rsid w:val="49364693"/>
    <w:rsid w:val="49366D6C"/>
    <w:rsid w:val="493D00FA"/>
    <w:rsid w:val="493E233E"/>
    <w:rsid w:val="493E459E"/>
    <w:rsid w:val="494024AD"/>
    <w:rsid w:val="49523BA5"/>
    <w:rsid w:val="49530E7A"/>
    <w:rsid w:val="49531994"/>
    <w:rsid w:val="49543DC1"/>
    <w:rsid w:val="49553696"/>
    <w:rsid w:val="49583186"/>
    <w:rsid w:val="495A5150"/>
    <w:rsid w:val="495C0214"/>
    <w:rsid w:val="49653C60"/>
    <w:rsid w:val="4966064F"/>
    <w:rsid w:val="49675177"/>
    <w:rsid w:val="49697141"/>
    <w:rsid w:val="496B24D0"/>
    <w:rsid w:val="496B2EB9"/>
    <w:rsid w:val="496C156E"/>
    <w:rsid w:val="496C4368"/>
    <w:rsid w:val="496E6505"/>
    <w:rsid w:val="496F0BFB"/>
    <w:rsid w:val="49706E5A"/>
    <w:rsid w:val="49714485"/>
    <w:rsid w:val="49723F5F"/>
    <w:rsid w:val="497437E4"/>
    <w:rsid w:val="49747FC0"/>
    <w:rsid w:val="497862E6"/>
    <w:rsid w:val="497955D6"/>
    <w:rsid w:val="497B7DEC"/>
    <w:rsid w:val="497E0E3E"/>
    <w:rsid w:val="49836455"/>
    <w:rsid w:val="498832CF"/>
    <w:rsid w:val="49885819"/>
    <w:rsid w:val="498B1492"/>
    <w:rsid w:val="498B70B7"/>
    <w:rsid w:val="498E6BA8"/>
    <w:rsid w:val="49942410"/>
    <w:rsid w:val="499C12C5"/>
    <w:rsid w:val="499E328F"/>
    <w:rsid w:val="49A63177"/>
    <w:rsid w:val="49A81A17"/>
    <w:rsid w:val="49AE42D7"/>
    <w:rsid w:val="49B05835"/>
    <w:rsid w:val="49B20AE8"/>
    <w:rsid w:val="49B4660E"/>
    <w:rsid w:val="49B54134"/>
    <w:rsid w:val="49BA510F"/>
    <w:rsid w:val="49BA52D4"/>
    <w:rsid w:val="49BE1E00"/>
    <w:rsid w:val="49C10D2B"/>
    <w:rsid w:val="49C12AD9"/>
    <w:rsid w:val="49C425C9"/>
    <w:rsid w:val="49C600F0"/>
    <w:rsid w:val="49C63BBC"/>
    <w:rsid w:val="49C90224"/>
    <w:rsid w:val="49CA0DC2"/>
    <w:rsid w:val="49CA7BE0"/>
    <w:rsid w:val="49CB3958"/>
    <w:rsid w:val="49CD76D0"/>
    <w:rsid w:val="49CF3448"/>
    <w:rsid w:val="49D071C0"/>
    <w:rsid w:val="49D12232"/>
    <w:rsid w:val="49D217F6"/>
    <w:rsid w:val="49D22F38"/>
    <w:rsid w:val="49D80C93"/>
    <w:rsid w:val="49D97612"/>
    <w:rsid w:val="49DA05ED"/>
    <w:rsid w:val="49DA3B9B"/>
    <w:rsid w:val="49DB003F"/>
    <w:rsid w:val="49DB1DED"/>
    <w:rsid w:val="49DB48E8"/>
    <w:rsid w:val="49DC7715"/>
    <w:rsid w:val="49DD73A3"/>
    <w:rsid w:val="49E04860"/>
    <w:rsid w:val="49E60792"/>
    <w:rsid w:val="49E669E4"/>
    <w:rsid w:val="49E97107"/>
    <w:rsid w:val="49EA64D4"/>
    <w:rsid w:val="49F15899"/>
    <w:rsid w:val="49F228CF"/>
    <w:rsid w:val="49F32821"/>
    <w:rsid w:val="49F66C27"/>
    <w:rsid w:val="49F70BF1"/>
    <w:rsid w:val="49F7717C"/>
    <w:rsid w:val="49FD6980"/>
    <w:rsid w:val="49FE1F7F"/>
    <w:rsid w:val="49FE5ADB"/>
    <w:rsid w:val="49FE735A"/>
    <w:rsid w:val="4A023139"/>
    <w:rsid w:val="4A05194D"/>
    <w:rsid w:val="4A0550BC"/>
    <w:rsid w:val="4A056E6A"/>
    <w:rsid w:val="4A072E04"/>
    <w:rsid w:val="4A084BAC"/>
    <w:rsid w:val="4A095630"/>
    <w:rsid w:val="4A0A4480"/>
    <w:rsid w:val="4A0B1FA6"/>
    <w:rsid w:val="4A0C644A"/>
    <w:rsid w:val="4A0D3F70"/>
    <w:rsid w:val="4A0F1A96"/>
    <w:rsid w:val="4A101680"/>
    <w:rsid w:val="4A16118F"/>
    <w:rsid w:val="4A176B9D"/>
    <w:rsid w:val="4A1E6773"/>
    <w:rsid w:val="4A29264F"/>
    <w:rsid w:val="4A2B43F6"/>
    <w:rsid w:val="4A2F038B"/>
    <w:rsid w:val="4A314103"/>
    <w:rsid w:val="4A315EB1"/>
    <w:rsid w:val="4A3239D7"/>
    <w:rsid w:val="4A3459A1"/>
    <w:rsid w:val="4A3542FA"/>
    <w:rsid w:val="4A3961AC"/>
    <w:rsid w:val="4A3B0ADD"/>
    <w:rsid w:val="4A3B288C"/>
    <w:rsid w:val="4A3D2AA8"/>
    <w:rsid w:val="4A3E05CE"/>
    <w:rsid w:val="4A4008F9"/>
    <w:rsid w:val="4A413C1A"/>
    <w:rsid w:val="4A413E43"/>
    <w:rsid w:val="4A4200BE"/>
    <w:rsid w:val="4A431740"/>
    <w:rsid w:val="4A437992"/>
    <w:rsid w:val="4A445C00"/>
    <w:rsid w:val="4A494BD2"/>
    <w:rsid w:val="4A4A6F73"/>
    <w:rsid w:val="4A4B02C6"/>
    <w:rsid w:val="4A4D25BF"/>
    <w:rsid w:val="4A4F31F8"/>
    <w:rsid w:val="4A5120AF"/>
    <w:rsid w:val="4A514331"/>
    <w:rsid w:val="4A534079"/>
    <w:rsid w:val="4A54394D"/>
    <w:rsid w:val="4A547DF1"/>
    <w:rsid w:val="4A556FE7"/>
    <w:rsid w:val="4A561840"/>
    <w:rsid w:val="4A561E76"/>
    <w:rsid w:val="4A5676C5"/>
    <w:rsid w:val="4A58343D"/>
    <w:rsid w:val="4A5B1180"/>
    <w:rsid w:val="4A5D4EF8"/>
    <w:rsid w:val="4A5D5D91"/>
    <w:rsid w:val="4A612515"/>
    <w:rsid w:val="4A6218ED"/>
    <w:rsid w:val="4A653DAC"/>
    <w:rsid w:val="4A6718D3"/>
    <w:rsid w:val="4A68428B"/>
    <w:rsid w:val="4A6E17F6"/>
    <w:rsid w:val="4A6F4C2B"/>
    <w:rsid w:val="4A705397"/>
    <w:rsid w:val="4A7364C9"/>
    <w:rsid w:val="4A7638C4"/>
    <w:rsid w:val="4A791A90"/>
    <w:rsid w:val="4A7B35D0"/>
    <w:rsid w:val="4A7B576F"/>
    <w:rsid w:val="4A7B712C"/>
    <w:rsid w:val="4A7F027F"/>
    <w:rsid w:val="4A800BE6"/>
    <w:rsid w:val="4A80601B"/>
    <w:rsid w:val="4A871F75"/>
    <w:rsid w:val="4A8A55C1"/>
    <w:rsid w:val="4A8C3685"/>
    <w:rsid w:val="4A8D13EF"/>
    <w:rsid w:val="4A91694F"/>
    <w:rsid w:val="4A9220C8"/>
    <w:rsid w:val="4A9326C8"/>
    <w:rsid w:val="4A9401EE"/>
    <w:rsid w:val="4A99652F"/>
    <w:rsid w:val="4AA30431"/>
    <w:rsid w:val="4AA5064D"/>
    <w:rsid w:val="4AA523FB"/>
    <w:rsid w:val="4AA62C09"/>
    <w:rsid w:val="4AAA7A11"/>
    <w:rsid w:val="4AAC432F"/>
    <w:rsid w:val="4AAF1929"/>
    <w:rsid w:val="4AAF5028"/>
    <w:rsid w:val="4AB03ADF"/>
    <w:rsid w:val="4AB37EA8"/>
    <w:rsid w:val="4AB56AE2"/>
    <w:rsid w:val="4AB651B1"/>
    <w:rsid w:val="4AB663B6"/>
    <w:rsid w:val="4AB66F0D"/>
    <w:rsid w:val="4AB97C24"/>
    <w:rsid w:val="4AB97F8F"/>
    <w:rsid w:val="4ABA5EA6"/>
    <w:rsid w:val="4AC40AD3"/>
    <w:rsid w:val="4ACF7478"/>
    <w:rsid w:val="4AD20703"/>
    <w:rsid w:val="4AD54A8E"/>
    <w:rsid w:val="4AD557D5"/>
    <w:rsid w:val="4AD720C3"/>
    <w:rsid w:val="4AD827D0"/>
    <w:rsid w:val="4AD8457E"/>
    <w:rsid w:val="4ADD3943"/>
    <w:rsid w:val="4AE03433"/>
    <w:rsid w:val="4AE64EED"/>
    <w:rsid w:val="4AE747C1"/>
    <w:rsid w:val="4AF313B8"/>
    <w:rsid w:val="4AF46E1C"/>
    <w:rsid w:val="4AF561A9"/>
    <w:rsid w:val="4AFB026D"/>
    <w:rsid w:val="4AFD5D93"/>
    <w:rsid w:val="4AFF1B0B"/>
    <w:rsid w:val="4B013AD5"/>
    <w:rsid w:val="4B045C9B"/>
    <w:rsid w:val="4B050CA9"/>
    <w:rsid w:val="4B054C48"/>
    <w:rsid w:val="4B0C247A"/>
    <w:rsid w:val="4B0E20ED"/>
    <w:rsid w:val="4B0E61F2"/>
    <w:rsid w:val="4B103D18"/>
    <w:rsid w:val="4B11183E"/>
    <w:rsid w:val="4B1355B6"/>
    <w:rsid w:val="4B1530DD"/>
    <w:rsid w:val="4B166E55"/>
    <w:rsid w:val="4B1D496F"/>
    <w:rsid w:val="4B1E7AAF"/>
    <w:rsid w:val="4B1F03FF"/>
    <w:rsid w:val="4B29302C"/>
    <w:rsid w:val="4B293685"/>
    <w:rsid w:val="4B2B0B52"/>
    <w:rsid w:val="4B2E419E"/>
    <w:rsid w:val="4B315A3D"/>
    <w:rsid w:val="4B320132"/>
    <w:rsid w:val="4B3317B5"/>
    <w:rsid w:val="4B3544BD"/>
    <w:rsid w:val="4B386DCB"/>
    <w:rsid w:val="4B3C4CB1"/>
    <w:rsid w:val="4B403EA1"/>
    <w:rsid w:val="4B46598C"/>
    <w:rsid w:val="4B4734B2"/>
    <w:rsid w:val="4B49547C"/>
    <w:rsid w:val="4B4B748E"/>
    <w:rsid w:val="4B4E65EF"/>
    <w:rsid w:val="4B502367"/>
    <w:rsid w:val="4B524331"/>
    <w:rsid w:val="4B52614C"/>
    <w:rsid w:val="4B5300A9"/>
    <w:rsid w:val="4B531E57"/>
    <w:rsid w:val="4B555BCF"/>
    <w:rsid w:val="4B555C31"/>
    <w:rsid w:val="4B571947"/>
    <w:rsid w:val="4B5736F5"/>
    <w:rsid w:val="4B580B35"/>
    <w:rsid w:val="4B5856BF"/>
    <w:rsid w:val="4B5A047D"/>
    <w:rsid w:val="4B5A0EBE"/>
    <w:rsid w:val="4B5B07C9"/>
    <w:rsid w:val="4B5C107E"/>
    <w:rsid w:val="4B5D0491"/>
    <w:rsid w:val="4B5E27BB"/>
    <w:rsid w:val="4B5F07FC"/>
    <w:rsid w:val="4B62209A"/>
    <w:rsid w:val="4B6252AD"/>
    <w:rsid w:val="4B6422B6"/>
    <w:rsid w:val="4B6573C5"/>
    <w:rsid w:val="4B663938"/>
    <w:rsid w:val="4B674969"/>
    <w:rsid w:val="4B683A07"/>
    <w:rsid w:val="4B6D660E"/>
    <w:rsid w:val="4B726781"/>
    <w:rsid w:val="4B7572FC"/>
    <w:rsid w:val="4B7F4E2F"/>
    <w:rsid w:val="4B810772"/>
    <w:rsid w:val="4B814C16"/>
    <w:rsid w:val="4B8239A6"/>
    <w:rsid w:val="4B8600DF"/>
    <w:rsid w:val="4B863FDA"/>
    <w:rsid w:val="4B893ACB"/>
    <w:rsid w:val="4B8A671A"/>
    <w:rsid w:val="4B8D7117"/>
    <w:rsid w:val="4B8F7333"/>
    <w:rsid w:val="4B906C07"/>
    <w:rsid w:val="4B920BD1"/>
    <w:rsid w:val="4B9506C1"/>
    <w:rsid w:val="4B95246F"/>
    <w:rsid w:val="4B955F8C"/>
    <w:rsid w:val="4B983D0E"/>
    <w:rsid w:val="4B9A7310"/>
    <w:rsid w:val="4BA05606"/>
    <w:rsid w:val="4BA13E68"/>
    <w:rsid w:val="4BA44460"/>
    <w:rsid w:val="4BA6642B"/>
    <w:rsid w:val="4BA87E57"/>
    <w:rsid w:val="4BA91610"/>
    <w:rsid w:val="4BAA21AE"/>
    <w:rsid w:val="4BAD5A0B"/>
    <w:rsid w:val="4BAD77B9"/>
    <w:rsid w:val="4BAF1783"/>
    <w:rsid w:val="4BB072A9"/>
    <w:rsid w:val="4BB23021"/>
    <w:rsid w:val="4BB3503D"/>
    <w:rsid w:val="4BB94120"/>
    <w:rsid w:val="4BBB64B3"/>
    <w:rsid w:val="4BBC5C4E"/>
    <w:rsid w:val="4BBF129A"/>
    <w:rsid w:val="4BC27510"/>
    <w:rsid w:val="4BC27620"/>
    <w:rsid w:val="4BC36FDC"/>
    <w:rsid w:val="4BC66362"/>
    <w:rsid w:val="4BC73382"/>
    <w:rsid w:val="4BC845F3"/>
    <w:rsid w:val="4BC93EC7"/>
    <w:rsid w:val="4BCA036B"/>
    <w:rsid w:val="4BCB2D04"/>
    <w:rsid w:val="4BCD5112"/>
    <w:rsid w:val="4BCD71F4"/>
    <w:rsid w:val="4BD50ABE"/>
    <w:rsid w:val="4BD5286C"/>
    <w:rsid w:val="4BD73B3D"/>
    <w:rsid w:val="4BD96800"/>
    <w:rsid w:val="4BDA4326"/>
    <w:rsid w:val="4BDF1120"/>
    <w:rsid w:val="4BDF193C"/>
    <w:rsid w:val="4BE43B5A"/>
    <w:rsid w:val="4BE86A43"/>
    <w:rsid w:val="4BF03BBD"/>
    <w:rsid w:val="4BF058F8"/>
    <w:rsid w:val="4BF06998"/>
    <w:rsid w:val="4BF4363A"/>
    <w:rsid w:val="4BF83CB2"/>
    <w:rsid w:val="4BF92D50"/>
    <w:rsid w:val="4BFA230E"/>
    <w:rsid w:val="4BFA2B9A"/>
    <w:rsid w:val="4BFC604B"/>
    <w:rsid w:val="4C001FDF"/>
    <w:rsid w:val="4C043151"/>
    <w:rsid w:val="4C082C41"/>
    <w:rsid w:val="4C0D2006"/>
    <w:rsid w:val="4C12586E"/>
    <w:rsid w:val="4C1710D6"/>
    <w:rsid w:val="4C176887"/>
    <w:rsid w:val="4C196BFC"/>
    <w:rsid w:val="4C1A4723"/>
    <w:rsid w:val="4C1E560B"/>
    <w:rsid w:val="4C1E70C6"/>
    <w:rsid w:val="4C211F55"/>
    <w:rsid w:val="4C265483"/>
    <w:rsid w:val="4C2757BD"/>
    <w:rsid w:val="4C2832E3"/>
    <w:rsid w:val="4C285091"/>
    <w:rsid w:val="4C287B16"/>
    <w:rsid w:val="4C2C2250"/>
    <w:rsid w:val="4C2C2DD4"/>
    <w:rsid w:val="4C2D08FA"/>
    <w:rsid w:val="4C2D3C70"/>
    <w:rsid w:val="4C315512"/>
    <w:rsid w:val="4C324162"/>
    <w:rsid w:val="4C325F10"/>
    <w:rsid w:val="4C334438"/>
    <w:rsid w:val="4C3457E4"/>
    <w:rsid w:val="4C3752D5"/>
    <w:rsid w:val="4C3939A1"/>
    <w:rsid w:val="4C404189"/>
    <w:rsid w:val="4C424A06"/>
    <w:rsid w:val="4C43011D"/>
    <w:rsid w:val="4C453E95"/>
    <w:rsid w:val="4C465518"/>
    <w:rsid w:val="4C46631A"/>
    <w:rsid w:val="4C481290"/>
    <w:rsid w:val="4C486B77"/>
    <w:rsid w:val="4C497552"/>
    <w:rsid w:val="4C4A0649"/>
    <w:rsid w:val="4C4A14AC"/>
    <w:rsid w:val="4C4C74C6"/>
    <w:rsid w:val="4C537145"/>
    <w:rsid w:val="4C56173B"/>
    <w:rsid w:val="4C5639AD"/>
    <w:rsid w:val="4C572AF8"/>
    <w:rsid w:val="4C583BC9"/>
    <w:rsid w:val="4C5916EF"/>
    <w:rsid w:val="4C5C2F8D"/>
    <w:rsid w:val="4C5C59BA"/>
    <w:rsid w:val="4C5D11DF"/>
    <w:rsid w:val="4C5D7084"/>
    <w:rsid w:val="4C612351"/>
    <w:rsid w:val="4C6360CA"/>
    <w:rsid w:val="4C65665F"/>
    <w:rsid w:val="4C673E0C"/>
    <w:rsid w:val="4C681932"/>
    <w:rsid w:val="4C6C1422"/>
    <w:rsid w:val="4C6E544A"/>
    <w:rsid w:val="4C7107E7"/>
    <w:rsid w:val="4C716A38"/>
    <w:rsid w:val="4C72455F"/>
    <w:rsid w:val="4C7402D7"/>
    <w:rsid w:val="4C7622A1"/>
    <w:rsid w:val="4C781A7F"/>
    <w:rsid w:val="4C797719"/>
    <w:rsid w:val="4C7C718B"/>
    <w:rsid w:val="4C7E5ECA"/>
    <w:rsid w:val="4C7E6688"/>
    <w:rsid w:val="4C806C7C"/>
    <w:rsid w:val="4C820C46"/>
    <w:rsid w:val="4C83051A"/>
    <w:rsid w:val="4C853456"/>
    <w:rsid w:val="4C876AA5"/>
    <w:rsid w:val="4C88610C"/>
    <w:rsid w:val="4C8A2FFB"/>
    <w:rsid w:val="4C8C3872"/>
    <w:rsid w:val="4C9103BD"/>
    <w:rsid w:val="4C912C37"/>
    <w:rsid w:val="4C943432"/>
    <w:rsid w:val="4C9444D5"/>
    <w:rsid w:val="4C96649F"/>
    <w:rsid w:val="4C9D782D"/>
    <w:rsid w:val="4C9E35A6"/>
    <w:rsid w:val="4C9F3EFA"/>
    <w:rsid w:val="4CA010CC"/>
    <w:rsid w:val="4CA02E7A"/>
    <w:rsid w:val="4CA24E44"/>
    <w:rsid w:val="4CA4286F"/>
    <w:rsid w:val="4CA566E2"/>
    <w:rsid w:val="4CA74208"/>
    <w:rsid w:val="4CA94424"/>
    <w:rsid w:val="4CA961D2"/>
    <w:rsid w:val="4CAA019C"/>
    <w:rsid w:val="4CAC5CC3"/>
    <w:rsid w:val="4CB00C05"/>
    <w:rsid w:val="4CB132D9"/>
    <w:rsid w:val="4CB701F8"/>
    <w:rsid w:val="4CBA03DF"/>
    <w:rsid w:val="4CBD0292"/>
    <w:rsid w:val="4CBE1552"/>
    <w:rsid w:val="4CC0176E"/>
    <w:rsid w:val="4CC052CA"/>
    <w:rsid w:val="4CC17779"/>
    <w:rsid w:val="4CC53416"/>
    <w:rsid w:val="4CC66ED2"/>
    <w:rsid w:val="4CCC1EC1"/>
    <w:rsid w:val="4CCE0B6D"/>
    <w:rsid w:val="4CD34FFD"/>
    <w:rsid w:val="4CD56315"/>
    <w:rsid w:val="4CD86AB8"/>
    <w:rsid w:val="4CD9638C"/>
    <w:rsid w:val="4CDA1B69"/>
    <w:rsid w:val="4CDE51FA"/>
    <w:rsid w:val="4CDE7626"/>
    <w:rsid w:val="4CE0596C"/>
    <w:rsid w:val="4CE10FC8"/>
    <w:rsid w:val="4CE36D98"/>
    <w:rsid w:val="4CE3746E"/>
    <w:rsid w:val="4CE54D31"/>
    <w:rsid w:val="4CE865CF"/>
    <w:rsid w:val="4CE92A73"/>
    <w:rsid w:val="4CEA2347"/>
    <w:rsid w:val="4CEE0089"/>
    <w:rsid w:val="4CF118E0"/>
    <w:rsid w:val="4CF662CC"/>
    <w:rsid w:val="4CF76B40"/>
    <w:rsid w:val="4CF84A64"/>
    <w:rsid w:val="4CFC5D7C"/>
    <w:rsid w:val="4CFD094D"/>
    <w:rsid w:val="4CFE5DF2"/>
    <w:rsid w:val="4CFF7A3F"/>
    <w:rsid w:val="4D001B6A"/>
    <w:rsid w:val="4D01600E"/>
    <w:rsid w:val="4D0478AD"/>
    <w:rsid w:val="4D057181"/>
    <w:rsid w:val="4D0C49B3"/>
    <w:rsid w:val="4D0C67B1"/>
    <w:rsid w:val="4D0E00FB"/>
    <w:rsid w:val="4D0E72D5"/>
    <w:rsid w:val="4D0F41F2"/>
    <w:rsid w:val="4D123792"/>
    <w:rsid w:val="4D134330"/>
    <w:rsid w:val="4D1558A9"/>
    <w:rsid w:val="4D16313C"/>
    <w:rsid w:val="4D176606"/>
    <w:rsid w:val="4D185106"/>
    <w:rsid w:val="4D1C3C25"/>
    <w:rsid w:val="4D1D271C"/>
    <w:rsid w:val="4D1E0115"/>
    <w:rsid w:val="4D1F6494"/>
    <w:rsid w:val="4D2407F9"/>
    <w:rsid w:val="4D241CFD"/>
    <w:rsid w:val="4D245859"/>
    <w:rsid w:val="4D283909"/>
    <w:rsid w:val="4D2910C1"/>
    <w:rsid w:val="4D2B3D75"/>
    <w:rsid w:val="4D33390E"/>
    <w:rsid w:val="4D381304"/>
    <w:rsid w:val="4D3C262E"/>
    <w:rsid w:val="4D3C7046"/>
    <w:rsid w:val="4D415BF1"/>
    <w:rsid w:val="4D422183"/>
    <w:rsid w:val="4D4A679B"/>
    <w:rsid w:val="4D4C3002"/>
    <w:rsid w:val="4D5048A0"/>
    <w:rsid w:val="4D553BE3"/>
    <w:rsid w:val="4D562915"/>
    <w:rsid w:val="4D5C1497"/>
    <w:rsid w:val="4D6245D3"/>
    <w:rsid w:val="4D64659D"/>
    <w:rsid w:val="4D6C07E2"/>
    <w:rsid w:val="4D7020FE"/>
    <w:rsid w:val="4D7367E0"/>
    <w:rsid w:val="4D746D8D"/>
    <w:rsid w:val="4D754306"/>
    <w:rsid w:val="4D7560B4"/>
    <w:rsid w:val="4D7D140D"/>
    <w:rsid w:val="4D7F6F33"/>
    <w:rsid w:val="4D811942"/>
    <w:rsid w:val="4D8367CC"/>
    <w:rsid w:val="4D852E94"/>
    <w:rsid w:val="4D8C33FE"/>
    <w:rsid w:val="4D8E53C8"/>
    <w:rsid w:val="4D901140"/>
    <w:rsid w:val="4D90218D"/>
    <w:rsid w:val="4D907392"/>
    <w:rsid w:val="4D92309B"/>
    <w:rsid w:val="4D942E5A"/>
    <w:rsid w:val="4D956757"/>
    <w:rsid w:val="4D9A5B1B"/>
    <w:rsid w:val="4D9B1777"/>
    <w:rsid w:val="4D9C1893"/>
    <w:rsid w:val="4D9F3A3B"/>
    <w:rsid w:val="4DA35DAA"/>
    <w:rsid w:val="4DA7365D"/>
    <w:rsid w:val="4DAB41CC"/>
    <w:rsid w:val="4DAF3530"/>
    <w:rsid w:val="4DB316D4"/>
    <w:rsid w:val="4DB95DAC"/>
    <w:rsid w:val="4DBA61BD"/>
    <w:rsid w:val="4DBC1F35"/>
    <w:rsid w:val="4DBC2B9E"/>
    <w:rsid w:val="4DBF5582"/>
    <w:rsid w:val="4DC02D74"/>
    <w:rsid w:val="4DC05DC0"/>
    <w:rsid w:val="4DC94652"/>
    <w:rsid w:val="4DC96400"/>
    <w:rsid w:val="4DC97FAC"/>
    <w:rsid w:val="4DCB4AEF"/>
    <w:rsid w:val="4DCB537B"/>
    <w:rsid w:val="4DCD5EF0"/>
    <w:rsid w:val="4DCE5621"/>
    <w:rsid w:val="4DD23507"/>
    <w:rsid w:val="4DD3102D"/>
    <w:rsid w:val="4DD92AE7"/>
    <w:rsid w:val="4DD94895"/>
    <w:rsid w:val="4DDC6134"/>
    <w:rsid w:val="4DE1199C"/>
    <w:rsid w:val="4DE66FB2"/>
    <w:rsid w:val="4DE84AD8"/>
    <w:rsid w:val="4DEA1431"/>
    <w:rsid w:val="4DEA5FE1"/>
    <w:rsid w:val="4DEC4FB0"/>
    <w:rsid w:val="4DF0398D"/>
    <w:rsid w:val="4DF07E31"/>
    <w:rsid w:val="4DF176EF"/>
    <w:rsid w:val="4DF23BA9"/>
    <w:rsid w:val="4DF47921"/>
    <w:rsid w:val="4DF55447"/>
    <w:rsid w:val="4DFB65D5"/>
    <w:rsid w:val="4DFC0584"/>
    <w:rsid w:val="4DFC1886"/>
    <w:rsid w:val="4DFE42FC"/>
    <w:rsid w:val="4DFE60AA"/>
    <w:rsid w:val="4E075D8A"/>
    <w:rsid w:val="4E0833CC"/>
    <w:rsid w:val="4E086F29"/>
    <w:rsid w:val="4E0C779B"/>
    <w:rsid w:val="4E11454D"/>
    <w:rsid w:val="4E141324"/>
    <w:rsid w:val="4E194E4F"/>
    <w:rsid w:val="4E1B7701"/>
    <w:rsid w:val="4E1C0C26"/>
    <w:rsid w:val="4E1F24C4"/>
    <w:rsid w:val="4E21623C"/>
    <w:rsid w:val="4E23259A"/>
    <w:rsid w:val="4E232905"/>
    <w:rsid w:val="4E28581D"/>
    <w:rsid w:val="4E2B0E69"/>
    <w:rsid w:val="4E2E44B5"/>
    <w:rsid w:val="4E2F2707"/>
    <w:rsid w:val="4E347D1E"/>
    <w:rsid w:val="4E3715BC"/>
    <w:rsid w:val="4E39513E"/>
    <w:rsid w:val="4E3C6544"/>
    <w:rsid w:val="4E3E6DEE"/>
    <w:rsid w:val="4E41068C"/>
    <w:rsid w:val="4E4361B3"/>
    <w:rsid w:val="4E467A51"/>
    <w:rsid w:val="4E4A30A7"/>
    <w:rsid w:val="4E4A7541"/>
    <w:rsid w:val="4E4C3520"/>
    <w:rsid w:val="4E4D0DDF"/>
    <w:rsid w:val="4E4F2DA9"/>
    <w:rsid w:val="4E517BEB"/>
    <w:rsid w:val="4E5263F6"/>
    <w:rsid w:val="4E5403C0"/>
    <w:rsid w:val="4E556430"/>
    <w:rsid w:val="4E564138"/>
    <w:rsid w:val="4E593845"/>
    <w:rsid w:val="4E5C1022"/>
    <w:rsid w:val="4E5E123E"/>
    <w:rsid w:val="4E61488B"/>
    <w:rsid w:val="4E636855"/>
    <w:rsid w:val="4E65302C"/>
    <w:rsid w:val="4E66012E"/>
    <w:rsid w:val="4E6A1991"/>
    <w:rsid w:val="4E6A373F"/>
    <w:rsid w:val="4E6D1482"/>
    <w:rsid w:val="4E6F32E9"/>
    <w:rsid w:val="4E720846"/>
    <w:rsid w:val="4E7445BE"/>
    <w:rsid w:val="4E7520E4"/>
    <w:rsid w:val="4E755A1A"/>
    <w:rsid w:val="4E791B9F"/>
    <w:rsid w:val="4E7E368F"/>
    <w:rsid w:val="4E7E71EB"/>
    <w:rsid w:val="4E816CDB"/>
    <w:rsid w:val="4E850579"/>
    <w:rsid w:val="4E885A16"/>
    <w:rsid w:val="4E916F1E"/>
    <w:rsid w:val="4E964534"/>
    <w:rsid w:val="4E9764FE"/>
    <w:rsid w:val="4E9B2306"/>
    <w:rsid w:val="4E9B5FEF"/>
    <w:rsid w:val="4E9E788D"/>
    <w:rsid w:val="4E9F13AD"/>
    <w:rsid w:val="4EA330F5"/>
    <w:rsid w:val="4EA76741"/>
    <w:rsid w:val="4EA824BA"/>
    <w:rsid w:val="4EA9672F"/>
    <w:rsid w:val="4EAC1FAA"/>
    <w:rsid w:val="4EAD7AD0"/>
    <w:rsid w:val="4EAF1A9A"/>
    <w:rsid w:val="4EB26E94"/>
    <w:rsid w:val="4EB32BB1"/>
    <w:rsid w:val="4EB40E5E"/>
    <w:rsid w:val="4EB946C7"/>
    <w:rsid w:val="4EBB6D1F"/>
    <w:rsid w:val="4EBD41B7"/>
    <w:rsid w:val="4EBE0070"/>
    <w:rsid w:val="4EC00FAD"/>
    <w:rsid w:val="4EC04804"/>
    <w:rsid w:val="4EC310A1"/>
    <w:rsid w:val="4EC372F3"/>
    <w:rsid w:val="4EC7492C"/>
    <w:rsid w:val="4ECD3CCE"/>
    <w:rsid w:val="4ED02686"/>
    <w:rsid w:val="4ED52497"/>
    <w:rsid w:val="4ED56CDE"/>
    <w:rsid w:val="4ED908C5"/>
    <w:rsid w:val="4EDF1ABC"/>
    <w:rsid w:val="4EE31744"/>
    <w:rsid w:val="4EE72FE2"/>
    <w:rsid w:val="4EE74D90"/>
    <w:rsid w:val="4EEC684A"/>
    <w:rsid w:val="4EEE14ED"/>
    <w:rsid w:val="4EEE25C2"/>
    <w:rsid w:val="4EF0595D"/>
    <w:rsid w:val="4EF23735"/>
    <w:rsid w:val="4EF43951"/>
    <w:rsid w:val="4EF474AD"/>
    <w:rsid w:val="4EF86F9D"/>
    <w:rsid w:val="4EFA0F67"/>
    <w:rsid w:val="4EFD50D2"/>
    <w:rsid w:val="4EFE5EBB"/>
    <w:rsid w:val="4F05790C"/>
    <w:rsid w:val="4F0911AA"/>
    <w:rsid w:val="4F0A2409"/>
    <w:rsid w:val="4F0C2A48"/>
    <w:rsid w:val="4F0E4A13"/>
    <w:rsid w:val="4F161B19"/>
    <w:rsid w:val="4F1A23F8"/>
    <w:rsid w:val="4F2204BE"/>
    <w:rsid w:val="4F22401A"/>
    <w:rsid w:val="4F241C7C"/>
    <w:rsid w:val="4F260972"/>
    <w:rsid w:val="4F262900"/>
    <w:rsid w:val="4F26376B"/>
    <w:rsid w:val="4F283E78"/>
    <w:rsid w:val="4F2E04D0"/>
    <w:rsid w:val="4F2E0C11"/>
    <w:rsid w:val="4F302BDB"/>
    <w:rsid w:val="4F31425D"/>
    <w:rsid w:val="4F314280"/>
    <w:rsid w:val="4F3152AF"/>
    <w:rsid w:val="4F31703A"/>
    <w:rsid w:val="4F3172F1"/>
    <w:rsid w:val="4F325672"/>
    <w:rsid w:val="4F334479"/>
    <w:rsid w:val="4F3501F1"/>
    <w:rsid w:val="4F362701"/>
    <w:rsid w:val="4F366621"/>
    <w:rsid w:val="4F38383D"/>
    <w:rsid w:val="4F4421E2"/>
    <w:rsid w:val="4F443F90"/>
    <w:rsid w:val="4F460DE2"/>
    <w:rsid w:val="4F495A4B"/>
    <w:rsid w:val="4F4F0A39"/>
    <w:rsid w:val="4F51643B"/>
    <w:rsid w:val="4F5166AD"/>
    <w:rsid w:val="4F560168"/>
    <w:rsid w:val="4F566515"/>
    <w:rsid w:val="4F5904BD"/>
    <w:rsid w:val="4F5C39D0"/>
    <w:rsid w:val="4F5D14F6"/>
    <w:rsid w:val="4F626473"/>
    <w:rsid w:val="4F6463E1"/>
    <w:rsid w:val="4F656C38"/>
    <w:rsid w:val="4F6665FD"/>
    <w:rsid w:val="4F672375"/>
    <w:rsid w:val="4F6A54F9"/>
    <w:rsid w:val="4F6B329B"/>
    <w:rsid w:val="4F712E54"/>
    <w:rsid w:val="4F714FA1"/>
    <w:rsid w:val="4F754A92"/>
    <w:rsid w:val="4F7B197C"/>
    <w:rsid w:val="4F7C5E20"/>
    <w:rsid w:val="4F7D56F4"/>
    <w:rsid w:val="4F7E4545"/>
    <w:rsid w:val="4F7F2F0C"/>
    <w:rsid w:val="4F7F321A"/>
    <w:rsid w:val="4F820B9F"/>
    <w:rsid w:val="4F820F5D"/>
    <w:rsid w:val="4F860A4D"/>
    <w:rsid w:val="4F8612AD"/>
    <w:rsid w:val="4F897149"/>
    <w:rsid w:val="4F8B4E8B"/>
    <w:rsid w:val="4F8D1DDB"/>
    <w:rsid w:val="4F8E345D"/>
    <w:rsid w:val="4F910CFD"/>
    <w:rsid w:val="4F9111A0"/>
    <w:rsid w:val="4F98252E"/>
    <w:rsid w:val="4F9843DC"/>
    <w:rsid w:val="4F9A0054"/>
    <w:rsid w:val="4F9B5B7A"/>
    <w:rsid w:val="4FA03191"/>
    <w:rsid w:val="4FA05120"/>
    <w:rsid w:val="4FA15035"/>
    <w:rsid w:val="4FA42C81"/>
    <w:rsid w:val="4FA7451F"/>
    <w:rsid w:val="4FAB2261"/>
    <w:rsid w:val="4FAC0B4A"/>
    <w:rsid w:val="4FAD5FDA"/>
    <w:rsid w:val="4FB05716"/>
    <w:rsid w:val="4FB07878"/>
    <w:rsid w:val="4FB40055"/>
    <w:rsid w:val="4FB56C3C"/>
    <w:rsid w:val="4FB73E99"/>
    <w:rsid w:val="4FB82BD0"/>
    <w:rsid w:val="4FB85A78"/>
    <w:rsid w:val="4FBC621D"/>
    <w:rsid w:val="4FBD1F95"/>
    <w:rsid w:val="4FC21359"/>
    <w:rsid w:val="4FC35DEC"/>
    <w:rsid w:val="4FC43323"/>
    <w:rsid w:val="4FC472C9"/>
    <w:rsid w:val="4FC556B0"/>
    <w:rsid w:val="4FC6107D"/>
    <w:rsid w:val="4FC62A8C"/>
    <w:rsid w:val="4FC926E8"/>
    <w:rsid w:val="4FCE5F50"/>
    <w:rsid w:val="4FCE6549"/>
    <w:rsid w:val="4FD03A76"/>
    <w:rsid w:val="4FD23C92"/>
    <w:rsid w:val="4FDA5DB2"/>
    <w:rsid w:val="4FDB2767"/>
    <w:rsid w:val="4FDC241B"/>
    <w:rsid w:val="4FE20F0D"/>
    <w:rsid w:val="4FE51552"/>
    <w:rsid w:val="4FE94B38"/>
    <w:rsid w:val="4FEB08B0"/>
    <w:rsid w:val="4FEC781B"/>
    <w:rsid w:val="4FEE214E"/>
    <w:rsid w:val="4FF05EC6"/>
    <w:rsid w:val="4FF21C3E"/>
    <w:rsid w:val="4FF359B6"/>
    <w:rsid w:val="4FF736F9"/>
    <w:rsid w:val="4FF80240"/>
    <w:rsid w:val="4FF82CFC"/>
    <w:rsid w:val="4FFE4A87"/>
    <w:rsid w:val="4FFE6835"/>
    <w:rsid w:val="500139E3"/>
    <w:rsid w:val="50033E4B"/>
    <w:rsid w:val="500373A2"/>
    <w:rsid w:val="50047BC4"/>
    <w:rsid w:val="500656EA"/>
    <w:rsid w:val="500D0826"/>
    <w:rsid w:val="500F221F"/>
    <w:rsid w:val="50102C97"/>
    <w:rsid w:val="501047BA"/>
    <w:rsid w:val="50106B9F"/>
    <w:rsid w:val="501222E0"/>
    <w:rsid w:val="501716A5"/>
    <w:rsid w:val="501E0C85"/>
    <w:rsid w:val="50203AD0"/>
    <w:rsid w:val="50212524"/>
    <w:rsid w:val="50227EF1"/>
    <w:rsid w:val="50231584"/>
    <w:rsid w:val="50243DC2"/>
    <w:rsid w:val="502502A3"/>
    <w:rsid w:val="50257BB9"/>
    <w:rsid w:val="502838B2"/>
    <w:rsid w:val="502A2D3A"/>
    <w:rsid w:val="502A587C"/>
    <w:rsid w:val="502B33A2"/>
    <w:rsid w:val="502E76ED"/>
    <w:rsid w:val="502F1831"/>
    <w:rsid w:val="502F4C40"/>
    <w:rsid w:val="502F6BAC"/>
    <w:rsid w:val="503B1837"/>
    <w:rsid w:val="503B242E"/>
    <w:rsid w:val="503E2640"/>
    <w:rsid w:val="503F29AA"/>
    <w:rsid w:val="50414974"/>
    <w:rsid w:val="5043249A"/>
    <w:rsid w:val="50463D38"/>
    <w:rsid w:val="50465C77"/>
    <w:rsid w:val="504664BF"/>
    <w:rsid w:val="504D3319"/>
    <w:rsid w:val="504F7091"/>
    <w:rsid w:val="50504BB7"/>
    <w:rsid w:val="50504C4B"/>
    <w:rsid w:val="5050608C"/>
    <w:rsid w:val="50537FDF"/>
    <w:rsid w:val="5055041F"/>
    <w:rsid w:val="50575F45"/>
    <w:rsid w:val="50591CBD"/>
    <w:rsid w:val="505A5A36"/>
    <w:rsid w:val="505B4739"/>
    <w:rsid w:val="505F5FBF"/>
    <w:rsid w:val="50621552"/>
    <w:rsid w:val="50650662"/>
    <w:rsid w:val="5067715E"/>
    <w:rsid w:val="5068006C"/>
    <w:rsid w:val="50696D9E"/>
    <w:rsid w:val="5069710A"/>
    <w:rsid w:val="506C29B3"/>
    <w:rsid w:val="506D5769"/>
    <w:rsid w:val="50715259"/>
    <w:rsid w:val="50722D7F"/>
    <w:rsid w:val="50723670"/>
    <w:rsid w:val="50760AC1"/>
    <w:rsid w:val="507620AE"/>
    <w:rsid w:val="50762BB4"/>
    <w:rsid w:val="50770396"/>
    <w:rsid w:val="507B15FC"/>
    <w:rsid w:val="507B5903"/>
    <w:rsid w:val="507D6E7C"/>
    <w:rsid w:val="50827466"/>
    <w:rsid w:val="5086682B"/>
    <w:rsid w:val="508F1B83"/>
    <w:rsid w:val="50940F47"/>
    <w:rsid w:val="50942CF5"/>
    <w:rsid w:val="50953002"/>
    <w:rsid w:val="509C1BAA"/>
    <w:rsid w:val="509C6E7C"/>
    <w:rsid w:val="509E5922"/>
    <w:rsid w:val="50A0169A"/>
    <w:rsid w:val="50A15412"/>
    <w:rsid w:val="50A21754"/>
    <w:rsid w:val="50A43334"/>
    <w:rsid w:val="50A6149D"/>
    <w:rsid w:val="50A6410D"/>
    <w:rsid w:val="50A868B7"/>
    <w:rsid w:val="50AF405F"/>
    <w:rsid w:val="50AF4B29"/>
    <w:rsid w:val="50B26775"/>
    <w:rsid w:val="50B37E52"/>
    <w:rsid w:val="50B67110"/>
    <w:rsid w:val="50BB0282"/>
    <w:rsid w:val="50BE5FC4"/>
    <w:rsid w:val="50BE7671"/>
    <w:rsid w:val="50C06F67"/>
    <w:rsid w:val="50C10F02"/>
    <w:rsid w:val="50C20A70"/>
    <w:rsid w:val="50C23D07"/>
    <w:rsid w:val="50C337C8"/>
    <w:rsid w:val="50CA60D9"/>
    <w:rsid w:val="50CD4459"/>
    <w:rsid w:val="50CE7A68"/>
    <w:rsid w:val="50D41344"/>
    <w:rsid w:val="50D46B08"/>
    <w:rsid w:val="50D86F9C"/>
    <w:rsid w:val="50DB26D2"/>
    <w:rsid w:val="50DE6667"/>
    <w:rsid w:val="50E023DF"/>
    <w:rsid w:val="50E07940"/>
    <w:rsid w:val="50E13A61"/>
    <w:rsid w:val="50E51D7A"/>
    <w:rsid w:val="50E5735E"/>
    <w:rsid w:val="50E772C9"/>
    <w:rsid w:val="50E824D6"/>
    <w:rsid w:val="50E96732"/>
    <w:rsid w:val="50EB486D"/>
    <w:rsid w:val="50EC0779"/>
    <w:rsid w:val="50EC2B32"/>
    <w:rsid w:val="50EE68AA"/>
    <w:rsid w:val="50F748D4"/>
    <w:rsid w:val="50FB0FC7"/>
    <w:rsid w:val="51022209"/>
    <w:rsid w:val="510627D9"/>
    <w:rsid w:val="51077160"/>
    <w:rsid w:val="5107796B"/>
    <w:rsid w:val="51085492"/>
    <w:rsid w:val="51096E67"/>
    <w:rsid w:val="510A2FB8"/>
    <w:rsid w:val="510C31D4"/>
    <w:rsid w:val="510E0CFA"/>
    <w:rsid w:val="5112495F"/>
    <w:rsid w:val="51134562"/>
    <w:rsid w:val="51142088"/>
    <w:rsid w:val="51143E36"/>
    <w:rsid w:val="5119769F"/>
    <w:rsid w:val="511B51C5"/>
    <w:rsid w:val="511D2CEB"/>
    <w:rsid w:val="51215792"/>
    <w:rsid w:val="5125610B"/>
    <w:rsid w:val="51265514"/>
    <w:rsid w:val="512656C5"/>
    <w:rsid w:val="512978E2"/>
    <w:rsid w:val="51312C3A"/>
    <w:rsid w:val="51347EA6"/>
    <w:rsid w:val="5135761B"/>
    <w:rsid w:val="5137016C"/>
    <w:rsid w:val="513A317E"/>
    <w:rsid w:val="513B0F0A"/>
    <w:rsid w:val="513B2E22"/>
    <w:rsid w:val="513E2C61"/>
    <w:rsid w:val="51404C2B"/>
    <w:rsid w:val="514069D9"/>
    <w:rsid w:val="51412E90"/>
    <w:rsid w:val="5141363B"/>
    <w:rsid w:val="51422839"/>
    <w:rsid w:val="51470EDB"/>
    <w:rsid w:val="514B3CFC"/>
    <w:rsid w:val="514E10F6"/>
    <w:rsid w:val="514F30C0"/>
    <w:rsid w:val="514F4E6E"/>
    <w:rsid w:val="51501312"/>
    <w:rsid w:val="5151155B"/>
    <w:rsid w:val="51527191"/>
    <w:rsid w:val="5153495F"/>
    <w:rsid w:val="515661FD"/>
    <w:rsid w:val="515C2C15"/>
    <w:rsid w:val="515C2DD9"/>
    <w:rsid w:val="51606F67"/>
    <w:rsid w:val="5160711D"/>
    <w:rsid w:val="51607354"/>
    <w:rsid w:val="5162104E"/>
    <w:rsid w:val="51646B6C"/>
    <w:rsid w:val="516A7EFA"/>
    <w:rsid w:val="516F0B4D"/>
    <w:rsid w:val="51730B5D"/>
    <w:rsid w:val="51750D79"/>
    <w:rsid w:val="517800FE"/>
    <w:rsid w:val="517A013D"/>
    <w:rsid w:val="517A1818"/>
    <w:rsid w:val="517A638F"/>
    <w:rsid w:val="517B5A7B"/>
    <w:rsid w:val="5184720E"/>
    <w:rsid w:val="51883D8E"/>
    <w:rsid w:val="51897B82"/>
    <w:rsid w:val="518A5142"/>
    <w:rsid w:val="518A6636"/>
    <w:rsid w:val="518A6A6A"/>
    <w:rsid w:val="518B32D9"/>
    <w:rsid w:val="518B5EA5"/>
    <w:rsid w:val="51907961"/>
    <w:rsid w:val="51937451"/>
    <w:rsid w:val="519805C3"/>
    <w:rsid w:val="519D1737"/>
    <w:rsid w:val="519D6BA2"/>
    <w:rsid w:val="519F4057"/>
    <w:rsid w:val="51A258E6"/>
    <w:rsid w:val="51A67184"/>
    <w:rsid w:val="51A70CF2"/>
    <w:rsid w:val="51A72EFC"/>
    <w:rsid w:val="51A96C75"/>
    <w:rsid w:val="51AA7936"/>
    <w:rsid w:val="51AB6549"/>
    <w:rsid w:val="51B11685"/>
    <w:rsid w:val="51B178D7"/>
    <w:rsid w:val="51B573C7"/>
    <w:rsid w:val="51B7313F"/>
    <w:rsid w:val="51BA03BC"/>
    <w:rsid w:val="51BB4A40"/>
    <w:rsid w:val="51BC0756"/>
    <w:rsid w:val="51BC194B"/>
    <w:rsid w:val="51BC6CB3"/>
    <w:rsid w:val="51BD627C"/>
    <w:rsid w:val="51C11C0C"/>
    <w:rsid w:val="51C23892"/>
    <w:rsid w:val="51C25640"/>
    <w:rsid w:val="51C8534D"/>
    <w:rsid w:val="51C8559B"/>
    <w:rsid w:val="51C93880"/>
    <w:rsid w:val="51CC5C45"/>
    <w:rsid w:val="51D24255"/>
    <w:rsid w:val="51D27F79"/>
    <w:rsid w:val="51D51818"/>
    <w:rsid w:val="51D535C6"/>
    <w:rsid w:val="51DC0DF8"/>
    <w:rsid w:val="51DD06CC"/>
    <w:rsid w:val="51DE5488"/>
    <w:rsid w:val="51E63A25"/>
    <w:rsid w:val="51E8779D"/>
    <w:rsid w:val="51E90E1F"/>
    <w:rsid w:val="51E952C3"/>
    <w:rsid w:val="51EE6435"/>
    <w:rsid w:val="51F53C68"/>
    <w:rsid w:val="51FA127E"/>
    <w:rsid w:val="51FA77A2"/>
    <w:rsid w:val="51FB0341"/>
    <w:rsid w:val="51FD48CA"/>
    <w:rsid w:val="51FF51CB"/>
    <w:rsid w:val="51FF6348"/>
    <w:rsid w:val="52036385"/>
    <w:rsid w:val="520420FD"/>
    <w:rsid w:val="52043EAB"/>
    <w:rsid w:val="520605DB"/>
    <w:rsid w:val="52065E75"/>
    <w:rsid w:val="5208399B"/>
    <w:rsid w:val="520E0886"/>
    <w:rsid w:val="520E0DA2"/>
    <w:rsid w:val="520E6AD8"/>
    <w:rsid w:val="520F6922"/>
    <w:rsid w:val="521265C8"/>
    <w:rsid w:val="521452C6"/>
    <w:rsid w:val="52170DFD"/>
    <w:rsid w:val="5217598C"/>
    <w:rsid w:val="521A36CE"/>
    <w:rsid w:val="521D4930"/>
    <w:rsid w:val="521D4F6D"/>
    <w:rsid w:val="522307D5"/>
    <w:rsid w:val="5224454D"/>
    <w:rsid w:val="522916A8"/>
    <w:rsid w:val="52291B0B"/>
    <w:rsid w:val="522A08FB"/>
    <w:rsid w:val="522B3084"/>
    <w:rsid w:val="522B58DB"/>
    <w:rsid w:val="522B7478"/>
    <w:rsid w:val="522B768A"/>
    <w:rsid w:val="522D1654"/>
    <w:rsid w:val="522E2CD6"/>
    <w:rsid w:val="522F7589"/>
    <w:rsid w:val="522F7782"/>
    <w:rsid w:val="523429E2"/>
    <w:rsid w:val="52354064"/>
    <w:rsid w:val="52365BFE"/>
    <w:rsid w:val="52383B54"/>
    <w:rsid w:val="52392D6D"/>
    <w:rsid w:val="523D116B"/>
    <w:rsid w:val="523E73BD"/>
    <w:rsid w:val="52453636"/>
    <w:rsid w:val="5245539F"/>
    <w:rsid w:val="52497B10"/>
    <w:rsid w:val="524D13AE"/>
    <w:rsid w:val="524D5852"/>
    <w:rsid w:val="524E2E8A"/>
    <w:rsid w:val="524E5C77"/>
    <w:rsid w:val="52533F4B"/>
    <w:rsid w:val="525503FE"/>
    <w:rsid w:val="52552958"/>
    <w:rsid w:val="52575E63"/>
    <w:rsid w:val="525941F7"/>
    <w:rsid w:val="525A41A8"/>
    <w:rsid w:val="525E0C42"/>
    <w:rsid w:val="525F10E1"/>
    <w:rsid w:val="526609AB"/>
    <w:rsid w:val="52691F60"/>
    <w:rsid w:val="526B2619"/>
    <w:rsid w:val="526C3842"/>
    <w:rsid w:val="526D7CA2"/>
    <w:rsid w:val="526F3A1A"/>
    <w:rsid w:val="52733BCA"/>
    <w:rsid w:val="52742DDF"/>
    <w:rsid w:val="527728CF"/>
    <w:rsid w:val="527C1C93"/>
    <w:rsid w:val="527C7EE5"/>
    <w:rsid w:val="528079D5"/>
    <w:rsid w:val="528172AA"/>
    <w:rsid w:val="52825965"/>
    <w:rsid w:val="52860D64"/>
    <w:rsid w:val="528F544B"/>
    <w:rsid w:val="52903990"/>
    <w:rsid w:val="5292399D"/>
    <w:rsid w:val="5294522F"/>
    <w:rsid w:val="52960132"/>
    <w:rsid w:val="52961C2B"/>
    <w:rsid w:val="52972F71"/>
    <w:rsid w:val="52976ACD"/>
    <w:rsid w:val="529835CD"/>
    <w:rsid w:val="529F5982"/>
    <w:rsid w:val="52A01652"/>
    <w:rsid w:val="52A0174F"/>
    <w:rsid w:val="52A82A88"/>
    <w:rsid w:val="52AA4A52"/>
    <w:rsid w:val="52AA6800"/>
    <w:rsid w:val="52AB07CA"/>
    <w:rsid w:val="52AD5468"/>
    <w:rsid w:val="52AF2069"/>
    <w:rsid w:val="52B07B8F"/>
    <w:rsid w:val="52B21B59"/>
    <w:rsid w:val="52B23907"/>
    <w:rsid w:val="52B24B47"/>
    <w:rsid w:val="52B4142D"/>
    <w:rsid w:val="52B70F1D"/>
    <w:rsid w:val="52B87D2F"/>
    <w:rsid w:val="52BB6C5F"/>
    <w:rsid w:val="52BB7DFA"/>
    <w:rsid w:val="52BC29D7"/>
    <w:rsid w:val="52BC6534"/>
    <w:rsid w:val="52BD163A"/>
    <w:rsid w:val="52BE482B"/>
    <w:rsid w:val="52C010E6"/>
    <w:rsid w:val="52C04276"/>
    <w:rsid w:val="52C11D9C"/>
    <w:rsid w:val="52C13B4A"/>
    <w:rsid w:val="52C5363A"/>
    <w:rsid w:val="52C55120"/>
    <w:rsid w:val="52C76699"/>
    <w:rsid w:val="52C90AF5"/>
    <w:rsid w:val="52CA1F01"/>
    <w:rsid w:val="52CA76D1"/>
    <w:rsid w:val="52CD6993"/>
    <w:rsid w:val="52CE2BDF"/>
    <w:rsid w:val="52CF270B"/>
    <w:rsid w:val="52D15D94"/>
    <w:rsid w:val="52D675F5"/>
    <w:rsid w:val="52D91433"/>
    <w:rsid w:val="52D95337"/>
    <w:rsid w:val="52D970E6"/>
    <w:rsid w:val="52DA2B85"/>
    <w:rsid w:val="52DB4C0C"/>
    <w:rsid w:val="52E02222"/>
    <w:rsid w:val="52E2243E"/>
    <w:rsid w:val="52E31B4E"/>
    <w:rsid w:val="52E71802"/>
    <w:rsid w:val="52ED2B91"/>
    <w:rsid w:val="52EF6909"/>
    <w:rsid w:val="52F061DD"/>
    <w:rsid w:val="52F201A7"/>
    <w:rsid w:val="52F25F96"/>
    <w:rsid w:val="52F3346A"/>
    <w:rsid w:val="52F36AAE"/>
    <w:rsid w:val="52F61A97"/>
    <w:rsid w:val="52F715A0"/>
    <w:rsid w:val="52F757BE"/>
    <w:rsid w:val="52F91536"/>
    <w:rsid w:val="52FA076C"/>
    <w:rsid w:val="52FB52AE"/>
    <w:rsid w:val="52FB705C"/>
    <w:rsid w:val="53034162"/>
    <w:rsid w:val="53035F10"/>
    <w:rsid w:val="53053951"/>
    <w:rsid w:val="53065A01"/>
    <w:rsid w:val="530F1502"/>
    <w:rsid w:val="531225F7"/>
    <w:rsid w:val="53125EF4"/>
    <w:rsid w:val="531445C2"/>
    <w:rsid w:val="531632E0"/>
    <w:rsid w:val="53191BD8"/>
    <w:rsid w:val="531978A0"/>
    <w:rsid w:val="531A5D03"/>
    <w:rsid w:val="531B14AC"/>
    <w:rsid w:val="531C6FD2"/>
    <w:rsid w:val="531E2D4A"/>
    <w:rsid w:val="531E4E5E"/>
    <w:rsid w:val="532103EE"/>
    <w:rsid w:val="53283BC9"/>
    <w:rsid w:val="532965BF"/>
    <w:rsid w:val="532B7B38"/>
    <w:rsid w:val="532E5683"/>
    <w:rsid w:val="53346A12"/>
    <w:rsid w:val="533662E6"/>
    <w:rsid w:val="533B56AA"/>
    <w:rsid w:val="533E519B"/>
    <w:rsid w:val="533F6CB7"/>
    <w:rsid w:val="53426A39"/>
    <w:rsid w:val="534327B1"/>
    <w:rsid w:val="53484A8D"/>
    <w:rsid w:val="534D2836"/>
    <w:rsid w:val="534D53DE"/>
    <w:rsid w:val="534E1C07"/>
    <w:rsid w:val="534E5E76"/>
    <w:rsid w:val="534F1156"/>
    <w:rsid w:val="5354676C"/>
    <w:rsid w:val="53547C35"/>
    <w:rsid w:val="535B5D4C"/>
    <w:rsid w:val="535D78A6"/>
    <w:rsid w:val="535D7D17"/>
    <w:rsid w:val="53607807"/>
    <w:rsid w:val="53656A60"/>
    <w:rsid w:val="536746F1"/>
    <w:rsid w:val="5367649F"/>
    <w:rsid w:val="536A1960"/>
    <w:rsid w:val="536B200F"/>
    <w:rsid w:val="536D782E"/>
    <w:rsid w:val="536E35C0"/>
    <w:rsid w:val="53715B65"/>
    <w:rsid w:val="53733096"/>
    <w:rsid w:val="53760DD8"/>
    <w:rsid w:val="537B1F4B"/>
    <w:rsid w:val="537B7DBC"/>
    <w:rsid w:val="537F5EDF"/>
    <w:rsid w:val="53803A05"/>
    <w:rsid w:val="53852DC9"/>
    <w:rsid w:val="5387082C"/>
    <w:rsid w:val="53894668"/>
    <w:rsid w:val="538A6632"/>
    <w:rsid w:val="538C05FC"/>
    <w:rsid w:val="538C4158"/>
    <w:rsid w:val="539A75BB"/>
    <w:rsid w:val="539B083F"/>
    <w:rsid w:val="539B439B"/>
    <w:rsid w:val="539D695F"/>
    <w:rsid w:val="539E5C2A"/>
    <w:rsid w:val="53A019B1"/>
    <w:rsid w:val="53A039CC"/>
    <w:rsid w:val="53A148D4"/>
    <w:rsid w:val="53A1505A"/>
    <w:rsid w:val="53A25729"/>
    <w:rsid w:val="53A45945"/>
    <w:rsid w:val="53A476F3"/>
    <w:rsid w:val="53A5521A"/>
    <w:rsid w:val="53A6376C"/>
    <w:rsid w:val="53A771E4"/>
    <w:rsid w:val="53A9454A"/>
    <w:rsid w:val="53AB0A82"/>
    <w:rsid w:val="53AB6CD4"/>
    <w:rsid w:val="53AE0572"/>
    <w:rsid w:val="53AE0840"/>
    <w:rsid w:val="53B278ED"/>
    <w:rsid w:val="53B37216"/>
    <w:rsid w:val="53B37737"/>
    <w:rsid w:val="53B37937"/>
    <w:rsid w:val="53B45BDE"/>
    <w:rsid w:val="53B61B05"/>
    <w:rsid w:val="53B86CFB"/>
    <w:rsid w:val="53B92A73"/>
    <w:rsid w:val="53B97094"/>
    <w:rsid w:val="53BB4A3D"/>
    <w:rsid w:val="53C22D74"/>
    <w:rsid w:val="53C658BC"/>
    <w:rsid w:val="53CE4770"/>
    <w:rsid w:val="53CE7D56"/>
    <w:rsid w:val="53DA0B8E"/>
    <w:rsid w:val="53E06252"/>
    <w:rsid w:val="53E21FCA"/>
    <w:rsid w:val="53E36D11"/>
    <w:rsid w:val="53E421E6"/>
    <w:rsid w:val="53E43F94"/>
    <w:rsid w:val="53E45556"/>
    <w:rsid w:val="53E76804"/>
    <w:rsid w:val="53E977FC"/>
    <w:rsid w:val="53EA0E7E"/>
    <w:rsid w:val="53EE096F"/>
    <w:rsid w:val="53EF7F57"/>
    <w:rsid w:val="53F266B1"/>
    <w:rsid w:val="53F32429"/>
    <w:rsid w:val="53F73CC7"/>
    <w:rsid w:val="53FA5565"/>
    <w:rsid w:val="5401574F"/>
    <w:rsid w:val="540262EE"/>
    <w:rsid w:val="54040192"/>
    <w:rsid w:val="54041F40"/>
    <w:rsid w:val="54063E08"/>
    <w:rsid w:val="54071B43"/>
    <w:rsid w:val="54085ED4"/>
    <w:rsid w:val="540A3450"/>
    <w:rsid w:val="540B1521"/>
    <w:rsid w:val="540B32CF"/>
    <w:rsid w:val="540C7047"/>
    <w:rsid w:val="540E28F4"/>
    <w:rsid w:val="540E7263"/>
    <w:rsid w:val="540F3ADB"/>
    <w:rsid w:val="54102FDB"/>
    <w:rsid w:val="5412033B"/>
    <w:rsid w:val="541F321E"/>
    <w:rsid w:val="54207FAF"/>
    <w:rsid w:val="542258CB"/>
    <w:rsid w:val="54232D0E"/>
    <w:rsid w:val="54240834"/>
    <w:rsid w:val="54281AFA"/>
    <w:rsid w:val="54285E64"/>
    <w:rsid w:val="5429409D"/>
    <w:rsid w:val="542A5C3B"/>
    <w:rsid w:val="542D02C4"/>
    <w:rsid w:val="542E520F"/>
    <w:rsid w:val="543071D9"/>
    <w:rsid w:val="54310657"/>
    <w:rsid w:val="543123F6"/>
    <w:rsid w:val="54321FCE"/>
    <w:rsid w:val="543437E8"/>
    <w:rsid w:val="54370568"/>
    <w:rsid w:val="54387E3C"/>
    <w:rsid w:val="543C16DA"/>
    <w:rsid w:val="543C792C"/>
    <w:rsid w:val="543D36A4"/>
    <w:rsid w:val="543E2C5B"/>
    <w:rsid w:val="54414F42"/>
    <w:rsid w:val="544524B7"/>
    <w:rsid w:val="54455968"/>
    <w:rsid w:val="54455CD4"/>
    <w:rsid w:val="544669FD"/>
    <w:rsid w:val="544762D1"/>
    <w:rsid w:val="54484523"/>
    <w:rsid w:val="54492049"/>
    <w:rsid w:val="544B52C1"/>
    <w:rsid w:val="544D1B39"/>
    <w:rsid w:val="544D38E7"/>
    <w:rsid w:val="544D7D8B"/>
    <w:rsid w:val="5452714F"/>
    <w:rsid w:val="545478BA"/>
    <w:rsid w:val="54547C25"/>
    <w:rsid w:val="5455279C"/>
    <w:rsid w:val="54553068"/>
    <w:rsid w:val="545A42EE"/>
    <w:rsid w:val="545C1D7C"/>
    <w:rsid w:val="545D5AF4"/>
    <w:rsid w:val="545E51FE"/>
    <w:rsid w:val="545F7ABE"/>
    <w:rsid w:val="546142C1"/>
    <w:rsid w:val="5462237E"/>
    <w:rsid w:val="54656DB3"/>
    <w:rsid w:val="54684BC5"/>
    <w:rsid w:val="546E385E"/>
    <w:rsid w:val="54704D95"/>
    <w:rsid w:val="5472094E"/>
    <w:rsid w:val="547370C6"/>
    <w:rsid w:val="547905A2"/>
    <w:rsid w:val="547914C9"/>
    <w:rsid w:val="547C5434"/>
    <w:rsid w:val="547C5F7A"/>
    <w:rsid w:val="547D1CF3"/>
    <w:rsid w:val="547F3CBD"/>
    <w:rsid w:val="548337AD"/>
    <w:rsid w:val="548503AA"/>
    <w:rsid w:val="54857525"/>
    <w:rsid w:val="5488491F"/>
    <w:rsid w:val="548C2AFB"/>
    <w:rsid w:val="548E5CAE"/>
    <w:rsid w:val="54901A26"/>
    <w:rsid w:val="54996B2C"/>
    <w:rsid w:val="549C661D"/>
    <w:rsid w:val="549E05E7"/>
    <w:rsid w:val="54A0435F"/>
    <w:rsid w:val="54A11E85"/>
    <w:rsid w:val="54A159E1"/>
    <w:rsid w:val="54A6749B"/>
    <w:rsid w:val="54A85071"/>
    <w:rsid w:val="54AA7074"/>
    <w:rsid w:val="54AF027F"/>
    <w:rsid w:val="54B576DE"/>
    <w:rsid w:val="54B77875"/>
    <w:rsid w:val="54C23F02"/>
    <w:rsid w:val="54C94F38"/>
    <w:rsid w:val="54CC4B60"/>
    <w:rsid w:val="54CD1014"/>
    <w:rsid w:val="54CD4A28"/>
    <w:rsid w:val="54CD67D6"/>
    <w:rsid w:val="54CF07A0"/>
    <w:rsid w:val="54D16CB0"/>
    <w:rsid w:val="54D264E2"/>
    <w:rsid w:val="54D45DB6"/>
    <w:rsid w:val="54D67D81"/>
    <w:rsid w:val="54D75BC0"/>
    <w:rsid w:val="54D933CD"/>
    <w:rsid w:val="54D958EC"/>
    <w:rsid w:val="54D97871"/>
    <w:rsid w:val="54DA5BF9"/>
    <w:rsid w:val="54DA7145"/>
    <w:rsid w:val="54DC110F"/>
    <w:rsid w:val="54DE6C35"/>
    <w:rsid w:val="54E67898"/>
    <w:rsid w:val="54EB4EAE"/>
    <w:rsid w:val="54ED6E78"/>
    <w:rsid w:val="54EE3C23"/>
    <w:rsid w:val="54F26224"/>
    <w:rsid w:val="54F2623D"/>
    <w:rsid w:val="54F66CB5"/>
    <w:rsid w:val="54F73313"/>
    <w:rsid w:val="54F80955"/>
    <w:rsid w:val="54F85711"/>
    <w:rsid w:val="54F9581D"/>
    <w:rsid w:val="54FC355F"/>
    <w:rsid w:val="54FC5FD4"/>
    <w:rsid w:val="54FC70BB"/>
    <w:rsid w:val="54FE1085"/>
    <w:rsid w:val="5502439D"/>
    <w:rsid w:val="55085A60"/>
    <w:rsid w:val="550F79D3"/>
    <w:rsid w:val="551072FC"/>
    <w:rsid w:val="55110DB9"/>
    <w:rsid w:val="55124B31"/>
    <w:rsid w:val="551366CC"/>
    <w:rsid w:val="551A1E22"/>
    <w:rsid w:val="551B53B0"/>
    <w:rsid w:val="551E34D6"/>
    <w:rsid w:val="55202DAA"/>
    <w:rsid w:val="55222FC6"/>
    <w:rsid w:val="55264684"/>
    <w:rsid w:val="55287DCD"/>
    <w:rsid w:val="55287EB0"/>
    <w:rsid w:val="552A1E7A"/>
    <w:rsid w:val="552A3A6E"/>
    <w:rsid w:val="552D3719"/>
    <w:rsid w:val="552D3875"/>
    <w:rsid w:val="552F624E"/>
    <w:rsid w:val="55304730"/>
    <w:rsid w:val="55326F81"/>
    <w:rsid w:val="55342CF9"/>
    <w:rsid w:val="5536081F"/>
    <w:rsid w:val="55362265"/>
    <w:rsid w:val="553920BD"/>
    <w:rsid w:val="553B6DFF"/>
    <w:rsid w:val="553D7E00"/>
    <w:rsid w:val="553E42AD"/>
    <w:rsid w:val="55410F72"/>
    <w:rsid w:val="5543118E"/>
    <w:rsid w:val="55432F3C"/>
    <w:rsid w:val="55452810"/>
    <w:rsid w:val="55453A67"/>
    <w:rsid w:val="55466638"/>
    <w:rsid w:val="554719A0"/>
    <w:rsid w:val="55491821"/>
    <w:rsid w:val="55515F49"/>
    <w:rsid w:val="555170A7"/>
    <w:rsid w:val="55564A1D"/>
    <w:rsid w:val="555667CB"/>
    <w:rsid w:val="55570917"/>
    <w:rsid w:val="555E38D2"/>
    <w:rsid w:val="55630EE8"/>
    <w:rsid w:val="5563538C"/>
    <w:rsid w:val="55650480"/>
    <w:rsid w:val="55653A2B"/>
    <w:rsid w:val="55674DDF"/>
    <w:rsid w:val="55676C2B"/>
    <w:rsid w:val="556829A3"/>
    <w:rsid w:val="55690291"/>
    <w:rsid w:val="55690BF5"/>
    <w:rsid w:val="556C4241"/>
    <w:rsid w:val="556C5FEF"/>
    <w:rsid w:val="556E620B"/>
    <w:rsid w:val="556F1F83"/>
    <w:rsid w:val="556F2587"/>
    <w:rsid w:val="556F7889"/>
    <w:rsid w:val="557355CF"/>
    <w:rsid w:val="55735C18"/>
    <w:rsid w:val="55760C1C"/>
    <w:rsid w:val="55766E6E"/>
    <w:rsid w:val="55775466"/>
    <w:rsid w:val="55782BE6"/>
    <w:rsid w:val="557B2A48"/>
    <w:rsid w:val="55821CB6"/>
    <w:rsid w:val="55823A64"/>
    <w:rsid w:val="5584375A"/>
    <w:rsid w:val="558639E2"/>
    <w:rsid w:val="5587107B"/>
    <w:rsid w:val="5587536D"/>
    <w:rsid w:val="558F1CDD"/>
    <w:rsid w:val="55915A56"/>
    <w:rsid w:val="5591748A"/>
    <w:rsid w:val="5592481B"/>
    <w:rsid w:val="55935C72"/>
    <w:rsid w:val="55983288"/>
    <w:rsid w:val="55985036"/>
    <w:rsid w:val="559B174B"/>
    <w:rsid w:val="559D43FA"/>
    <w:rsid w:val="55A0213D"/>
    <w:rsid w:val="55A0723D"/>
    <w:rsid w:val="55A16125"/>
    <w:rsid w:val="55A2552E"/>
    <w:rsid w:val="55A34AEC"/>
    <w:rsid w:val="55A7171D"/>
    <w:rsid w:val="55A734CB"/>
    <w:rsid w:val="55A82D9F"/>
    <w:rsid w:val="55A85A18"/>
    <w:rsid w:val="55AA4D69"/>
    <w:rsid w:val="55AD03B6"/>
    <w:rsid w:val="55AE0F7D"/>
    <w:rsid w:val="55AF3C38"/>
    <w:rsid w:val="55B11553"/>
    <w:rsid w:val="55B1434A"/>
    <w:rsid w:val="55B26DA9"/>
    <w:rsid w:val="55B31E70"/>
    <w:rsid w:val="55B856D8"/>
    <w:rsid w:val="55BD4A9D"/>
    <w:rsid w:val="55BF1E12"/>
    <w:rsid w:val="55C01065"/>
    <w:rsid w:val="55C0458D"/>
    <w:rsid w:val="55C061A9"/>
    <w:rsid w:val="55C67DF5"/>
    <w:rsid w:val="55C776C9"/>
    <w:rsid w:val="55CB21FF"/>
    <w:rsid w:val="55CD4CC5"/>
    <w:rsid w:val="55CE0CF4"/>
    <w:rsid w:val="55CE6CAA"/>
    <w:rsid w:val="55D02697"/>
    <w:rsid w:val="55D122F6"/>
    <w:rsid w:val="55D12837"/>
    <w:rsid w:val="55D17D3D"/>
    <w:rsid w:val="55D3606E"/>
    <w:rsid w:val="55D65B5E"/>
    <w:rsid w:val="55D87B28"/>
    <w:rsid w:val="55DD366F"/>
    <w:rsid w:val="55DE587B"/>
    <w:rsid w:val="55E4027B"/>
    <w:rsid w:val="55E418A7"/>
    <w:rsid w:val="55E55DA1"/>
    <w:rsid w:val="55E74FF6"/>
    <w:rsid w:val="55E95892"/>
    <w:rsid w:val="55EB160A"/>
    <w:rsid w:val="55EB6C18"/>
    <w:rsid w:val="55EC35D4"/>
    <w:rsid w:val="55ED6F99"/>
    <w:rsid w:val="55EE10FA"/>
    <w:rsid w:val="55FA184D"/>
    <w:rsid w:val="55FA2C6E"/>
    <w:rsid w:val="55FA7A9F"/>
    <w:rsid w:val="55FB7373"/>
    <w:rsid w:val="55FC3817"/>
    <w:rsid w:val="55FD30EB"/>
    <w:rsid w:val="55FF3307"/>
    <w:rsid w:val="560501F2"/>
    <w:rsid w:val="560721BC"/>
    <w:rsid w:val="56075D18"/>
    <w:rsid w:val="56095F34"/>
    <w:rsid w:val="561074A3"/>
    <w:rsid w:val="5612303A"/>
    <w:rsid w:val="56170651"/>
    <w:rsid w:val="56187F25"/>
    <w:rsid w:val="561A3C9D"/>
    <w:rsid w:val="561B14C6"/>
    <w:rsid w:val="561B17C3"/>
    <w:rsid w:val="56226FF5"/>
    <w:rsid w:val="562341D8"/>
    <w:rsid w:val="562501E7"/>
    <w:rsid w:val="56252250"/>
    <w:rsid w:val="56254791"/>
    <w:rsid w:val="562631E1"/>
    <w:rsid w:val="562A45DB"/>
    <w:rsid w:val="562B40FC"/>
    <w:rsid w:val="562B4DF0"/>
    <w:rsid w:val="562C39D0"/>
    <w:rsid w:val="56301675"/>
    <w:rsid w:val="563028F0"/>
    <w:rsid w:val="563441A1"/>
    <w:rsid w:val="56363D8F"/>
    <w:rsid w:val="563665FD"/>
    <w:rsid w:val="563801A4"/>
    <w:rsid w:val="563A433F"/>
    <w:rsid w:val="563D3DCE"/>
    <w:rsid w:val="56464A92"/>
    <w:rsid w:val="564D66AA"/>
    <w:rsid w:val="56535401"/>
    <w:rsid w:val="56551179"/>
    <w:rsid w:val="56565961"/>
    <w:rsid w:val="56585F69"/>
    <w:rsid w:val="56596943"/>
    <w:rsid w:val="565D002E"/>
    <w:rsid w:val="565D1DDC"/>
    <w:rsid w:val="565D3B8A"/>
    <w:rsid w:val="565E2A00"/>
    <w:rsid w:val="56644F18"/>
    <w:rsid w:val="56660C90"/>
    <w:rsid w:val="5666172C"/>
    <w:rsid w:val="56665134"/>
    <w:rsid w:val="56682C5A"/>
    <w:rsid w:val="566A4AF4"/>
    <w:rsid w:val="566C10BB"/>
    <w:rsid w:val="566F4FFD"/>
    <w:rsid w:val="56772E9D"/>
    <w:rsid w:val="567B1F2B"/>
    <w:rsid w:val="567C0C5D"/>
    <w:rsid w:val="567D77DA"/>
    <w:rsid w:val="567E7FD3"/>
    <w:rsid w:val="56821842"/>
    <w:rsid w:val="56835CE6"/>
    <w:rsid w:val="56854D8F"/>
    <w:rsid w:val="568832FC"/>
    <w:rsid w:val="568A343A"/>
    <w:rsid w:val="568A7075"/>
    <w:rsid w:val="568B216D"/>
    <w:rsid w:val="56975054"/>
    <w:rsid w:val="569752EE"/>
    <w:rsid w:val="56982E14"/>
    <w:rsid w:val="569C0B56"/>
    <w:rsid w:val="569C6DA8"/>
    <w:rsid w:val="569D042A"/>
    <w:rsid w:val="56A355D3"/>
    <w:rsid w:val="56A7004F"/>
    <w:rsid w:val="56A800D0"/>
    <w:rsid w:val="56A87127"/>
    <w:rsid w:val="56AB1191"/>
    <w:rsid w:val="56AB6FEB"/>
    <w:rsid w:val="56AE4E93"/>
    <w:rsid w:val="56AE5BF6"/>
    <w:rsid w:val="56B0015D"/>
    <w:rsid w:val="56B06FAA"/>
    <w:rsid w:val="56B22A9C"/>
    <w:rsid w:val="56B411C3"/>
    <w:rsid w:val="56B45E9F"/>
    <w:rsid w:val="56B569A0"/>
    <w:rsid w:val="56BB6A2E"/>
    <w:rsid w:val="56BD1A02"/>
    <w:rsid w:val="56C34335"/>
    <w:rsid w:val="56C43C09"/>
    <w:rsid w:val="56C44CD8"/>
    <w:rsid w:val="56C500AD"/>
    <w:rsid w:val="56C63E25"/>
    <w:rsid w:val="56C73327"/>
    <w:rsid w:val="56C854A7"/>
    <w:rsid w:val="56C97471"/>
    <w:rsid w:val="56CA56C3"/>
    <w:rsid w:val="56CB06C9"/>
    <w:rsid w:val="56CB31E9"/>
    <w:rsid w:val="56CD51B3"/>
    <w:rsid w:val="56CD6F61"/>
    <w:rsid w:val="56CF0F2B"/>
    <w:rsid w:val="56D24578"/>
    <w:rsid w:val="56D36F95"/>
    <w:rsid w:val="56D95906"/>
    <w:rsid w:val="56DA167E"/>
    <w:rsid w:val="56DC0F52"/>
    <w:rsid w:val="56E10C5F"/>
    <w:rsid w:val="56E237B3"/>
    <w:rsid w:val="56E66275"/>
    <w:rsid w:val="56E66F00"/>
    <w:rsid w:val="56EA18C1"/>
    <w:rsid w:val="56EB2310"/>
    <w:rsid w:val="56ED13B1"/>
    <w:rsid w:val="56ED7603"/>
    <w:rsid w:val="56F37C7C"/>
    <w:rsid w:val="56F40992"/>
    <w:rsid w:val="56F8211A"/>
    <w:rsid w:val="56F95FA8"/>
    <w:rsid w:val="56FB0201"/>
    <w:rsid w:val="56FE0B98"/>
    <w:rsid w:val="570109B9"/>
    <w:rsid w:val="570404A9"/>
    <w:rsid w:val="570566FB"/>
    <w:rsid w:val="57081D47"/>
    <w:rsid w:val="570B1D7A"/>
    <w:rsid w:val="571201D1"/>
    <w:rsid w:val="5712706A"/>
    <w:rsid w:val="57137C33"/>
    <w:rsid w:val="571406EC"/>
    <w:rsid w:val="57154464"/>
    <w:rsid w:val="57172725"/>
    <w:rsid w:val="571C2263"/>
    <w:rsid w:val="571C57F3"/>
    <w:rsid w:val="571E0092"/>
    <w:rsid w:val="571E156B"/>
    <w:rsid w:val="572052E3"/>
    <w:rsid w:val="5721105B"/>
    <w:rsid w:val="57254C5A"/>
    <w:rsid w:val="572D7A00"/>
    <w:rsid w:val="572F455A"/>
    <w:rsid w:val="5730129E"/>
    <w:rsid w:val="57346FE0"/>
    <w:rsid w:val="573B036F"/>
    <w:rsid w:val="573C40E7"/>
    <w:rsid w:val="574014E1"/>
    <w:rsid w:val="57402531"/>
    <w:rsid w:val="57405985"/>
    <w:rsid w:val="57437223"/>
    <w:rsid w:val="57460AC2"/>
    <w:rsid w:val="57527466"/>
    <w:rsid w:val="575642B2"/>
    <w:rsid w:val="57574A7D"/>
    <w:rsid w:val="575B456D"/>
    <w:rsid w:val="575C534A"/>
    <w:rsid w:val="57600001"/>
    <w:rsid w:val="57623B4D"/>
    <w:rsid w:val="57650F48"/>
    <w:rsid w:val="576D7968"/>
    <w:rsid w:val="576F1DC6"/>
    <w:rsid w:val="57777883"/>
    <w:rsid w:val="577B69BD"/>
    <w:rsid w:val="577D0987"/>
    <w:rsid w:val="577E43CE"/>
    <w:rsid w:val="57827D4C"/>
    <w:rsid w:val="57831D16"/>
    <w:rsid w:val="578515EA"/>
    <w:rsid w:val="57874C1F"/>
    <w:rsid w:val="578A4E52"/>
    <w:rsid w:val="578C2978"/>
    <w:rsid w:val="578F4217"/>
    <w:rsid w:val="57911D3D"/>
    <w:rsid w:val="57917F8F"/>
    <w:rsid w:val="5794675D"/>
    <w:rsid w:val="579655A5"/>
    <w:rsid w:val="57996E43"/>
    <w:rsid w:val="579D2DD8"/>
    <w:rsid w:val="579E26AC"/>
    <w:rsid w:val="579E445A"/>
    <w:rsid w:val="57A20117"/>
    <w:rsid w:val="57A53A3A"/>
    <w:rsid w:val="57A57DAA"/>
    <w:rsid w:val="57A7207F"/>
    <w:rsid w:val="57AA456F"/>
    <w:rsid w:val="57AC6B77"/>
    <w:rsid w:val="57AD1FEE"/>
    <w:rsid w:val="57AD28EF"/>
    <w:rsid w:val="57AE07FF"/>
    <w:rsid w:val="57AF48B9"/>
    <w:rsid w:val="57AF6667"/>
    <w:rsid w:val="57B04EBD"/>
    <w:rsid w:val="57B27F05"/>
    <w:rsid w:val="57B72A76"/>
    <w:rsid w:val="57BD0D84"/>
    <w:rsid w:val="57C20626"/>
    <w:rsid w:val="57C2639A"/>
    <w:rsid w:val="57C32112"/>
    <w:rsid w:val="57C3426C"/>
    <w:rsid w:val="57C86FC8"/>
    <w:rsid w:val="57C95893"/>
    <w:rsid w:val="57CC0FC7"/>
    <w:rsid w:val="57CC7219"/>
    <w:rsid w:val="57CE1F93"/>
    <w:rsid w:val="57D1482F"/>
    <w:rsid w:val="57D432E9"/>
    <w:rsid w:val="57D4431F"/>
    <w:rsid w:val="57D63BF4"/>
    <w:rsid w:val="57D77C2D"/>
    <w:rsid w:val="57D83E10"/>
    <w:rsid w:val="57DB3900"/>
    <w:rsid w:val="57DC4038"/>
    <w:rsid w:val="57DD31D4"/>
    <w:rsid w:val="57DE0CFA"/>
    <w:rsid w:val="57DE6F4C"/>
    <w:rsid w:val="57DF519E"/>
    <w:rsid w:val="57E06B2A"/>
    <w:rsid w:val="57E36FCD"/>
    <w:rsid w:val="57E75E01"/>
    <w:rsid w:val="57E9601D"/>
    <w:rsid w:val="57EE4E5E"/>
    <w:rsid w:val="57EE53E1"/>
    <w:rsid w:val="57F10A2D"/>
    <w:rsid w:val="57F11707"/>
    <w:rsid w:val="57F13007"/>
    <w:rsid w:val="57F131B7"/>
    <w:rsid w:val="57F329F7"/>
    <w:rsid w:val="57F549C2"/>
    <w:rsid w:val="57F624E8"/>
    <w:rsid w:val="57F64296"/>
    <w:rsid w:val="57F66044"/>
    <w:rsid w:val="57F7450F"/>
    <w:rsid w:val="57F8000E"/>
    <w:rsid w:val="57F95B34"/>
    <w:rsid w:val="57FE4C66"/>
    <w:rsid w:val="57FF75EE"/>
    <w:rsid w:val="58030761"/>
    <w:rsid w:val="5804433A"/>
    <w:rsid w:val="58050514"/>
    <w:rsid w:val="580544D9"/>
    <w:rsid w:val="5806097D"/>
    <w:rsid w:val="580634EF"/>
    <w:rsid w:val="58070251"/>
    <w:rsid w:val="580746F5"/>
    <w:rsid w:val="58083F78"/>
    <w:rsid w:val="580A65D5"/>
    <w:rsid w:val="580C7579"/>
    <w:rsid w:val="580E15DF"/>
    <w:rsid w:val="58133B49"/>
    <w:rsid w:val="58164938"/>
    <w:rsid w:val="581B5AAA"/>
    <w:rsid w:val="581F5548"/>
    <w:rsid w:val="581F559B"/>
    <w:rsid w:val="5822508B"/>
    <w:rsid w:val="58226E39"/>
    <w:rsid w:val="58230012"/>
    <w:rsid w:val="58256929"/>
    <w:rsid w:val="582C27E5"/>
    <w:rsid w:val="582C5F09"/>
    <w:rsid w:val="582C7CB7"/>
    <w:rsid w:val="582D0E61"/>
    <w:rsid w:val="582E78D1"/>
    <w:rsid w:val="582F707B"/>
    <w:rsid w:val="58306FF4"/>
    <w:rsid w:val="583152CE"/>
    <w:rsid w:val="58321B3B"/>
    <w:rsid w:val="583A0779"/>
    <w:rsid w:val="58443253"/>
    <w:rsid w:val="58450D79"/>
    <w:rsid w:val="58466C49"/>
    <w:rsid w:val="58471A9C"/>
    <w:rsid w:val="58496ABB"/>
    <w:rsid w:val="584C4139"/>
    <w:rsid w:val="584D65AC"/>
    <w:rsid w:val="58501BF8"/>
    <w:rsid w:val="5851771E"/>
    <w:rsid w:val="58542FA1"/>
    <w:rsid w:val="585A65D3"/>
    <w:rsid w:val="585F62DF"/>
    <w:rsid w:val="586236D9"/>
    <w:rsid w:val="58670CF0"/>
    <w:rsid w:val="58690F0C"/>
    <w:rsid w:val="586C224F"/>
    <w:rsid w:val="586F7A04"/>
    <w:rsid w:val="58726012"/>
    <w:rsid w:val="58773629"/>
    <w:rsid w:val="58783461"/>
    <w:rsid w:val="587F24DD"/>
    <w:rsid w:val="58802C7F"/>
    <w:rsid w:val="58823D7B"/>
    <w:rsid w:val="5883010A"/>
    <w:rsid w:val="588743D1"/>
    <w:rsid w:val="5887701A"/>
    <w:rsid w:val="588B0E82"/>
    <w:rsid w:val="588C4D06"/>
    <w:rsid w:val="58937B43"/>
    <w:rsid w:val="589768D8"/>
    <w:rsid w:val="58977827"/>
    <w:rsid w:val="5898359F"/>
    <w:rsid w:val="589A10C5"/>
    <w:rsid w:val="589F66DB"/>
    <w:rsid w:val="58A23C64"/>
    <w:rsid w:val="58A75590"/>
    <w:rsid w:val="58A9755A"/>
    <w:rsid w:val="58AB3744"/>
    <w:rsid w:val="58AE4B70"/>
    <w:rsid w:val="58B02697"/>
    <w:rsid w:val="58B50BB8"/>
    <w:rsid w:val="58B6273B"/>
    <w:rsid w:val="58B63D67"/>
    <w:rsid w:val="58B856C2"/>
    <w:rsid w:val="58B93579"/>
    <w:rsid w:val="58BC54DF"/>
    <w:rsid w:val="58BC728D"/>
    <w:rsid w:val="58BD34CA"/>
    <w:rsid w:val="58C12AF6"/>
    <w:rsid w:val="58C3486B"/>
    <w:rsid w:val="58C3688D"/>
    <w:rsid w:val="58C44394"/>
    <w:rsid w:val="58C60C50"/>
    <w:rsid w:val="58C61EBA"/>
    <w:rsid w:val="58C74C2E"/>
    <w:rsid w:val="58C93758"/>
    <w:rsid w:val="58D11E3B"/>
    <w:rsid w:val="58D5034F"/>
    <w:rsid w:val="58D52FBB"/>
    <w:rsid w:val="58D81BED"/>
    <w:rsid w:val="58D83A33"/>
    <w:rsid w:val="58D85A68"/>
    <w:rsid w:val="58DE337E"/>
    <w:rsid w:val="58DE502E"/>
    <w:rsid w:val="58DE7C59"/>
    <w:rsid w:val="58E12B06"/>
    <w:rsid w:val="58E14F46"/>
    <w:rsid w:val="58E30CBE"/>
    <w:rsid w:val="58E43968"/>
    <w:rsid w:val="58E81E30"/>
    <w:rsid w:val="58E82536"/>
    <w:rsid w:val="58E95BA9"/>
    <w:rsid w:val="58ED52CF"/>
    <w:rsid w:val="58EF652E"/>
    <w:rsid w:val="58F033DB"/>
    <w:rsid w:val="58F307D5"/>
    <w:rsid w:val="58FD7D40"/>
    <w:rsid w:val="58FF53CC"/>
    <w:rsid w:val="59045D63"/>
    <w:rsid w:val="59060650"/>
    <w:rsid w:val="59084281"/>
    <w:rsid w:val="5909450C"/>
    <w:rsid w:val="590D5D3B"/>
    <w:rsid w:val="590D7AE9"/>
    <w:rsid w:val="590F1AB3"/>
    <w:rsid w:val="59111297"/>
    <w:rsid w:val="59125193"/>
    <w:rsid w:val="5915699E"/>
    <w:rsid w:val="5919648E"/>
    <w:rsid w:val="591B7986"/>
    <w:rsid w:val="591D6844"/>
    <w:rsid w:val="591F15CA"/>
    <w:rsid w:val="59205A6E"/>
    <w:rsid w:val="59213594"/>
    <w:rsid w:val="59242475"/>
    <w:rsid w:val="59266DFD"/>
    <w:rsid w:val="5927777C"/>
    <w:rsid w:val="592A069B"/>
    <w:rsid w:val="592A1E53"/>
    <w:rsid w:val="592B61C1"/>
    <w:rsid w:val="592F7FAC"/>
    <w:rsid w:val="593432C8"/>
    <w:rsid w:val="59360232"/>
    <w:rsid w:val="59367B5C"/>
    <w:rsid w:val="59367D12"/>
    <w:rsid w:val="59376914"/>
    <w:rsid w:val="5937763F"/>
    <w:rsid w:val="593F0A12"/>
    <w:rsid w:val="59411541"/>
    <w:rsid w:val="59452339"/>
    <w:rsid w:val="59457B55"/>
    <w:rsid w:val="59486D73"/>
    <w:rsid w:val="594A2AEB"/>
    <w:rsid w:val="594A4899"/>
    <w:rsid w:val="594B0611"/>
    <w:rsid w:val="594D6137"/>
    <w:rsid w:val="594E7882"/>
    <w:rsid w:val="59505C28"/>
    <w:rsid w:val="59523610"/>
    <w:rsid w:val="59525DE4"/>
    <w:rsid w:val="5954396A"/>
    <w:rsid w:val="59594ADC"/>
    <w:rsid w:val="595B4CF8"/>
    <w:rsid w:val="595C281E"/>
    <w:rsid w:val="595C45CC"/>
    <w:rsid w:val="595D7738"/>
    <w:rsid w:val="59605E6B"/>
    <w:rsid w:val="5966544B"/>
    <w:rsid w:val="596671F9"/>
    <w:rsid w:val="596811C3"/>
    <w:rsid w:val="596B0199"/>
    <w:rsid w:val="596C21DC"/>
    <w:rsid w:val="596C6687"/>
    <w:rsid w:val="596D0588"/>
    <w:rsid w:val="596F2552"/>
    <w:rsid w:val="596F2BE8"/>
    <w:rsid w:val="597506E7"/>
    <w:rsid w:val="597827FF"/>
    <w:rsid w:val="597C07CB"/>
    <w:rsid w:val="597E4543"/>
    <w:rsid w:val="59835FFD"/>
    <w:rsid w:val="59844A41"/>
    <w:rsid w:val="59853B23"/>
    <w:rsid w:val="598C4EB2"/>
    <w:rsid w:val="598D29D8"/>
    <w:rsid w:val="598D5E93"/>
    <w:rsid w:val="598F49A2"/>
    <w:rsid w:val="59905198"/>
    <w:rsid w:val="59927F00"/>
    <w:rsid w:val="599321E1"/>
    <w:rsid w:val="59943D66"/>
    <w:rsid w:val="59947343"/>
    <w:rsid w:val="599D7559"/>
    <w:rsid w:val="59A10231"/>
    <w:rsid w:val="59A2321A"/>
    <w:rsid w:val="59A26483"/>
    <w:rsid w:val="59A321FB"/>
    <w:rsid w:val="59A47B60"/>
    <w:rsid w:val="59A55F73"/>
    <w:rsid w:val="59A75542"/>
    <w:rsid w:val="59AA358A"/>
    <w:rsid w:val="59AF0BA0"/>
    <w:rsid w:val="59B12B6A"/>
    <w:rsid w:val="59B60181"/>
    <w:rsid w:val="59B85996"/>
    <w:rsid w:val="59B9276E"/>
    <w:rsid w:val="59B937CD"/>
    <w:rsid w:val="59BB12F3"/>
    <w:rsid w:val="59C0439F"/>
    <w:rsid w:val="59C04B5B"/>
    <w:rsid w:val="59C31E69"/>
    <w:rsid w:val="59C35852"/>
    <w:rsid w:val="59C7413C"/>
    <w:rsid w:val="59C83A10"/>
    <w:rsid w:val="59CA2277"/>
    <w:rsid w:val="59CA3C2C"/>
    <w:rsid w:val="59CD1026"/>
    <w:rsid w:val="59CF2E66"/>
    <w:rsid w:val="59D27D41"/>
    <w:rsid w:val="59D40607"/>
    <w:rsid w:val="59D61BA3"/>
    <w:rsid w:val="59D800F7"/>
    <w:rsid w:val="59D8223A"/>
    <w:rsid w:val="59DB3743"/>
    <w:rsid w:val="59DB7BE7"/>
    <w:rsid w:val="59DD5217"/>
    <w:rsid w:val="59DE3233"/>
    <w:rsid w:val="59E036D4"/>
    <w:rsid w:val="59E63722"/>
    <w:rsid w:val="59E940B2"/>
    <w:rsid w:val="59EA639F"/>
    <w:rsid w:val="59EA7E2A"/>
    <w:rsid w:val="59EE5BB4"/>
    <w:rsid w:val="59F20A8D"/>
    <w:rsid w:val="59F369A8"/>
    <w:rsid w:val="59F9006D"/>
    <w:rsid w:val="59FA62BF"/>
    <w:rsid w:val="59FD5DAF"/>
    <w:rsid w:val="5A0031AA"/>
    <w:rsid w:val="5A032C9A"/>
    <w:rsid w:val="5A04694A"/>
    <w:rsid w:val="5A07278A"/>
    <w:rsid w:val="5A096502"/>
    <w:rsid w:val="5A0F3CCD"/>
    <w:rsid w:val="5A113609"/>
    <w:rsid w:val="5A121A9D"/>
    <w:rsid w:val="5A137381"/>
    <w:rsid w:val="5A177BA2"/>
    <w:rsid w:val="5A180741"/>
    <w:rsid w:val="5A19426B"/>
    <w:rsid w:val="5A1C6061"/>
    <w:rsid w:val="5A1D5B0A"/>
    <w:rsid w:val="5A1D69CB"/>
    <w:rsid w:val="5A206A87"/>
    <w:rsid w:val="5A2075B3"/>
    <w:rsid w:val="5A217302"/>
    <w:rsid w:val="5A250E62"/>
    <w:rsid w:val="5A2570B4"/>
    <w:rsid w:val="5A2A0227"/>
    <w:rsid w:val="5A2A57A8"/>
    <w:rsid w:val="5A2C21F1"/>
    <w:rsid w:val="5A2E41BB"/>
    <w:rsid w:val="5A3115B5"/>
    <w:rsid w:val="5A391297"/>
    <w:rsid w:val="5A3B2502"/>
    <w:rsid w:val="5A3B41BB"/>
    <w:rsid w:val="5A3D61AC"/>
    <w:rsid w:val="5A3F00FB"/>
    <w:rsid w:val="5A440B56"/>
    <w:rsid w:val="5A44753A"/>
    <w:rsid w:val="5A45004B"/>
    <w:rsid w:val="5A457E3E"/>
    <w:rsid w:val="5A517EA9"/>
    <w:rsid w:val="5A5534F6"/>
    <w:rsid w:val="5A5654C0"/>
    <w:rsid w:val="5A5D05FC"/>
    <w:rsid w:val="5A601E9A"/>
    <w:rsid w:val="5A61633E"/>
    <w:rsid w:val="5A6B1B59"/>
    <w:rsid w:val="5A6C083F"/>
    <w:rsid w:val="5A6C2FE9"/>
    <w:rsid w:val="5A6F20DD"/>
    <w:rsid w:val="5A76346C"/>
    <w:rsid w:val="5A76409B"/>
    <w:rsid w:val="5A783688"/>
    <w:rsid w:val="5A8042EB"/>
    <w:rsid w:val="5A8111AE"/>
    <w:rsid w:val="5A8120B8"/>
    <w:rsid w:val="5A81253D"/>
    <w:rsid w:val="5A864198"/>
    <w:rsid w:val="5A8646B8"/>
    <w:rsid w:val="5A8C56CF"/>
    <w:rsid w:val="5A8D7133"/>
    <w:rsid w:val="5A8E6A07"/>
    <w:rsid w:val="5A9009D2"/>
    <w:rsid w:val="5A902780"/>
    <w:rsid w:val="5A9102A6"/>
    <w:rsid w:val="5A9164F8"/>
    <w:rsid w:val="5A971D60"/>
    <w:rsid w:val="5A9A1850"/>
    <w:rsid w:val="5A9B2FFA"/>
    <w:rsid w:val="5A9B74F7"/>
    <w:rsid w:val="5A9C7376"/>
    <w:rsid w:val="5A9F6E67"/>
    <w:rsid w:val="5AA12BDF"/>
    <w:rsid w:val="5AA230B8"/>
    <w:rsid w:val="5AAB580B"/>
    <w:rsid w:val="5AAF1C14"/>
    <w:rsid w:val="5AB0697E"/>
    <w:rsid w:val="5AB3021C"/>
    <w:rsid w:val="5AB53F94"/>
    <w:rsid w:val="5AB741B0"/>
    <w:rsid w:val="5AB83A84"/>
    <w:rsid w:val="5AB87F28"/>
    <w:rsid w:val="5ABE2233"/>
    <w:rsid w:val="5ABE7E1B"/>
    <w:rsid w:val="5ABF4E13"/>
    <w:rsid w:val="5ABF62C1"/>
    <w:rsid w:val="5AC61022"/>
    <w:rsid w:val="5AC62645"/>
    <w:rsid w:val="5AC739BF"/>
    <w:rsid w:val="5ACB37B8"/>
    <w:rsid w:val="5ACB40C5"/>
    <w:rsid w:val="5ACC6B6C"/>
    <w:rsid w:val="5ACE0A9F"/>
    <w:rsid w:val="5AD07020"/>
    <w:rsid w:val="5AD92379"/>
    <w:rsid w:val="5ADA7E9F"/>
    <w:rsid w:val="5ADC3C17"/>
    <w:rsid w:val="5ADD34EB"/>
    <w:rsid w:val="5ADE798F"/>
    <w:rsid w:val="5AE900E2"/>
    <w:rsid w:val="5AEB5C08"/>
    <w:rsid w:val="5AEC4240"/>
    <w:rsid w:val="5AEE394A"/>
    <w:rsid w:val="5AF10B49"/>
    <w:rsid w:val="5AF251E8"/>
    <w:rsid w:val="5AF35881"/>
    <w:rsid w:val="5AF54CD9"/>
    <w:rsid w:val="5AF61903"/>
    <w:rsid w:val="5AF96577"/>
    <w:rsid w:val="5B022F52"/>
    <w:rsid w:val="5B084A0C"/>
    <w:rsid w:val="5B0867BA"/>
    <w:rsid w:val="5B0D3DD0"/>
    <w:rsid w:val="5B12588A"/>
    <w:rsid w:val="5B14363F"/>
    <w:rsid w:val="5B184523"/>
    <w:rsid w:val="5B1B1E1C"/>
    <w:rsid w:val="5B1E422F"/>
    <w:rsid w:val="5B2305C4"/>
    <w:rsid w:val="5B242EC8"/>
    <w:rsid w:val="5B2547A4"/>
    <w:rsid w:val="5B266029"/>
    <w:rsid w:val="5B2851C3"/>
    <w:rsid w:val="5B2D4472"/>
    <w:rsid w:val="5B2E3D47"/>
    <w:rsid w:val="5B2F358E"/>
    <w:rsid w:val="5B321A89"/>
    <w:rsid w:val="5B323837"/>
    <w:rsid w:val="5B3255E5"/>
    <w:rsid w:val="5B386773"/>
    <w:rsid w:val="5B394BC5"/>
    <w:rsid w:val="5B3A26EB"/>
    <w:rsid w:val="5B3D3EC0"/>
    <w:rsid w:val="5B4752FF"/>
    <w:rsid w:val="5B48305A"/>
    <w:rsid w:val="5B4B2B4A"/>
    <w:rsid w:val="5B4D1B6B"/>
    <w:rsid w:val="5B4F43E9"/>
    <w:rsid w:val="5B526448"/>
    <w:rsid w:val="5B5269F4"/>
    <w:rsid w:val="5B540B07"/>
    <w:rsid w:val="5B555777"/>
    <w:rsid w:val="5B572E88"/>
    <w:rsid w:val="5B5A2D8E"/>
    <w:rsid w:val="5B5C08B4"/>
    <w:rsid w:val="5B5F03A4"/>
    <w:rsid w:val="5B6078C7"/>
    <w:rsid w:val="5B615541"/>
    <w:rsid w:val="5B630C7D"/>
    <w:rsid w:val="5B6339F0"/>
    <w:rsid w:val="5B651B90"/>
    <w:rsid w:val="5B6854AA"/>
    <w:rsid w:val="5B6D0D13"/>
    <w:rsid w:val="5B726329"/>
    <w:rsid w:val="5B750EEC"/>
    <w:rsid w:val="5B7A10F7"/>
    <w:rsid w:val="5B7C4AB2"/>
    <w:rsid w:val="5B7C510D"/>
    <w:rsid w:val="5B7C6694"/>
    <w:rsid w:val="5B7C6858"/>
    <w:rsid w:val="5B865931"/>
    <w:rsid w:val="5B866118"/>
    <w:rsid w:val="5B8966DA"/>
    <w:rsid w:val="5B8B1199"/>
    <w:rsid w:val="5B8C73EB"/>
    <w:rsid w:val="5B9242D5"/>
    <w:rsid w:val="5B93792A"/>
    <w:rsid w:val="5B9A0FAF"/>
    <w:rsid w:val="5B9B5880"/>
    <w:rsid w:val="5B9E5921"/>
    <w:rsid w:val="5BA109BC"/>
    <w:rsid w:val="5BA16976"/>
    <w:rsid w:val="5BA26C0E"/>
    <w:rsid w:val="5BA30291"/>
    <w:rsid w:val="5BAE2B14"/>
    <w:rsid w:val="5BB16E51"/>
    <w:rsid w:val="5BB4249E"/>
    <w:rsid w:val="5BB46942"/>
    <w:rsid w:val="5BB5441C"/>
    <w:rsid w:val="5BB701E0"/>
    <w:rsid w:val="5BB71F8E"/>
    <w:rsid w:val="5BB756DE"/>
    <w:rsid w:val="5BBD2610"/>
    <w:rsid w:val="5BBE50CA"/>
    <w:rsid w:val="5BC00E43"/>
    <w:rsid w:val="5BC22E0D"/>
    <w:rsid w:val="5BC621D1"/>
    <w:rsid w:val="5BCC3C8B"/>
    <w:rsid w:val="5BCE2DB4"/>
    <w:rsid w:val="5BCF72D8"/>
    <w:rsid w:val="5BD2027A"/>
    <w:rsid w:val="5BD25627"/>
    <w:rsid w:val="5BD42B40"/>
    <w:rsid w:val="5BD60666"/>
    <w:rsid w:val="5BD60F83"/>
    <w:rsid w:val="5BD75AB2"/>
    <w:rsid w:val="5BD963A8"/>
    <w:rsid w:val="5BDE576D"/>
    <w:rsid w:val="5BDF5D95"/>
    <w:rsid w:val="5BE2525D"/>
    <w:rsid w:val="5BE81608"/>
    <w:rsid w:val="5BE82147"/>
    <w:rsid w:val="5BE85E7A"/>
    <w:rsid w:val="5BEA4111"/>
    <w:rsid w:val="5BEE5662"/>
    <w:rsid w:val="5BEF1728"/>
    <w:rsid w:val="5BF136F2"/>
    <w:rsid w:val="5BF22FC6"/>
    <w:rsid w:val="5BF362D8"/>
    <w:rsid w:val="5BF41CE0"/>
    <w:rsid w:val="5BF46D3E"/>
    <w:rsid w:val="5BF74AD6"/>
    <w:rsid w:val="5BFD2097"/>
    <w:rsid w:val="5BFE7528"/>
    <w:rsid w:val="5BFE7BBD"/>
    <w:rsid w:val="5BFF13ED"/>
    <w:rsid w:val="5C007491"/>
    <w:rsid w:val="5C052271"/>
    <w:rsid w:val="5C053504"/>
    <w:rsid w:val="5C074CC3"/>
    <w:rsid w:val="5C084598"/>
    <w:rsid w:val="5C0A6562"/>
    <w:rsid w:val="5C0B238F"/>
    <w:rsid w:val="5C0B66FF"/>
    <w:rsid w:val="5C0C6506"/>
    <w:rsid w:val="5C0D2DDD"/>
    <w:rsid w:val="5C0D7E00"/>
    <w:rsid w:val="5C131742"/>
    <w:rsid w:val="5C163158"/>
    <w:rsid w:val="5C164F06"/>
    <w:rsid w:val="5C1679CD"/>
    <w:rsid w:val="5C190553"/>
    <w:rsid w:val="5C192869"/>
    <w:rsid w:val="5C1A0B00"/>
    <w:rsid w:val="5C1C68C8"/>
    <w:rsid w:val="5C1E3DBB"/>
    <w:rsid w:val="5C1F025F"/>
    <w:rsid w:val="5C2208E0"/>
    <w:rsid w:val="5C245875"/>
    <w:rsid w:val="5C272C70"/>
    <w:rsid w:val="5C292E8C"/>
    <w:rsid w:val="5C294C3A"/>
    <w:rsid w:val="5C2A1931"/>
    <w:rsid w:val="5C2A2C44"/>
    <w:rsid w:val="5C2B76EA"/>
    <w:rsid w:val="5C311D40"/>
    <w:rsid w:val="5C313978"/>
    <w:rsid w:val="5C317F92"/>
    <w:rsid w:val="5C384E7D"/>
    <w:rsid w:val="5C3B496D"/>
    <w:rsid w:val="5C3F26AF"/>
    <w:rsid w:val="5C471564"/>
    <w:rsid w:val="5C4750C0"/>
    <w:rsid w:val="5C476580"/>
    <w:rsid w:val="5C487462"/>
    <w:rsid w:val="5C4900A4"/>
    <w:rsid w:val="5C4952DC"/>
    <w:rsid w:val="5C4C2A90"/>
    <w:rsid w:val="5C4F74F0"/>
    <w:rsid w:val="5C5123E2"/>
    <w:rsid w:val="5C515F3F"/>
    <w:rsid w:val="5C58107B"/>
    <w:rsid w:val="5C584438"/>
    <w:rsid w:val="5C58551F"/>
    <w:rsid w:val="5C5B0B6B"/>
    <w:rsid w:val="5C5D0D87"/>
    <w:rsid w:val="5C5D48E3"/>
    <w:rsid w:val="5C6133D5"/>
    <w:rsid w:val="5C621EFA"/>
    <w:rsid w:val="5C62639E"/>
    <w:rsid w:val="5C642116"/>
    <w:rsid w:val="5C651D4C"/>
    <w:rsid w:val="5C653798"/>
    <w:rsid w:val="5C68683A"/>
    <w:rsid w:val="5C6E6AF1"/>
    <w:rsid w:val="5C725641"/>
    <w:rsid w:val="5C757E7F"/>
    <w:rsid w:val="5C761E49"/>
    <w:rsid w:val="5C7D31D8"/>
    <w:rsid w:val="5C7F0CFE"/>
    <w:rsid w:val="5C8207EE"/>
    <w:rsid w:val="5C8259E8"/>
    <w:rsid w:val="5C8309B6"/>
    <w:rsid w:val="5C853E3A"/>
    <w:rsid w:val="5C86208C"/>
    <w:rsid w:val="5C870E99"/>
    <w:rsid w:val="5C891D28"/>
    <w:rsid w:val="5C8E2CEF"/>
    <w:rsid w:val="5C8F1F25"/>
    <w:rsid w:val="5C9122C7"/>
    <w:rsid w:val="5C9127DF"/>
    <w:rsid w:val="5C943CD4"/>
    <w:rsid w:val="5C950521"/>
    <w:rsid w:val="5C98591B"/>
    <w:rsid w:val="5C9A5B38"/>
    <w:rsid w:val="5C9B540C"/>
    <w:rsid w:val="5CA16EC6"/>
    <w:rsid w:val="5CA27422"/>
    <w:rsid w:val="5CA47D08"/>
    <w:rsid w:val="5CA73DB1"/>
    <w:rsid w:val="5CA94BB2"/>
    <w:rsid w:val="5CAB3EE7"/>
    <w:rsid w:val="5CAC604F"/>
    <w:rsid w:val="5CAD5DC7"/>
    <w:rsid w:val="5CB17293"/>
    <w:rsid w:val="5CB309A7"/>
    <w:rsid w:val="5CBD1826"/>
    <w:rsid w:val="5CBF734C"/>
    <w:rsid w:val="5CC26747"/>
    <w:rsid w:val="5CC42BB4"/>
    <w:rsid w:val="5CC46711"/>
    <w:rsid w:val="5CC606DB"/>
    <w:rsid w:val="5CC826A5"/>
    <w:rsid w:val="5CC93D27"/>
    <w:rsid w:val="5CC95946"/>
    <w:rsid w:val="5CCD7CBB"/>
    <w:rsid w:val="5CCE3A33"/>
    <w:rsid w:val="5CCE57E1"/>
    <w:rsid w:val="5CD07A75"/>
    <w:rsid w:val="5CD1707F"/>
    <w:rsid w:val="5CD76156"/>
    <w:rsid w:val="5CDC0F56"/>
    <w:rsid w:val="5CDC6150"/>
    <w:rsid w:val="5CDF79EE"/>
    <w:rsid w:val="5CE15186"/>
    <w:rsid w:val="5CE2303B"/>
    <w:rsid w:val="5CE40B61"/>
    <w:rsid w:val="5CE57E3C"/>
    <w:rsid w:val="5CE648D9"/>
    <w:rsid w:val="5CE70651"/>
    <w:rsid w:val="5CE943C9"/>
    <w:rsid w:val="5CEB6393"/>
    <w:rsid w:val="5CED6664"/>
    <w:rsid w:val="5CEE7C31"/>
    <w:rsid w:val="5CF60894"/>
    <w:rsid w:val="5CF61096"/>
    <w:rsid w:val="5CF8460C"/>
    <w:rsid w:val="5CF86BD0"/>
    <w:rsid w:val="5CFA0384"/>
    <w:rsid w:val="5CFD7E74"/>
    <w:rsid w:val="5D017965"/>
    <w:rsid w:val="5D0336DD"/>
    <w:rsid w:val="5D035CDC"/>
    <w:rsid w:val="5D053A28"/>
    <w:rsid w:val="5D064F7B"/>
    <w:rsid w:val="5D074BB1"/>
    <w:rsid w:val="5D094A6B"/>
    <w:rsid w:val="5D0D455B"/>
    <w:rsid w:val="5D0E2082"/>
    <w:rsid w:val="5D0F0449"/>
    <w:rsid w:val="5D105DFA"/>
    <w:rsid w:val="5D107BA8"/>
    <w:rsid w:val="5D121B72"/>
    <w:rsid w:val="5D142F08"/>
    <w:rsid w:val="5D153410"/>
    <w:rsid w:val="5D1C11A8"/>
    <w:rsid w:val="5D1C654D"/>
    <w:rsid w:val="5D1F7DEB"/>
    <w:rsid w:val="5D2269E4"/>
    <w:rsid w:val="5D235B2D"/>
    <w:rsid w:val="5D243653"/>
    <w:rsid w:val="5D246832"/>
    <w:rsid w:val="5D292A17"/>
    <w:rsid w:val="5D2C42B6"/>
    <w:rsid w:val="5D321A8D"/>
    <w:rsid w:val="5D323FC2"/>
    <w:rsid w:val="5D347D3A"/>
    <w:rsid w:val="5D3A2E77"/>
    <w:rsid w:val="5D3A69D3"/>
    <w:rsid w:val="5D3C0667"/>
    <w:rsid w:val="5D3C5641"/>
    <w:rsid w:val="5D415FB3"/>
    <w:rsid w:val="5D417D61"/>
    <w:rsid w:val="5D430F4D"/>
    <w:rsid w:val="5D437F7D"/>
    <w:rsid w:val="5D443BB8"/>
    <w:rsid w:val="5D446827"/>
    <w:rsid w:val="5D4569AE"/>
    <w:rsid w:val="5D467A6D"/>
    <w:rsid w:val="5D483AC0"/>
    <w:rsid w:val="5D485594"/>
    <w:rsid w:val="5D494E68"/>
    <w:rsid w:val="5D4A5A36"/>
    <w:rsid w:val="5D4B0BE0"/>
    <w:rsid w:val="5D504448"/>
    <w:rsid w:val="5D536F43"/>
    <w:rsid w:val="5D562E76"/>
    <w:rsid w:val="5D572A52"/>
    <w:rsid w:val="5D5A0E23"/>
    <w:rsid w:val="5D5A52C7"/>
    <w:rsid w:val="5D5E4DB7"/>
    <w:rsid w:val="5D645228"/>
    <w:rsid w:val="5D6972B8"/>
    <w:rsid w:val="5D6B29D0"/>
    <w:rsid w:val="5D6D0B56"/>
    <w:rsid w:val="5D707998"/>
    <w:rsid w:val="5D720862"/>
    <w:rsid w:val="5D722610"/>
    <w:rsid w:val="5D7243BE"/>
    <w:rsid w:val="5D746389"/>
    <w:rsid w:val="5D755C5D"/>
    <w:rsid w:val="5D7A3273"/>
    <w:rsid w:val="5D7E7207"/>
    <w:rsid w:val="5D7F0889"/>
    <w:rsid w:val="5D7F1D13"/>
    <w:rsid w:val="5D812854"/>
    <w:rsid w:val="5D83037A"/>
    <w:rsid w:val="5D845EA0"/>
    <w:rsid w:val="5D870C6B"/>
    <w:rsid w:val="5D8D2FA6"/>
    <w:rsid w:val="5D8F563D"/>
    <w:rsid w:val="5D902A97"/>
    <w:rsid w:val="5D9205BD"/>
    <w:rsid w:val="5D922710"/>
    <w:rsid w:val="5D924A61"/>
    <w:rsid w:val="5D972077"/>
    <w:rsid w:val="5D9A56C3"/>
    <w:rsid w:val="5D9B1A85"/>
    <w:rsid w:val="5DA0717E"/>
    <w:rsid w:val="5DA35DEF"/>
    <w:rsid w:val="5DAB167E"/>
    <w:rsid w:val="5DAD189A"/>
    <w:rsid w:val="5DAD34DD"/>
    <w:rsid w:val="5DB449D7"/>
    <w:rsid w:val="5DB46DC9"/>
    <w:rsid w:val="5DB6074F"/>
    <w:rsid w:val="5DB70023"/>
    <w:rsid w:val="5DB744C7"/>
    <w:rsid w:val="5DBA7B13"/>
    <w:rsid w:val="5DBB3FB7"/>
    <w:rsid w:val="5DBC7D30"/>
    <w:rsid w:val="5DBE5856"/>
    <w:rsid w:val="5DC00580"/>
    <w:rsid w:val="5DC12BDF"/>
    <w:rsid w:val="5DCB3ACF"/>
    <w:rsid w:val="5DCB72CF"/>
    <w:rsid w:val="5DCF1811"/>
    <w:rsid w:val="5DCF35BF"/>
    <w:rsid w:val="5DD0497B"/>
    <w:rsid w:val="5DD11505"/>
    <w:rsid w:val="5DD15745"/>
    <w:rsid w:val="5DD76917"/>
    <w:rsid w:val="5DD77F48"/>
    <w:rsid w:val="5DDC5A0A"/>
    <w:rsid w:val="5DE30E18"/>
    <w:rsid w:val="5DE973E1"/>
    <w:rsid w:val="5DEA37ED"/>
    <w:rsid w:val="5DED613B"/>
    <w:rsid w:val="5DEF5A0F"/>
    <w:rsid w:val="5DF03535"/>
    <w:rsid w:val="5DF2681F"/>
    <w:rsid w:val="5DF66D9E"/>
    <w:rsid w:val="5DF748C4"/>
    <w:rsid w:val="5DFB5CE3"/>
    <w:rsid w:val="5DFC012C"/>
    <w:rsid w:val="5DFC2C8F"/>
    <w:rsid w:val="5E023994"/>
    <w:rsid w:val="5E0314BA"/>
    <w:rsid w:val="5E053D08"/>
    <w:rsid w:val="5E062D59"/>
    <w:rsid w:val="5E0771FD"/>
    <w:rsid w:val="5E0A5EAD"/>
    <w:rsid w:val="5E0F7E5F"/>
    <w:rsid w:val="5E115985"/>
    <w:rsid w:val="5E1436C8"/>
    <w:rsid w:val="5E1611EE"/>
    <w:rsid w:val="5E167440"/>
    <w:rsid w:val="5E190CDE"/>
    <w:rsid w:val="5E196F30"/>
    <w:rsid w:val="5E1C432A"/>
    <w:rsid w:val="5E232422"/>
    <w:rsid w:val="5E2467F1"/>
    <w:rsid w:val="5E2507EE"/>
    <w:rsid w:val="5E265463"/>
    <w:rsid w:val="5E2C27BF"/>
    <w:rsid w:val="5E2D4789"/>
    <w:rsid w:val="5E32585B"/>
    <w:rsid w:val="5E337FF2"/>
    <w:rsid w:val="5E363E56"/>
    <w:rsid w:val="5E367223"/>
    <w:rsid w:val="5E391380"/>
    <w:rsid w:val="5E3E24F3"/>
    <w:rsid w:val="5E40626B"/>
    <w:rsid w:val="5E437B09"/>
    <w:rsid w:val="5E443FAD"/>
    <w:rsid w:val="5E447901"/>
    <w:rsid w:val="5E465A3C"/>
    <w:rsid w:val="5E4915C3"/>
    <w:rsid w:val="5E4A0E97"/>
    <w:rsid w:val="5E4C2E61"/>
    <w:rsid w:val="5E4D0988"/>
    <w:rsid w:val="5E4E54AA"/>
    <w:rsid w:val="5E4F4700"/>
    <w:rsid w:val="5E510478"/>
    <w:rsid w:val="5E5314E7"/>
    <w:rsid w:val="5E565A8E"/>
    <w:rsid w:val="5E581806"/>
    <w:rsid w:val="5E59732C"/>
    <w:rsid w:val="5E5B11EF"/>
    <w:rsid w:val="5E5B30A5"/>
    <w:rsid w:val="5E5C5638"/>
    <w:rsid w:val="5E5E0920"/>
    <w:rsid w:val="5E60690D"/>
    <w:rsid w:val="5E631F59"/>
    <w:rsid w:val="5E652175"/>
    <w:rsid w:val="5E6837F3"/>
    <w:rsid w:val="5E6B7484"/>
    <w:rsid w:val="5E6F680C"/>
    <w:rsid w:val="5E736640"/>
    <w:rsid w:val="5E784853"/>
    <w:rsid w:val="5E79352B"/>
    <w:rsid w:val="5E7D150A"/>
    <w:rsid w:val="5E7D301B"/>
    <w:rsid w:val="5E7E0E34"/>
    <w:rsid w:val="5E7F3237"/>
    <w:rsid w:val="5E826883"/>
    <w:rsid w:val="5E8343A9"/>
    <w:rsid w:val="5E8425FB"/>
    <w:rsid w:val="5E850BA9"/>
    <w:rsid w:val="5E863619"/>
    <w:rsid w:val="5E8720EC"/>
    <w:rsid w:val="5E895E64"/>
    <w:rsid w:val="5E8E09B4"/>
    <w:rsid w:val="5E8E5228"/>
    <w:rsid w:val="5E8F1553"/>
    <w:rsid w:val="5E99597B"/>
    <w:rsid w:val="5E9A0F1F"/>
    <w:rsid w:val="5E9B16F3"/>
    <w:rsid w:val="5E9B51F7"/>
    <w:rsid w:val="5E9B7945"/>
    <w:rsid w:val="5E9C47B5"/>
    <w:rsid w:val="5EA04F5B"/>
    <w:rsid w:val="5EA06D09"/>
    <w:rsid w:val="5EA52572"/>
    <w:rsid w:val="5EAB68BC"/>
    <w:rsid w:val="5EAC56AE"/>
    <w:rsid w:val="5EAE0E43"/>
    <w:rsid w:val="5EAF519E"/>
    <w:rsid w:val="5EB6652D"/>
    <w:rsid w:val="5EB86749"/>
    <w:rsid w:val="5EBB452B"/>
    <w:rsid w:val="5EBE3E3E"/>
    <w:rsid w:val="5EC05B97"/>
    <w:rsid w:val="5EC155FD"/>
    <w:rsid w:val="5EC61DC6"/>
    <w:rsid w:val="5EC64B44"/>
    <w:rsid w:val="5ED27BE1"/>
    <w:rsid w:val="5ED30E8D"/>
    <w:rsid w:val="5ED52E57"/>
    <w:rsid w:val="5ED66BCF"/>
    <w:rsid w:val="5ED82947"/>
    <w:rsid w:val="5EE44E48"/>
    <w:rsid w:val="5EE66E12"/>
    <w:rsid w:val="5EE72B8A"/>
    <w:rsid w:val="5EE74938"/>
    <w:rsid w:val="5EEB02AD"/>
    <w:rsid w:val="5EEC1F4F"/>
    <w:rsid w:val="5EEC3359"/>
    <w:rsid w:val="5EF17565"/>
    <w:rsid w:val="5EF30819"/>
    <w:rsid w:val="5EF534F9"/>
    <w:rsid w:val="5EF70C64"/>
    <w:rsid w:val="5EFD23AE"/>
    <w:rsid w:val="5EFF3BB3"/>
    <w:rsid w:val="5F011BCF"/>
    <w:rsid w:val="5F011E9E"/>
    <w:rsid w:val="5F024A3E"/>
    <w:rsid w:val="5F026CC0"/>
    <w:rsid w:val="5F055641"/>
    <w:rsid w:val="5F061262"/>
    <w:rsid w:val="5F076D88"/>
    <w:rsid w:val="5F091471"/>
    <w:rsid w:val="5F0A3E4D"/>
    <w:rsid w:val="5F0E6B03"/>
    <w:rsid w:val="5F175824"/>
    <w:rsid w:val="5F1A2B43"/>
    <w:rsid w:val="5F1A6ABC"/>
    <w:rsid w:val="5F1B0316"/>
    <w:rsid w:val="5F1D4ED4"/>
    <w:rsid w:val="5F1F2324"/>
    <w:rsid w:val="5F217E4A"/>
    <w:rsid w:val="5F225970"/>
    <w:rsid w:val="5F225FBE"/>
    <w:rsid w:val="5F2A478A"/>
    <w:rsid w:val="5F2C6794"/>
    <w:rsid w:val="5F2D2C93"/>
    <w:rsid w:val="5F2F7659"/>
    <w:rsid w:val="5F310BD2"/>
    <w:rsid w:val="5F3A715E"/>
    <w:rsid w:val="5F3C1030"/>
    <w:rsid w:val="5F3C1128"/>
    <w:rsid w:val="5F3C5C05"/>
    <w:rsid w:val="5F3D27AA"/>
    <w:rsid w:val="5F3E6C4E"/>
    <w:rsid w:val="5F41229A"/>
    <w:rsid w:val="5F422A11"/>
    <w:rsid w:val="5F426012"/>
    <w:rsid w:val="5F446A72"/>
    <w:rsid w:val="5F463D55"/>
    <w:rsid w:val="5F465B03"/>
    <w:rsid w:val="5F473629"/>
    <w:rsid w:val="5F4973A1"/>
    <w:rsid w:val="5F4A0297"/>
    <w:rsid w:val="5F4B022D"/>
    <w:rsid w:val="5F4C1880"/>
    <w:rsid w:val="5F4F0E5B"/>
    <w:rsid w:val="5F4F45A2"/>
    <w:rsid w:val="5F50072F"/>
    <w:rsid w:val="5F531FCE"/>
    <w:rsid w:val="5F553F98"/>
    <w:rsid w:val="5F5737A7"/>
    <w:rsid w:val="5F685A79"/>
    <w:rsid w:val="5F700DD2"/>
    <w:rsid w:val="5F702B80"/>
    <w:rsid w:val="5F7268F8"/>
    <w:rsid w:val="5F775CBC"/>
    <w:rsid w:val="5F795ED8"/>
    <w:rsid w:val="5F7C1524"/>
    <w:rsid w:val="5F7E1979"/>
    <w:rsid w:val="5F84662B"/>
    <w:rsid w:val="5F8623A3"/>
    <w:rsid w:val="5F864151"/>
    <w:rsid w:val="5F877CC0"/>
    <w:rsid w:val="5F877E84"/>
    <w:rsid w:val="5F8959EF"/>
    <w:rsid w:val="5F8A078C"/>
    <w:rsid w:val="5F8E2D25"/>
    <w:rsid w:val="5F906D7E"/>
    <w:rsid w:val="5F926F9A"/>
    <w:rsid w:val="5F97010C"/>
    <w:rsid w:val="5F993E84"/>
    <w:rsid w:val="5F9B1464"/>
    <w:rsid w:val="5FA10F8B"/>
    <w:rsid w:val="5FA42829"/>
    <w:rsid w:val="5FA44660"/>
    <w:rsid w:val="5FA67D06"/>
    <w:rsid w:val="5FA8056B"/>
    <w:rsid w:val="5FAA42E4"/>
    <w:rsid w:val="5FAF07DE"/>
    <w:rsid w:val="5FB011CE"/>
    <w:rsid w:val="5FB07420"/>
    <w:rsid w:val="5FB24F46"/>
    <w:rsid w:val="5FB837BB"/>
    <w:rsid w:val="5FBC4017"/>
    <w:rsid w:val="5FBE42CB"/>
    <w:rsid w:val="5FCC24AC"/>
    <w:rsid w:val="5FCC43E0"/>
    <w:rsid w:val="5FCC6E13"/>
    <w:rsid w:val="5FCE5104"/>
    <w:rsid w:val="5FD0361E"/>
    <w:rsid w:val="5FD24E2C"/>
    <w:rsid w:val="5FD41360"/>
    <w:rsid w:val="5FD51606"/>
    <w:rsid w:val="5FD56E87"/>
    <w:rsid w:val="5FD8371D"/>
    <w:rsid w:val="5FDC0215"/>
    <w:rsid w:val="5FDC1FC3"/>
    <w:rsid w:val="5FDE3E83"/>
    <w:rsid w:val="5FDE3F8D"/>
    <w:rsid w:val="5FDF0776"/>
    <w:rsid w:val="5FE1582B"/>
    <w:rsid w:val="5FE175D9"/>
    <w:rsid w:val="5FE61094"/>
    <w:rsid w:val="5FE64BF0"/>
    <w:rsid w:val="5FE80968"/>
    <w:rsid w:val="5FEA0B84"/>
    <w:rsid w:val="5FEB1B9D"/>
    <w:rsid w:val="5FF3766A"/>
    <w:rsid w:val="5FF67529"/>
    <w:rsid w:val="5FF857FE"/>
    <w:rsid w:val="5FF92B75"/>
    <w:rsid w:val="5FFA21A4"/>
    <w:rsid w:val="5FFB4B3F"/>
    <w:rsid w:val="5FFB68ED"/>
    <w:rsid w:val="5FFC2665"/>
    <w:rsid w:val="5FFD3E14"/>
    <w:rsid w:val="5FFF5CB2"/>
    <w:rsid w:val="60011A2A"/>
    <w:rsid w:val="600B28A8"/>
    <w:rsid w:val="600C0AFA"/>
    <w:rsid w:val="600D2854"/>
    <w:rsid w:val="600D4872"/>
    <w:rsid w:val="6013374F"/>
    <w:rsid w:val="6014175D"/>
    <w:rsid w:val="601C4AB5"/>
    <w:rsid w:val="601F1CF2"/>
    <w:rsid w:val="602045A6"/>
    <w:rsid w:val="60234096"/>
    <w:rsid w:val="60243CAF"/>
    <w:rsid w:val="60244C16"/>
    <w:rsid w:val="602A0F80"/>
    <w:rsid w:val="602B19D6"/>
    <w:rsid w:val="602E1007"/>
    <w:rsid w:val="602F1937"/>
    <w:rsid w:val="603242D9"/>
    <w:rsid w:val="60327E35"/>
    <w:rsid w:val="603D7BC0"/>
    <w:rsid w:val="60432042"/>
    <w:rsid w:val="604364E6"/>
    <w:rsid w:val="604A0EE1"/>
    <w:rsid w:val="604D4C6F"/>
    <w:rsid w:val="604E1113"/>
    <w:rsid w:val="605204D7"/>
    <w:rsid w:val="60536729"/>
    <w:rsid w:val="60550D61"/>
    <w:rsid w:val="60566219"/>
    <w:rsid w:val="60567FC7"/>
    <w:rsid w:val="60591866"/>
    <w:rsid w:val="60597AB8"/>
    <w:rsid w:val="605D5A9B"/>
    <w:rsid w:val="6061537A"/>
    <w:rsid w:val="6065645C"/>
    <w:rsid w:val="60664487"/>
    <w:rsid w:val="60677735"/>
    <w:rsid w:val="60681AA9"/>
    <w:rsid w:val="6069670F"/>
    <w:rsid w:val="606C09EB"/>
    <w:rsid w:val="606D70BF"/>
    <w:rsid w:val="60716BAF"/>
    <w:rsid w:val="60727F3F"/>
    <w:rsid w:val="60747968"/>
    <w:rsid w:val="60787F3E"/>
    <w:rsid w:val="607B1928"/>
    <w:rsid w:val="607B7A2E"/>
    <w:rsid w:val="607C7302"/>
    <w:rsid w:val="607D013A"/>
    <w:rsid w:val="607D37A6"/>
    <w:rsid w:val="607E751E"/>
    <w:rsid w:val="60805044"/>
    <w:rsid w:val="60806E07"/>
    <w:rsid w:val="60830691"/>
    <w:rsid w:val="60863D99"/>
    <w:rsid w:val="60870181"/>
    <w:rsid w:val="60883EF9"/>
    <w:rsid w:val="608C1C3B"/>
    <w:rsid w:val="608C25AC"/>
    <w:rsid w:val="608C3590"/>
    <w:rsid w:val="608C5797"/>
    <w:rsid w:val="608D150F"/>
    <w:rsid w:val="608F1F1C"/>
    <w:rsid w:val="60924A0D"/>
    <w:rsid w:val="60964868"/>
    <w:rsid w:val="609863C2"/>
    <w:rsid w:val="6098672D"/>
    <w:rsid w:val="60991EE6"/>
    <w:rsid w:val="609D3481"/>
    <w:rsid w:val="609D79A4"/>
    <w:rsid w:val="60A41C39"/>
    <w:rsid w:val="60A440F0"/>
    <w:rsid w:val="60A70823"/>
    <w:rsid w:val="60A86E0A"/>
    <w:rsid w:val="60AF76D8"/>
    <w:rsid w:val="60BC4873"/>
    <w:rsid w:val="60C43183"/>
    <w:rsid w:val="60C459A3"/>
    <w:rsid w:val="60C60DD4"/>
    <w:rsid w:val="60C82547"/>
    <w:rsid w:val="60C864D5"/>
    <w:rsid w:val="60C90799"/>
    <w:rsid w:val="60C97425"/>
    <w:rsid w:val="60CA62C0"/>
    <w:rsid w:val="60CC405A"/>
    <w:rsid w:val="60CE7B5E"/>
    <w:rsid w:val="60D34166"/>
    <w:rsid w:val="60D40EEC"/>
    <w:rsid w:val="60D64C64"/>
    <w:rsid w:val="60DA174A"/>
    <w:rsid w:val="60DB671F"/>
    <w:rsid w:val="60E02E7E"/>
    <w:rsid w:val="60E12C1B"/>
    <w:rsid w:val="60E530F9"/>
    <w:rsid w:val="60E62582"/>
    <w:rsid w:val="60E6759D"/>
    <w:rsid w:val="60E7572C"/>
    <w:rsid w:val="60EF5D26"/>
    <w:rsid w:val="60EF73DB"/>
    <w:rsid w:val="60F76FF8"/>
    <w:rsid w:val="60F8107F"/>
    <w:rsid w:val="60FC2464"/>
    <w:rsid w:val="60FD0443"/>
    <w:rsid w:val="60FE664A"/>
    <w:rsid w:val="60FF065F"/>
    <w:rsid w:val="60FF2176"/>
    <w:rsid w:val="61021EFD"/>
    <w:rsid w:val="61045C75"/>
    <w:rsid w:val="61051FB1"/>
    <w:rsid w:val="610861F0"/>
    <w:rsid w:val="61094D17"/>
    <w:rsid w:val="610E79A4"/>
    <w:rsid w:val="6110101B"/>
    <w:rsid w:val="611020C4"/>
    <w:rsid w:val="6110461A"/>
    <w:rsid w:val="61120392"/>
    <w:rsid w:val="611256A8"/>
    <w:rsid w:val="61137C66"/>
    <w:rsid w:val="6115578D"/>
    <w:rsid w:val="611759A9"/>
    <w:rsid w:val="61181721"/>
    <w:rsid w:val="611834CF"/>
    <w:rsid w:val="611A2DA3"/>
    <w:rsid w:val="611B3604"/>
    <w:rsid w:val="611F620B"/>
    <w:rsid w:val="611F660B"/>
    <w:rsid w:val="61220B4C"/>
    <w:rsid w:val="61273712"/>
    <w:rsid w:val="612754C0"/>
    <w:rsid w:val="612C5D46"/>
    <w:rsid w:val="612E4AA0"/>
    <w:rsid w:val="612F7E5E"/>
    <w:rsid w:val="613025C6"/>
    <w:rsid w:val="6136087D"/>
    <w:rsid w:val="61386654"/>
    <w:rsid w:val="613876CD"/>
    <w:rsid w:val="613A6A65"/>
    <w:rsid w:val="613D1187"/>
    <w:rsid w:val="613D2F35"/>
    <w:rsid w:val="613F0A5C"/>
    <w:rsid w:val="6142054C"/>
    <w:rsid w:val="61433236"/>
    <w:rsid w:val="61460452"/>
    <w:rsid w:val="6147287B"/>
    <w:rsid w:val="61480ED7"/>
    <w:rsid w:val="614C3391"/>
    <w:rsid w:val="614C5323"/>
    <w:rsid w:val="614E4A2A"/>
    <w:rsid w:val="615269E1"/>
    <w:rsid w:val="615564D1"/>
    <w:rsid w:val="61681C4A"/>
    <w:rsid w:val="61695AD8"/>
    <w:rsid w:val="616B7AA3"/>
    <w:rsid w:val="616E1341"/>
    <w:rsid w:val="616E7593"/>
    <w:rsid w:val="61706E67"/>
    <w:rsid w:val="61730705"/>
    <w:rsid w:val="617A1A94"/>
    <w:rsid w:val="617A5F38"/>
    <w:rsid w:val="617B1A6A"/>
    <w:rsid w:val="617B3897"/>
    <w:rsid w:val="617C3A5E"/>
    <w:rsid w:val="617C580C"/>
    <w:rsid w:val="61811074"/>
    <w:rsid w:val="61826B9A"/>
    <w:rsid w:val="61834DEC"/>
    <w:rsid w:val="61842912"/>
    <w:rsid w:val="61852F70"/>
    <w:rsid w:val="61860438"/>
    <w:rsid w:val="618741B1"/>
    <w:rsid w:val="61891CD7"/>
    <w:rsid w:val="618D5C6B"/>
    <w:rsid w:val="618E5D0D"/>
    <w:rsid w:val="61930DA7"/>
    <w:rsid w:val="619314C1"/>
    <w:rsid w:val="61952D71"/>
    <w:rsid w:val="619A0388"/>
    <w:rsid w:val="619A50BB"/>
    <w:rsid w:val="619B2399"/>
    <w:rsid w:val="619F774C"/>
    <w:rsid w:val="61A22D98"/>
    <w:rsid w:val="61A70EDE"/>
    <w:rsid w:val="61A86601"/>
    <w:rsid w:val="61AC1296"/>
    <w:rsid w:val="61B06D0D"/>
    <w:rsid w:val="61B41449"/>
    <w:rsid w:val="61B825BC"/>
    <w:rsid w:val="61BA27D8"/>
    <w:rsid w:val="61BB6C21"/>
    <w:rsid w:val="61BC02FE"/>
    <w:rsid w:val="61C00B9C"/>
    <w:rsid w:val="61C84EF5"/>
    <w:rsid w:val="61CB22EF"/>
    <w:rsid w:val="61CB6793"/>
    <w:rsid w:val="61CF0031"/>
    <w:rsid w:val="61D45648"/>
    <w:rsid w:val="61D51FCF"/>
    <w:rsid w:val="61D814EE"/>
    <w:rsid w:val="61D908F6"/>
    <w:rsid w:val="61DA69D6"/>
    <w:rsid w:val="61DC274E"/>
    <w:rsid w:val="61DD2D98"/>
    <w:rsid w:val="61DE0274"/>
    <w:rsid w:val="61E00BAA"/>
    <w:rsid w:val="61E215D8"/>
    <w:rsid w:val="61E33F36"/>
    <w:rsid w:val="61E34544"/>
    <w:rsid w:val="61E8748B"/>
    <w:rsid w:val="61ED12FA"/>
    <w:rsid w:val="61F41846"/>
    <w:rsid w:val="61F45CEA"/>
    <w:rsid w:val="61F555BE"/>
    <w:rsid w:val="61F74B04"/>
    <w:rsid w:val="61FA3F80"/>
    <w:rsid w:val="61FE0B3E"/>
    <w:rsid w:val="62015D11"/>
    <w:rsid w:val="62035F2D"/>
    <w:rsid w:val="62047580"/>
    <w:rsid w:val="620677CB"/>
    <w:rsid w:val="620C5D12"/>
    <w:rsid w:val="620F3203"/>
    <w:rsid w:val="6211064A"/>
    <w:rsid w:val="6213213F"/>
    <w:rsid w:val="62145A44"/>
    <w:rsid w:val="621912AD"/>
    <w:rsid w:val="621974FF"/>
    <w:rsid w:val="621A6DD3"/>
    <w:rsid w:val="621B3775"/>
    <w:rsid w:val="621C2B4B"/>
    <w:rsid w:val="622163B3"/>
    <w:rsid w:val="622444B3"/>
    <w:rsid w:val="62255EA3"/>
    <w:rsid w:val="62284BA4"/>
    <w:rsid w:val="622A170C"/>
    <w:rsid w:val="622F0AD0"/>
    <w:rsid w:val="62314848"/>
    <w:rsid w:val="62326812"/>
    <w:rsid w:val="62364782"/>
    <w:rsid w:val="623B56C7"/>
    <w:rsid w:val="623E6F65"/>
    <w:rsid w:val="623F0400"/>
    <w:rsid w:val="623F10A0"/>
    <w:rsid w:val="62400DDA"/>
    <w:rsid w:val="62400F9F"/>
    <w:rsid w:val="6245446B"/>
    <w:rsid w:val="624768C5"/>
    <w:rsid w:val="62476ECC"/>
    <w:rsid w:val="62481C3B"/>
    <w:rsid w:val="624A76B8"/>
    <w:rsid w:val="624C1682"/>
    <w:rsid w:val="624D0F56"/>
    <w:rsid w:val="624D7034"/>
    <w:rsid w:val="624F5ACB"/>
    <w:rsid w:val="62500A46"/>
    <w:rsid w:val="62514EEA"/>
    <w:rsid w:val="6252656D"/>
    <w:rsid w:val="62593D9F"/>
    <w:rsid w:val="625C5618"/>
    <w:rsid w:val="626207F5"/>
    <w:rsid w:val="62634C1E"/>
    <w:rsid w:val="62676E29"/>
    <w:rsid w:val="62683FE2"/>
    <w:rsid w:val="626C7049"/>
    <w:rsid w:val="6270558C"/>
    <w:rsid w:val="6271733B"/>
    <w:rsid w:val="62783014"/>
    <w:rsid w:val="62792BC7"/>
    <w:rsid w:val="62844EB5"/>
    <w:rsid w:val="6287090C"/>
    <w:rsid w:val="628726BA"/>
    <w:rsid w:val="62883E4D"/>
    <w:rsid w:val="62894684"/>
    <w:rsid w:val="628A21AA"/>
    <w:rsid w:val="628C07CD"/>
    <w:rsid w:val="628C1A7E"/>
    <w:rsid w:val="628C5F22"/>
    <w:rsid w:val="628D3A49"/>
    <w:rsid w:val="628E0868"/>
    <w:rsid w:val="628E1C9B"/>
    <w:rsid w:val="628F5B29"/>
    <w:rsid w:val="62905878"/>
    <w:rsid w:val="629372B1"/>
    <w:rsid w:val="62944DD7"/>
    <w:rsid w:val="62976475"/>
    <w:rsid w:val="6299419B"/>
    <w:rsid w:val="629A14FB"/>
    <w:rsid w:val="629B43B7"/>
    <w:rsid w:val="629C4545"/>
    <w:rsid w:val="62A23AE5"/>
    <w:rsid w:val="62A25746"/>
    <w:rsid w:val="62A51173"/>
    <w:rsid w:val="62A52B40"/>
    <w:rsid w:val="62AA63A9"/>
    <w:rsid w:val="62AF39BF"/>
    <w:rsid w:val="62B17737"/>
    <w:rsid w:val="62B31701"/>
    <w:rsid w:val="62B463B4"/>
    <w:rsid w:val="62B62F9F"/>
    <w:rsid w:val="62B80AC5"/>
    <w:rsid w:val="62BB360C"/>
    <w:rsid w:val="62BB6808"/>
    <w:rsid w:val="62BD2580"/>
    <w:rsid w:val="62BD432E"/>
    <w:rsid w:val="62BF2A4D"/>
    <w:rsid w:val="62C531E2"/>
    <w:rsid w:val="62C71406"/>
    <w:rsid w:val="62C76F5B"/>
    <w:rsid w:val="62CA6A4B"/>
    <w:rsid w:val="62CF4061"/>
    <w:rsid w:val="62CF5E0F"/>
    <w:rsid w:val="62D02854"/>
    <w:rsid w:val="62D376AD"/>
    <w:rsid w:val="62D6719E"/>
    <w:rsid w:val="62D82F16"/>
    <w:rsid w:val="62DA00CF"/>
    <w:rsid w:val="62DB2AED"/>
    <w:rsid w:val="62DD59F1"/>
    <w:rsid w:val="62E21FE6"/>
    <w:rsid w:val="62E278F0"/>
    <w:rsid w:val="62E53885"/>
    <w:rsid w:val="62E844C4"/>
    <w:rsid w:val="62E93375"/>
    <w:rsid w:val="62EB733F"/>
    <w:rsid w:val="62ED5A7A"/>
    <w:rsid w:val="62EF025F"/>
    <w:rsid w:val="62EF6674"/>
    <w:rsid w:val="62F25ACE"/>
    <w:rsid w:val="62F53AC8"/>
    <w:rsid w:val="62F615EE"/>
    <w:rsid w:val="62F835B8"/>
    <w:rsid w:val="62F94AE8"/>
    <w:rsid w:val="62FA20CA"/>
    <w:rsid w:val="62FB7554"/>
    <w:rsid w:val="62FC79CB"/>
    <w:rsid w:val="62FD0BCE"/>
    <w:rsid w:val="62FE04A2"/>
    <w:rsid w:val="630A5099"/>
    <w:rsid w:val="630C2BBF"/>
    <w:rsid w:val="630E6937"/>
    <w:rsid w:val="63133F4E"/>
    <w:rsid w:val="6314164B"/>
    <w:rsid w:val="63155F18"/>
    <w:rsid w:val="63172FF0"/>
    <w:rsid w:val="6319386D"/>
    <w:rsid w:val="631A357C"/>
    <w:rsid w:val="631A74D4"/>
    <w:rsid w:val="631D301E"/>
    <w:rsid w:val="631F6D97"/>
    <w:rsid w:val="63212B0F"/>
    <w:rsid w:val="63241F3B"/>
    <w:rsid w:val="63247F09"/>
    <w:rsid w:val="63253C81"/>
    <w:rsid w:val="63293771"/>
    <w:rsid w:val="632B5B70"/>
    <w:rsid w:val="63333EB7"/>
    <w:rsid w:val="63343EC4"/>
    <w:rsid w:val="633640E0"/>
    <w:rsid w:val="63367C3C"/>
    <w:rsid w:val="63381C06"/>
    <w:rsid w:val="633914DA"/>
    <w:rsid w:val="633A47AB"/>
    <w:rsid w:val="633A772C"/>
    <w:rsid w:val="633F11E7"/>
    <w:rsid w:val="633F4D43"/>
    <w:rsid w:val="63416D0D"/>
    <w:rsid w:val="63422A85"/>
    <w:rsid w:val="634619AE"/>
    <w:rsid w:val="63462575"/>
    <w:rsid w:val="63464323"/>
    <w:rsid w:val="6347009B"/>
    <w:rsid w:val="634A7272"/>
    <w:rsid w:val="634F24A8"/>
    <w:rsid w:val="634F2A9F"/>
    <w:rsid w:val="6355104B"/>
    <w:rsid w:val="63556314"/>
    <w:rsid w:val="6356208C"/>
    <w:rsid w:val="63585E05"/>
    <w:rsid w:val="635E0580"/>
    <w:rsid w:val="635E3171"/>
    <w:rsid w:val="635F3637"/>
    <w:rsid w:val="6360509F"/>
    <w:rsid w:val="63624ED5"/>
    <w:rsid w:val="636263E4"/>
    <w:rsid w:val="63626C83"/>
    <w:rsid w:val="636522D0"/>
    <w:rsid w:val="6367429A"/>
    <w:rsid w:val="63685DA4"/>
    <w:rsid w:val="63691DC0"/>
    <w:rsid w:val="636A767F"/>
    <w:rsid w:val="636C18B0"/>
    <w:rsid w:val="636C5151"/>
    <w:rsid w:val="636F2CBC"/>
    <w:rsid w:val="636F3027"/>
    <w:rsid w:val="636F7DBB"/>
    <w:rsid w:val="637013A0"/>
    <w:rsid w:val="637649C5"/>
    <w:rsid w:val="637A221F"/>
    <w:rsid w:val="637C31BE"/>
    <w:rsid w:val="637D6485"/>
    <w:rsid w:val="637E5499"/>
    <w:rsid w:val="637F3391"/>
    <w:rsid w:val="63807109"/>
    <w:rsid w:val="63844E4C"/>
    <w:rsid w:val="63870498"/>
    <w:rsid w:val="63892462"/>
    <w:rsid w:val="638D1F52"/>
    <w:rsid w:val="638D663E"/>
    <w:rsid w:val="638D7235"/>
    <w:rsid w:val="63901A42"/>
    <w:rsid w:val="639037F0"/>
    <w:rsid w:val="6390759E"/>
    <w:rsid w:val="6393508F"/>
    <w:rsid w:val="6394356A"/>
    <w:rsid w:val="63972DD1"/>
    <w:rsid w:val="639C03E7"/>
    <w:rsid w:val="639C058F"/>
    <w:rsid w:val="639D0223"/>
    <w:rsid w:val="639D25F9"/>
    <w:rsid w:val="639D5F0D"/>
    <w:rsid w:val="639E22E8"/>
    <w:rsid w:val="639E415F"/>
    <w:rsid w:val="63A177AC"/>
    <w:rsid w:val="63A23C9C"/>
    <w:rsid w:val="63A252D2"/>
    <w:rsid w:val="63A52A11"/>
    <w:rsid w:val="63AE1EC8"/>
    <w:rsid w:val="63B27484"/>
    <w:rsid w:val="63B70D7D"/>
    <w:rsid w:val="63B75221"/>
    <w:rsid w:val="63B82D47"/>
    <w:rsid w:val="63B84AF5"/>
    <w:rsid w:val="63BA086D"/>
    <w:rsid w:val="63BA4B07"/>
    <w:rsid w:val="63BA4E72"/>
    <w:rsid w:val="63BA4F4D"/>
    <w:rsid w:val="63BF40D6"/>
    <w:rsid w:val="63C139AA"/>
    <w:rsid w:val="63C4349A"/>
    <w:rsid w:val="63C52679"/>
    <w:rsid w:val="63C60C88"/>
    <w:rsid w:val="63C61B2C"/>
    <w:rsid w:val="63C9199B"/>
    <w:rsid w:val="63CB4828"/>
    <w:rsid w:val="63CE4319"/>
    <w:rsid w:val="63D36A76"/>
    <w:rsid w:val="63D40BE9"/>
    <w:rsid w:val="63D52D8F"/>
    <w:rsid w:val="63D53F5A"/>
    <w:rsid w:val="63D61C77"/>
    <w:rsid w:val="63D77671"/>
    <w:rsid w:val="63D86F45"/>
    <w:rsid w:val="63DB4EF5"/>
    <w:rsid w:val="63DC38F4"/>
    <w:rsid w:val="63E1404C"/>
    <w:rsid w:val="63E36016"/>
    <w:rsid w:val="63ED204F"/>
    <w:rsid w:val="63F0603D"/>
    <w:rsid w:val="63F21DB5"/>
    <w:rsid w:val="63F313D6"/>
    <w:rsid w:val="63F57AF7"/>
    <w:rsid w:val="63F91396"/>
    <w:rsid w:val="63FA510E"/>
    <w:rsid w:val="63FC70D8"/>
    <w:rsid w:val="63FD0187"/>
    <w:rsid w:val="63FF44D2"/>
    <w:rsid w:val="64012DCD"/>
    <w:rsid w:val="640146EE"/>
    <w:rsid w:val="64065861"/>
    <w:rsid w:val="640C3E97"/>
    <w:rsid w:val="640F5CFD"/>
    <w:rsid w:val="640F6E0B"/>
    <w:rsid w:val="64102431"/>
    <w:rsid w:val="6410335F"/>
    <w:rsid w:val="6411743B"/>
    <w:rsid w:val="6416019A"/>
    <w:rsid w:val="64195594"/>
    <w:rsid w:val="641A2E54"/>
    <w:rsid w:val="641A755E"/>
    <w:rsid w:val="641A7BBF"/>
    <w:rsid w:val="641E0DFC"/>
    <w:rsid w:val="641F52B0"/>
    <w:rsid w:val="642108EC"/>
    <w:rsid w:val="642C1B08"/>
    <w:rsid w:val="642D54E3"/>
    <w:rsid w:val="642D7CCA"/>
    <w:rsid w:val="642F51F5"/>
    <w:rsid w:val="64370110"/>
    <w:rsid w:val="64373C6C"/>
    <w:rsid w:val="643C1EFF"/>
    <w:rsid w:val="643C74D4"/>
    <w:rsid w:val="64405216"/>
    <w:rsid w:val="644206E0"/>
    <w:rsid w:val="64444295"/>
    <w:rsid w:val="6445282D"/>
    <w:rsid w:val="644722BC"/>
    <w:rsid w:val="644A1BF1"/>
    <w:rsid w:val="644A2133"/>
    <w:rsid w:val="644A563F"/>
    <w:rsid w:val="644D348F"/>
    <w:rsid w:val="644F0FB6"/>
    <w:rsid w:val="64504D2E"/>
    <w:rsid w:val="64505BE2"/>
    <w:rsid w:val="64533CB0"/>
    <w:rsid w:val="64540CC2"/>
    <w:rsid w:val="6455525E"/>
    <w:rsid w:val="64572560"/>
    <w:rsid w:val="64587E1C"/>
    <w:rsid w:val="64591E34"/>
    <w:rsid w:val="645A392E"/>
    <w:rsid w:val="645A795A"/>
    <w:rsid w:val="645B1B74"/>
    <w:rsid w:val="645C0E1F"/>
    <w:rsid w:val="645E744B"/>
    <w:rsid w:val="64600C30"/>
    <w:rsid w:val="64634A61"/>
    <w:rsid w:val="64655FE5"/>
    <w:rsid w:val="646802C9"/>
    <w:rsid w:val="646D4935"/>
    <w:rsid w:val="64726987"/>
    <w:rsid w:val="647C5B23"/>
    <w:rsid w:val="64833355"/>
    <w:rsid w:val="64864E63"/>
    <w:rsid w:val="648A0240"/>
    <w:rsid w:val="648A46E4"/>
    <w:rsid w:val="648C045C"/>
    <w:rsid w:val="648C220A"/>
    <w:rsid w:val="648D64BC"/>
    <w:rsid w:val="648F5A75"/>
    <w:rsid w:val="64915A72"/>
    <w:rsid w:val="64917820"/>
    <w:rsid w:val="64957EB7"/>
    <w:rsid w:val="64972DEF"/>
    <w:rsid w:val="64986E00"/>
    <w:rsid w:val="64A5151D"/>
    <w:rsid w:val="64A5243A"/>
    <w:rsid w:val="64A72CA8"/>
    <w:rsid w:val="64AD3F2E"/>
    <w:rsid w:val="64B17EC2"/>
    <w:rsid w:val="64B259E8"/>
    <w:rsid w:val="64B539FA"/>
    <w:rsid w:val="64B74DAD"/>
    <w:rsid w:val="64B82FFF"/>
    <w:rsid w:val="64B8471E"/>
    <w:rsid w:val="64B928D3"/>
    <w:rsid w:val="64BB2F53"/>
    <w:rsid w:val="64BC23C3"/>
    <w:rsid w:val="64C056AD"/>
    <w:rsid w:val="64C33752"/>
    <w:rsid w:val="64C5396E"/>
    <w:rsid w:val="64C574CA"/>
    <w:rsid w:val="64C86FBA"/>
    <w:rsid w:val="64C96168"/>
    <w:rsid w:val="64CC6AAA"/>
    <w:rsid w:val="64CD1E40"/>
    <w:rsid w:val="64CD2516"/>
    <w:rsid w:val="64CE2822"/>
    <w:rsid w:val="64CF0A13"/>
    <w:rsid w:val="64D140C0"/>
    <w:rsid w:val="64D14795"/>
    <w:rsid w:val="64D2713C"/>
    <w:rsid w:val="64D43BB1"/>
    <w:rsid w:val="64D4595F"/>
    <w:rsid w:val="64D67929"/>
    <w:rsid w:val="64D94D23"/>
    <w:rsid w:val="64E33DF4"/>
    <w:rsid w:val="64E5191A"/>
    <w:rsid w:val="64E57B6C"/>
    <w:rsid w:val="64E77440"/>
    <w:rsid w:val="64E831B8"/>
    <w:rsid w:val="64E9783C"/>
    <w:rsid w:val="64EA33D4"/>
    <w:rsid w:val="64EA639C"/>
    <w:rsid w:val="64EA6406"/>
    <w:rsid w:val="64EA6F30"/>
    <w:rsid w:val="64EC4A56"/>
    <w:rsid w:val="64EF4547"/>
    <w:rsid w:val="64F102BF"/>
    <w:rsid w:val="64F25DE5"/>
    <w:rsid w:val="64F531DE"/>
    <w:rsid w:val="64FD31BC"/>
    <w:rsid w:val="64FF0C2E"/>
    <w:rsid w:val="650049A6"/>
    <w:rsid w:val="65017E44"/>
    <w:rsid w:val="6502545F"/>
    <w:rsid w:val="650647F6"/>
    <w:rsid w:val="65075270"/>
    <w:rsid w:val="65075D34"/>
    <w:rsid w:val="650A57A5"/>
    <w:rsid w:val="650B2E1D"/>
    <w:rsid w:val="650C6EA7"/>
    <w:rsid w:val="65114199"/>
    <w:rsid w:val="6514007B"/>
    <w:rsid w:val="6518584B"/>
    <w:rsid w:val="65192256"/>
    <w:rsid w:val="651B1E3D"/>
    <w:rsid w:val="651C18B4"/>
    <w:rsid w:val="651D05C2"/>
    <w:rsid w:val="652201F3"/>
    <w:rsid w:val="65266FC3"/>
    <w:rsid w:val="65294C3D"/>
    <w:rsid w:val="65295CAB"/>
    <w:rsid w:val="652C12F7"/>
    <w:rsid w:val="652F1043"/>
    <w:rsid w:val="6532453E"/>
    <w:rsid w:val="65347682"/>
    <w:rsid w:val="6535464F"/>
    <w:rsid w:val="65373578"/>
    <w:rsid w:val="653F727C"/>
    <w:rsid w:val="653F72E6"/>
    <w:rsid w:val="65414A5B"/>
    <w:rsid w:val="654900FB"/>
    <w:rsid w:val="654A5C21"/>
    <w:rsid w:val="6554084E"/>
    <w:rsid w:val="65540C76"/>
    <w:rsid w:val="65546448"/>
    <w:rsid w:val="6558033E"/>
    <w:rsid w:val="655A40B6"/>
    <w:rsid w:val="655B7E2E"/>
    <w:rsid w:val="655D200F"/>
    <w:rsid w:val="655F0227"/>
    <w:rsid w:val="655F791E"/>
    <w:rsid w:val="65620F1B"/>
    <w:rsid w:val="65622F6B"/>
    <w:rsid w:val="656C0C5F"/>
    <w:rsid w:val="657219D1"/>
    <w:rsid w:val="657327FF"/>
    <w:rsid w:val="65744A4C"/>
    <w:rsid w:val="65752C9E"/>
    <w:rsid w:val="657607C4"/>
    <w:rsid w:val="65776BE1"/>
    <w:rsid w:val="657F64C5"/>
    <w:rsid w:val="65847385"/>
    <w:rsid w:val="65850CB8"/>
    <w:rsid w:val="65850E7C"/>
    <w:rsid w:val="6586068D"/>
    <w:rsid w:val="658C7FE7"/>
    <w:rsid w:val="658E3D60"/>
    <w:rsid w:val="6592099E"/>
    <w:rsid w:val="65953340"/>
    <w:rsid w:val="659547A6"/>
    <w:rsid w:val="659550EE"/>
    <w:rsid w:val="65960E66"/>
    <w:rsid w:val="65992351"/>
    <w:rsid w:val="659A1239"/>
    <w:rsid w:val="659B022A"/>
    <w:rsid w:val="659B647C"/>
    <w:rsid w:val="65A05841"/>
    <w:rsid w:val="65A215B9"/>
    <w:rsid w:val="65A32299"/>
    <w:rsid w:val="65A473A6"/>
    <w:rsid w:val="65A762E6"/>
    <w:rsid w:val="65AE61B0"/>
    <w:rsid w:val="65AE7F5E"/>
    <w:rsid w:val="65B25CA0"/>
    <w:rsid w:val="65B37C6A"/>
    <w:rsid w:val="65B75E88"/>
    <w:rsid w:val="65C07C91"/>
    <w:rsid w:val="65C32A4A"/>
    <w:rsid w:val="65C547B8"/>
    <w:rsid w:val="65C60DEB"/>
    <w:rsid w:val="65D30CBF"/>
    <w:rsid w:val="65D425B6"/>
    <w:rsid w:val="65DA0D53"/>
    <w:rsid w:val="65DC4ACB"/>
    <w:rsid w:val="65DD0843"/>
    <w:rsid w:val="65DF45BB"/>
    <w:rsid w:val="65E0741B"/>
    <w:rsid w:val="65E25E59"/>
    <w:rsid w:val="65EA1853"/>
    <w:rsid w:val="65EB7404"/>
    <w:rsid w:val="65ED1915"/>
    <w:rsid w:val="65F30067"/>
    <w:rsid w:val="65F8567D"/>
    <w:rsid w:val="65FD149A"/>
    <w:rsid w:val="65FD3DC7"/>
    <w:rsid w:val="65FD6E01"/>
    <w:rsid w:val="66080D5A"/>
    <w:rsid w:val="66091638"/>
    <w:rsid w:val="6609788A"/>
    <w:rsid w:val="660C5ECE"/>
    <w:rsid w:val="660E4EA0"/>
    <w:rsid w:val="66100C18"/>
    <w:rsid w:val="66170870"/>
    <w:rsid w:val="661974A2"/>
    <w:rsid w:val="661A3351"/>
    <w:rsid w:val="661F70AE"/>
    <w:rsid w:val="66216A71"/>
    <w:rsid w:val="66240220"/>
    <w:rsid w:val="662B1DBC"/>
    <w:rsid w:val="662F16C8"/>
    <w:rsid w:val="662F5543"/>
    <w:rsid w:val="662F72F1"/>
    <w:rsid w:val="663377B9"/>
    <w:rsid w:val="66342969"/>
    <w:rsid w:val="66344907"/>
    <w:rsid w:val="663721A5"/>
    <w:rsid w:val="66383CCB"/>
    <w:rsid w:val="663A7A43"/>
    <w:rsid w:val="663D12E2"/>
    <w:rsid w:val="663E5786"/>
    <w:rsid w:val="6646288C"/>
    <w:rsid w:val="66475F7E"/>
    <w:rsid w:val="664A237C"/>
    <w:rsid w:val="664B2406"/>
    <w:rsid w:val="664D7777"/>
    <w:rsid w:val="664F0AE5"/>
    <w:rsid w:val="66521231"/>
    <w:rsid w:val="66522FDF"/>
    <w:rsid w:val="66576847"/>
    <w:rsid w:val="66577B64"/>
    <w:rsid w:val="665A1E94"/>
    <w:rsid w:val="665E3732"/>
    <w:rsid w:val="6660394E"/>
    <w:rsid w:val="666428E1"/>
    <w:rsid w:val="66644AC0"/>
    <w:rsid w:val="66664CDC"/>
    <w:rsid w:val="66676D2D"/>
    <w:rsid w:val="666E2460"/>
    <w:rsid w:val="6672542F"/>
    <w:rsid w:val="66725A80"/>
    <w:rsid w:val="667271DD"/>
    <w:rsid w:val="66756CCD"/>
    <w:rsid w:val="66772A46"/>
    <w:rsid w:val="667747F4"/>
    <w:rsid w:val="667C1E0A"/>
    <w:rsid w:val="667C38A7"/>
    <w:rsid w:val="667C7CCE"/>
    <w:rsid w:val="667E3DD4"/>
    <w:rsid w:val="667F18FA"/>
    <w:rsid w:val="6680077E"/>
    <w:rsid w:val="6683654E"/>
    <w:rsid w:val="668A0DFC"/>
    <w:rsid w:val="668A2779"/>
    <w:rsid w:val="668D2269"/>
    <w:rsid w:val="668F4233"/>
    <w:rsid w:val="668F4651"/>
    <w:rsid w:val="66911D59"/>
    <w:rsid w:val="6695111E"/>
    <w:rsid w:val="66961DF9"/>
    <w:rsid w:val="66976C44"/>
    <w:rsid w:val="66987E4A"/>
    <w:rsid w:val="669B6734"/>
    <w:rsid w:val="669C06FE"/>
    <w:rsid w:val="669D7007"/>
    <w:rsid w:val="669E4B41"/>
    <w:rsid w:val="66A00B1A"/>
    <w:rsid w:val="66A01F9C"/>
    <w:rsid w:val="66A03087"/>
    <w:rsid w:val="66A56C29"/>
    <w:rsid w:val="66A7157D"/>
    <w:rsid w:val="66AA2E1B"/>
    <w:rsid w:val="66AC731E"/>
    <w:rsid w:val="66AD6051"/>
    <w:rsid w:val="66AD6467"/>
    <w:rsid w:val="66AE597A"/>
    <w:rsid w:val="66AF21DF"/>
    <w:rsid w:val="66B141AA"/>
    <w:rsid w:val="66B15F58"/>
    <w:rsid w:val="66B5531C"/>
    <w:rsid w:val="66B5671E"/>
    <w:rsid w:val="66B97C70"/>
    <w:rsid w:val="66BB0B84"/>
    <w:rsid w:val="66BC2B4E"/>
    <w:rsid w:val="66BE0DA3"/>
    <w:rsid w:val="66C20165"/>
    <w:rsid w:val="66C57C55"/>
    <w:rsid w:val="66C8098F"/>
    <w:rsid w:val="66CA0DC7"/>
    <w:rsid w:val="66CA0E88"/>
    <w:rsid w:val="66CB4B3F"/>
    <w:rsid w:val="66CB74B4"/>
    <w:rsid w:val="66CF63DE"/>
    <w:rsid w:val="66D02156"/>
    <w:rsid w:val="66D23EF1"/>
    <w:rsid w:val="66D24120"/>
    <w:rsid w:val="66DB53E1"/>
    <w:rsid w:val="66DC0AFB"/>
    <w:rsid w:val="66DD63E5"/>
    <w:rsid w:val="66E14363"/>
    <w:rsid w:val="66E16111"/>
    <w:rsid w:val="66E4179C"/>
    <w:rsid w:val="66E8698C"/>
    <w:rsid w:val="66E9074E"/>
    <w:rsid w:val="66E942CF"/>
    <w:rsid w:val="66EA3218"/>
    <w:rsid w:val="66EA76BB"/>
    <w:rsid w:val="66EC3434"/>
    <w:rsid w:val="66EC51E2"/>
    <w:rsid w:val="66ED1981"/>
    <w:rsid w:val="66EF082E"/>
    <w:rsid w:val="66F145A6"/>
    <w:rsid w:val="66F2031E"/>
    <w:rsid w:val="66F347C2"/>
    <w:rsid w:val="66F525EC"/>
    <w:rsid w:val="66F6167D"/>
    <w:rsid w:val="66F61D60"/>
    <w:rsid w:val="66F9345B"/>
    <w:rsid w:val="66FB3677"/>
    <w:rsid w:val="66FB5425"/>
    <w:rsid w:val="66FF570B"/>
    <w:rsid w:val="67000C8D"/>
    <w:rsid w:val="670047E9"/>
    <w:rsid w:val="670354A0"/>
    <w:rsid w:val="670446F3"/>
    <w:rsid w:val="67044983"/>
    <w:rsid w:val="670544F5"/>
    <w:rsid w:val="6707302D"/>
    <w:rsid w:val="67087B42"/>
    <w:rsid w:val="670D6F06"/>
    <w:rsid w:val="670E32C8"/>
    <w:rsid w:val="670F0ED0"/>
    <w:rsid w:val="6711452F"/>
    <w:rsid w:val="67126C47"/>
    <w:rsid w:val="671604B0"/>
    <w:rsid w:val="67177D85"/>
    <w:rsid w:val="67191D4F"/>
    <w:rsid w:val="671B5AC7"/>
    <w:rsid w:val="671B7479"/>
    <w:rsid w:val="671F124A"/>
    <w:rsid w:val="671F6E1E"/>
    <w:rsid w:val="672002AE"/>
    <w:rsid w:val="67206C39"/>
    <w:rsid w:val="67210FD7"/>
    <w:rsid w:val="672901E4"/>
    <w:rsid w:val="67372D6D"/>
    <w:rsid w:val="67395F4D"/>
    <w:rsid w:val="673D0F17"/>
    <w:rsid w:val="673E5C26"/>
    <w:rsid w:val="674045ED"/>
    <w:rsid w:val="674212A6"/>
    <w:rsid w:val="67476E60"/>
    <w:rsid w:val="674A015A"/>
    <w:rsid w:val="674F0294"/>
    <w:rsid w:val="675007C3"/>
    <w:rsid w:val="67515045"/>
    <w:rsid w:val="6752056C"/>
    <w:rsid w:val="675363D7"/>
    <w:rsid w:val="6753700F"/>
    <w:rsid w:val="67564D51"/>
    <w:rsid w:val="675B26BF"/>
    <w:rsid w:val="676254A4"/>
    <w:rsid w:val="67677475"/>
    <w:rsid w:val="67684380"/>
    <w:rsid w:val="676E072C"/>
    <w:rsid w:val="676E7D45"/>
    <w:rsid w:val="67705E13"/>
    <w:rsid w:val="67755047"/>
    <w:rsid w:val="677671A1"/>
    <w:rsid w:val="67780823"/>
    <w:rsid w:val="677A27ED"/>
    <w:rsid w:val="677A33C6"/>
    <w:rsid w:val="677B0314"/>
    <w:rsid w:val="677E1BB2"/>
    <w:rsid w:val="677F4F2C"/>
    <w:rsid w:val="6784366C"/>
    <w:rsid w:val="67866582"/>
    <w:rsid w:val="678673E4"/>
    <w:rsid w:val="6787315C"/>
    <w:rsid w:val="67874F0A"/>
    <w:rsid w:val="67894337"/>
    <w:rsid w:val="678D017D"/>
    <w:rsid w:val="678E44EB"/>
    <w:rsid w:val="678F3DBF"/>
    <w:rsid w:val="67900263"/>
    <w:rsid w:val="67902011"/>
    <w:rsid w:val="679561C0"/>
    <w:rsid w:val="679636D1"/>
    <w:rsid w:val="67972C90"/>
    <w:rsid w:val="67982C74"/>
    <w:rsid w:val="679A4C3E"/>
    <w:rsid w:val="67A36984"/>
    <w:rsid w:val="67A41618"/>
    <w:rsid w:val="67A50C5E"/>
    <w:rsid w:val="67A55102"/>
    <w:rsid w:val="67A61834"/>
    <w:rsid w:val="67A96C2F"/>
    <w:rsid w:val="67AA29A7"/>
    <w:rsid w:val="67AB0BF9"/>
    <w:rsid w:val="67AF051E"/>
    <w:rsid w:val="67AF7FBD"/>
    <w:rsid w:val="67B101D9"/>
    <w:rsid w:val="67B2192C"/>
    <w:rsid w:val="67B47451"/>
    <w:rsid w:val="67B83316"/>
    <w:rsid w:val="67BA0E3C"/>
    <w:rsid w:val="67BB4BB4"/>
    <w:rsid w:val="67BC1058"/>
    <w:rsid w:val="67C1041C"/>
    <w:rsid w:val="67C12AFD"/>
    <w:rsid w:val="67C131D4"/>
    <w:rsid w:val="67C138E6"/>
    <w:rsid w:val="67C65A33"/>
    <w:rsid w:val="67C9107F"/>
    <w:rsid w:val="67CB3049"/>
    <w:rsid w:val="67CC6DC1"/>
    <w:rsid w:val="67CF5ED2"/>
    <w:rsid w:val="67D0065F"/>
    <w:rsid w:val="67D22629"/>
    <w:rsid w:val="67D31EFE"/>
    <w:rsid w:val="67D3429B"/>
    <w:rsid w:val="67D43165"/>
    <w:rsid w:val="67D77C40"/>
    <w:rsid w:val="67E0431B"/>
    <w:rsid w:val="67E1461B"/>
    <w:rsid w:val="67E15701"/>
    <w:rsid w:val="67E20794"/>
    <w:rsid w:val="67E60D91"/>
    <w:rsid w:val="67E660D5"/>
    <w:rsid w:val="67E72797"/>
    <w:rsid w:val="67E83C27"/>
    <w:rsid w:val="67EC20DF"/>
    <w:rsid w:val="67EC7480"/>
    <w:rsid w:val="67EE6D37"/>
    <w:rsid w:val="67F0485E"/>
    <w:rsid w:val="67F24A7A"/>
    <w:rsid w:val="67F325A0"/>
    <w:rsid w:val="67F65BEC"/>
    <w:rsid w:val="67F85DF9"/>
    <w:rsid w:val="67FC35EF"/>
    <w:rsid w:val="67FD6F7B"/>
    <w:rsid w:val="67FF3F7D"/>
    <w:rsid w:val="68012F0F"/>
    <w:rsid w:val="68016A6B"/>
    <w:rsid w:val="680227E3"/>
    <w:rsid w:val="680622D3"/>
    <w:rsid w:val="68071BA7"/>
    <w:rsid w:val="6809591F"/>
    <w:rsid w:val="680B589C"/>
    <w:rsid w:val="680B5B3B"/>
    <w:rsid w:val="68106CAE"/>
    <w:rsid w:val="68151A6D"/>
    <w:rsid w:val="6817003C"/>
    <w:rsid w:val="681A72DB"/>
    <w:rsid w:val="681C1AF7"/>
    <w:rsid w:val="681D761D"/>
    <w:rsid w:val="681F3395"/>
    <w:rsid w:val="681F6961"/>
    <w:rsid w:val="68210EBB"/>
    <w:rsid w:val="68212C69"/>
    <w:rsid w:val="6821710D"/>
    <w:rsid w:val="6823192D"/>
    <w:rsid w:val="68243E7A"/>
    <w:rsid w:val="68246BFD"/>
    <w:rsid w:val="682826AF"/>
    <w:rsid w:val="683010FE"/>
    <w:rsid w:val="68320F9A"/>
    <w:rsid w:val="683230C8"/>
    <w:rsid w:val="6833299C"/>
    <w:rsid w:val="6841330B"/>
    <w:rsid w:val="684150B9"/>
    <w:rsid w:val="684352D5"/>
    <w:rsid w:val="68447EF6"/>
    <w:rsid w:val="684626D0"/>
    <w:rsid w:val="684A4454"/>
    <w:rsid w:val="68541290"/>
    <w:rsid w:val="68541CB5"/>
    <w:rsid w:val="68555008"/>
    <w:rsid w:val="68556DB7"/>
    <w:rsid w:val="68580655"/>
    <w:rsid w:val="68582403"/>
    <w:rsid w:val="68594AF9"/>
    <w:rsid w:val="685E4640"/>
    <w:rsid w:val="685F19E3"/>
    <w:rsid w:val="685F7C35"/>
    <w:rsid w:val="68610A2F"/>
    <w:rsid w:val="68660FC4"/>
    <w:rsid w:val="68664B20"/>
    <w:rsid w:val="68670155"/>
    <w:rsid w:val="68674743"/>
    <w:rsid w:val="68681035"/>
    <w:rsid w:val="68690437"/>
    <w:rsid w:val="68694610"/>
    <w:rsid w:val="686A21E8"/>
    <w:rsid w:val="686B2811"/>
    <w:rsid w:val="686B65DA"/>
    <w:rsid w:val="686D5EAE"/>
    <w:rsid w:val="686E3363"/>
    <w:rsid w:val="686F6FB6"/>
    <w:rsid w:val="68706054"/>
    <w:rsid w:val="68724DA1"/>
    <w:rsid w:val="68725BBA"/>
    <w:rsid w:val="68727B54"/>
    <w:rsid w:val="68743CAE"/>
    <w:rsid w:val="68757459"/>
    <w:rsid w:val="68786042"/>
    <w:rsid w:val="687A05CB"/>
    <w:rsid w:val="687A681D"/>
    <w:rsid w:val="687C724F"/>
    <w:rsid w:val="687F76CE"/>
    <w:rsid w:val="68805514"/>
    <w:rsid w:val="68815DFE"/>
    <w:rsid w:val="68821CC5"/>
    <w:rsid w:val="68833924"/>
    <w:rsid w:val="68872F0B"/>
    <w:rsid w:val="688B5B78"/>
    <w:rsid w:val="688D6DD8"/>
    <w:rsid w:val="688F22C8"/>
    <w:rsid w:val="6890463C"/>
    <w:rsid w:val="68921DB9"/>
    <w:rsid w:val="68945B31"/>
    <w:rsid w:val="689618A9"/>
    <w:rsid w:val="68993C3C"/>
    <w:rsid w:val="68994EF5"/>
    <w:rsid w:val="689A2A1B"/>
    <w:rsid w:val="689C2C37"/>
    <w:rsid w:val="689D451E"/>
    <w:rsid w:val="689E075E"/>
    <w:rsid w:val="689F3B33"/>
    <w:rsid w:val="68A13DAA"/>
    <w:rsid w:val="68A35D74"/>
    <w:rsid w:val="68A37B22"/>
    <w:rsid w:val="68A47FBA"/>
    <w:rsid w:val="68A51AEC"/>
    <w:rsid w:val="68A662B1"/>
    <w:rsid w:val="68AB6CFB"/>
    <w:rsid w:val="68AD66CB"/>
    <w:rsid w:val="68AF4719"/>
    <w:rsid w:val="68B03FED"/>
    <w:rsid w:val="68B24209"/>
    <w:rsid w:val="68B30AF3"/>
    <w:rsid w:val="68B40662"/>
    <w:rsid w:val="68B63CF9"/>
    <w:rsid w:val="68B7181F"/>
    <w:rsid w:val="68B95597"/>
    <w:rsid w:val="68B97345"/>
    <w:rsid w:val="68BB130F"/>
    <w:rsid w:val="68BE495C"/>
    <w:rsid w:val="68C006D4"/>
    <w:rsid w:val="68C02DC5"/>
    <w:rsid w:val="68C44011"/>
    <w:rsid w:val="68C44649"/>
    <w:rsid w:val="68CA6CAA"/>
    <w:rsid w:val="68CD2DF1"/>
    <w:rsid w:val="68CE3A10"/>
    <w:rsid w:val="68CF4DBB"/>
    <w:rsid w:val="68D0643D"/>
    <w:rsid w:val="68D4417F"/>
    <w:rsid w:val="68D50FF4"/>
    <w:rsid w:val="68D77510"/>
    <w:rsid w:val="68D93544"/>
    <w:rsid w:val="68E1064A"/>
    <w:rsid w:val="68E5013A"/>
    <w:rsid w:val="68E65681"/>
    <w:rsid w:val="68E84835"/>
    <w:rsid w:val="68E85E7D"/>
    <w:rsid w:val="68EA74FF"/>
    <w:rsid w:val="68F44821"/>
    <w:rsid w:val="68F712F6"/>
    <w:rsid w:val="68F71A8E"/>
    <w:rsid w:val="68F71D0E"/>
    <w:rsid w:val="68F77E6E"/>
    <w:rsid w:val="68F80968"/>
    <w:rsid w:val="68F95994"/>
    <w:rsid w:val="68F9709D"/>
    <w:rsid w:val="69020CEC"/>
    <w:rsid w:val="69026F3E"/>
    <w:rsid w:val="69036813"/>
    <w:rsid w:val="690507DD"/>
    <w:rsid w:val="69054339"/>
    <w:rsid w:val="69083E29"/>
    <w:rsid w:val="690A194F"/>
    <w:rsid w:val="690A7BA1"/>
    <w:rsid w:val="690B02EE"/>
    <w:rsid w:val="690D7691"/>
    <w:rsid w:val="69100406"/>
    <w:rsid w:val="69112C50"/>
    <w:rsid w:val="691427CE"/>
    <w:rsid w:val="69146C72"/>
    <w:rsid w:val="6917406C"/>
    <w:rsid w:val="69180510"/>
    <w:rsid w:val="691A2CCD"/>
    <w:rsid w:val="691B1DAE"/>
    <w:rsid w:val="691E6A93"/>
    <w:rsid w:val="692C5E02"/>
    <w:rsid w:val="692C5FB8"/>
    <w:rsid w:val="692F39AB"/>
    <w:rsid w:val="69316E2F"/>
    <w:rsid w:val="69322EEE"/>
    <w:rsid w:val="693410C2"/>
    <w:rsid w:val="693469CC"/>
    <w:rsid w:val="6938470E"/>
    <w:rsid w:val="693A5D98"/>
    <w:rsid w:val="693E6717"/>
    <w:rsid w:val="693F5889"/>
    <w:rsid w:val="69406477"/>
    <w:rsid w:val="6945507D"/>
    <w:rsid w:val="69470DF5"/>
    <w:rsid w:val="694A61EF"/>
    <w:rsid w:val="694C1F68"/>
    <w:rsid w:val="694D47E7"/>
    <w:rsid w:val="694E2071"/>
    <w:rsid w:val="69506F1E"/>
    <w:rsid w:val="69584116"/>
    <w:rsid w:val="69584481"/>
    <w:rsid w:val="69586B5E"/>
    <w:rsid w:val="695D4175"/>
    <w:rsid w:val="695F613F"/>
    <w:rsid w:val="695F6A02"/>
    <w:rsid w:val="69601EB7"/>
    <w:rsid w:val="69641ECE"/>
    <w:rsid w:val="69685626"/>
    <w:rsid w:val="69690D6B"/>
    <w:rsid w:val="69692B1A"/>
    <w:rsid w:val="696A0C89"/>
    <w:rsid w:val="696B5954"/>
    <w:rsid w:val="696D617A"/>
    <w:rsid w:val="696E0130"/>
    <w:rsid w:val="69702ECB"/>
    <w:rsid w:val="69717C20"/>
    <w:rsid w:val="69766163"/>
    <w:rsid w:val="69771632"/>
    <w:rsid w:val="69771BA1"/>
    <w:rsid w:val="69780837"/>
    <w:rsid w:val="69796AD5"/>
    <w:rsid w:val="697A3B33"/>
    <w:rsid w:val="697B45FB"/>
    <w:rsid w:val="697D4817"/>
    <w:rsid w:val="69845BA5"/>
    <w:rsid w:val="698711F2"/>
    <w:rsid w:val="69881641"/>
    <w:rsid w:val="69886D18"/>
    <w:rsid w:val="698A0CE2"/>
    <w:rsid w:val="698D5492"/>
    <w:rsid w:val="6991058B"/>
    <w:rsid w:val="69912070"/>
    <w:rsid w:val="699658D9"/>
    <w:rsid w:val="699A0A37"/>
    <w:rsid w:val="699A7177"/>
    <w:rsid w:val="699E02E9"/>
    <w:rsid w:val="699E5E58"/>
    <w:rsid w:val="69A00505"/>
    <w:rsid w:val="69A009F8"/>
    <w:rsid w:val="69A2427D"/>
    <w:rsid w:val="69A27510"/>
    <w:rsid w:val="69A71894"/>
    <w:rsid w:val="69A753F0"/>
    <w:rsid w:val="69A87087"/>
    <w:rsid w:val="69A9560C"/>
    <w:rsid w:val="69AA6BE4"/>
    <w:rsid w:val="69AB75AC"/>
    <w:rsid w:val="69AC6EAA"/>
    <w:rsid w:val="69AF24F6"/>
    <w:rsid w:val="69B83AA1"/>
    <w:rsid w:val="69B8480B"/>
    <w:rsid w:val="69B95123"/>
    <w:rsid w:val="69BA15C7"/>
    <w:rsid w:val="69BC750D"/>
    <w:rsid w:val="69BD10B7"/>
    <w:rsid w:val="69BD4C13"/>
    <w:rsid w:val="69BF098B"/>
    <w:rsid w:val="69C16AED"/>
    <w:rsid w:val="69C42446"/>
    <w:rsid w:val="69C45FA2"/>
    <w:rsid w:val="69CA10DE"/>
    <w:rsid w:val="69CC227F"/>
    <w:rsid w:val="69CC69C6"/>
    <w:rsid w:val="69D00DEB"/>
    <w:rsid w:val="69D02B99"/>
    <w:rsid w:val="69D361E5"/>
    <w:rsid w:val="69D44760"/>
    <w:rsid w:val="69DA57C5"/>
    <w:rsid w:val="69DD3507"/>
    <w:rsid w:val="69DD786A"/>
    <w:rsid w:val="69DF102E"/>
    <w:rsid w:val="69DF2DDC"/>
    <w:rsid w:val="69E5416A"/>
    <w:rsid w:val="69E54842"/>
    <w:rsid w:val="69E77EE2"/>
    <w:rsid w:val="69E91EAC"/>
    <w:rsid w:val="69EA352F"/>
    <w:rsid w:val="69EA3895"/>
    <w:rsid w:val="69EF12C4"/>
    <w:rsid w:val="69F018BB"/>
    <w:rsid w:val="69F7175C"/>
    <w:rsid w:val="69F820EF"/>
    <w:rsid w:val="69F85AFF"/>
    <w:rsid w:val="69FC398E"/>
    <w:rsid w:val="69FD3359"/>
    <w:rsid w:val="69FF347E"/>
    <w:rsid w:val="6A024D1C"/>
    <w:rsid w:val="6A026ACA"/>
    <w:rsid w:val="6A040A94"/>
    <w:rsid w:val="6A0555E6"/>
    <w:rsid w:val="6A072332"/>
    <w:rsid w:val="6A0927F9"/>
    <w:rsid w:val="6A0A183B"/>
    <w:rsid w:val="6A0C16F7"/>
    <w:rsid w:val="6A0D5B9B"/>
    <w:rsid w:val="6A0E36C1"/>
    <w:rsid w:val="6A0E546F"/>
    <w:rsid w:val="6A102F95"/>
    <w:rsid w:val="6A116D0D"/>
    <w:rsid w:val="6A152CA1"/>
    <w:rsid w:val="6A162576"/>
    <w:rsid w:val="6A164324"/>
    <w:rsid w:val="6A1862EE"/>
    <w:rsid w:val="6A1A2066"/>
    <w:rsid w:val="6A1A3E14"/>
    <w:rsid w:val="6A1A7B2E"/>
    <w:rsid w:val="6A1D56B2"/>
    <w:rsid w:val="6A215DC8"/>
    <w:rsid w:val="6A235069"/>
    <w:rsid w:val="6A2A361C"/>
    <w:rsid w:val="6A2B4273"/>
    <w:rsid w:val="6A2C3B47"/>
    <w:rsid w:val="6A3053E5"/>
    <w:rsid w:val="6A31115D"/>
    <w:rsid w:val="6A326FBA"/>
    <w:rsid w:val="6A332502"/>
    <w:rsid w:val="6A346265"/>
    <w:rsid w:val="6A372C18"/>
    <w:rsid w:val="6A3824EC"/>
    <w:rsid w:val="6A426DE7"/>
    <w:rsid w:val="6A427FA9"/>
    <w:rsid w:val="6A435FF0"/>
    <w:rsid w:val="6A445335"/>
    <w:rsid w:val="6A454523"/>
    <w:rsid w:val="6A462E5B"/>
    <w:rsid w:val="6A470981"/>
    <w:rsid w:val="6A486BD3"/>
    <w:rsid w:val="6A4946F9"/>
    <w:rsid w:val="6A4A14A0"/>
    <w:rsid w:val="6A4B66C3"/>
    <w:rsid w:val="6A4E1D0F"/>
    <w:rsid w:val="6A4F389E"/>
    <w:rsid w:val="6A4F6140"/>
    <w:rsid w:val="6A4F6E29"/>
    <w:rsid w:val="6A507835"/>
    <w:rsid w:val="6A520EC7"/>
    <w:rsid w:val="6A5437CA"/>
    <w:rsid w:val="6A590DE0"/>
    <w:rsid w:val="6A5C1BD4"/>
    <w:rsid w:val="6A623431"/>
    <w:rsid w:val="6A627569"/>
    <w:rsid w:val="6A696B49"/>
    <w:rsid w:val="6A6E4160"/>
    <w:rsid w:val="6A6E6EB4"/>
    <w:rsid w:val="6A701C86"/>
    <w:rsid w:val="6A707ED8"/>
    <w:rsid w:val="6A7115D6"/>
    <w:rsid w:val="6A723C50"/>
    <w:rsid w:val="6A75729C"/>
    <w:rsid w:val="6A771266"/>
    <w:rsid w:val="6A7774B8"/>
    <w:rsid w:val="6A786D98"/>
    <w:rsid w:val="6A793230"/>
    <w:rsid w:val="6A7A1573"/>
    <w:rsid w:val="6A7A6FA8"/>
    <w:rsid w:val="6A813E48"/>
    <w:rsid w:val="6A822402"/>
    <w:rsid w:val="6A835E5D"/>
    <w:rsid w:val="6A837C0B"/>
    <w:rsid w:val="6A843983"/>
    <w:rsid w:val="6A86594D"/>
    <w:rsid w:val="6A890F99"/>
    <w:rsid w:val="6A8A48B0"/>
    <w:rsid w:val="6A8B35E2"/>
    <w:rsid w:val="6A8B6AC0"/>
    <w:rsid w:val="6A8E65B0"/>
    <w:rsid w:val="6A94006A"/>
    <w:rsid w:val="6A9516EC"/>
    <w:rsid w:val="6A957A01"/>
    <w:rsid w:val="6A972321"/>
    <w:rsid w:val="6A9736B6"/>
    <w:rsid w:val="6A9D076F"/>
    <w:rsid w:val="6A9D4D57"/>
    <w:rsid w:val="6A9E2C97"/>
    <w:rsid w:val="6AA00FFB"/>
    <w:rsid w:val="6AA06A0F"/>
    <w:rsid w:val="6AA10091"/>
    <w:rsid w:val="6AA47B81"/>
    <w:rsid w:val="6AA61B4B"/>
    <w:rsid w:val="6AA638F9"/>
    <w:rsid w:val="6AAF3179"/>
    <w:rsid w:val="6AB204F0"/>
    <w:rsid w:val="6AB31367"/>
    <w:rsid w:val="6AB32F8A"/>
    <w:rsid w:val="6AB51D8E"/>
    <w:rsid w:val="6AB853DB"/>
    <w:rsid w:val="6AC81AC2"/>
    <w:rsid w:val="6AC87D14"/>
    <w:rsid w:val="6ACB15B2"/>
    <w:rsid w:val="6ACD70D8"/>
    <w:rsid w:val="6AD37EE9"/>
    <w:rsid w:val="6AD541DF"/>
    <w:rsid w:val="6AD55F8D"/>
    <w:rsid w:val="6AD7160D"/>
    <w:rsid w:val="6AD93CCF"/>
    <w:rsid w:val="6ADF6E0B"/>
    <w:rsid w:val="6AE12B83"/>
    <w:rsid w:val="6AE14931"/>
    <w:rsid w:val="6AE50B8C"/>
    <w:rsid w:val="6AE61F48"/>
    <w:rsid w:val="6AE82164"/>
    <w:rsid w:val="6AE9439A"/>
    <w:rsid w:val="6AEA5EDC"/>
    <w:rsid w:val="6AEB57B0"/>
    <w:rsid w:val="6AED32D6"/>
    <w:rsid w:val="6AEF52A0"/>
    <w:rsid w:val="6AF01018"/>
    <w:rsid w:val="6AF24D91"/>
    <w:rsid w:val="6AF64881"/>
    <w:rsid w:val="6AF84271"/>
    <w:rsid w:val="6AF87E20"/>
    <w:rsid w:val="6AFA3F1E"/>
    <w:rsid w:val="6AFB280E"/>
    <w:rsid w:val="6AFC6742"/>
    <w:rsid w:val="6AFF6A89"/>
    <w:rsid w:val="6B00125C"/>
    <w:rsid w:val="6B030D4C"/>
    <w:rsid w:val="6B036F9E"/>
    <w:rsid w:val="6B075151"/>
    <w:rsid w:val="6B086362"/>
    <w:rsid w:val="6B0A0AF3"/>
    <w:rsid w:val="6B0C289F"/>
    <w:rsid w:val="6B0F5943"/>
    <w:rsid w:val="6B105217"/>
    <w:rsid w:val="6B106FC5"/>
    <w:rsid w:val="6B12629B"/>
    <w:rsid w:val="6B142F59"/>
    <w:rsid w:val="6B170353"/>
    <w:rsid w:val="6B1765A5"/>
    <w:rsid w:val="6B1B3DAE"/>
    <w:rsid w:val="6B1B7E43"/>
    <w:rsid w:val="6B1E7934"/>
    <w:rsid w:val="6B225676"/>
    <w:rsid w:val="6B250CC2"/>
    <w:rsid w:val="6B264A3A"/>
    <w:rsid w:val="6B2807B2"/>
    <w:rsid w:val="6B2815FD"/>
    <w:rsid w:val="6B286A04"/>
    <w:rsid w:val="6B2A00D0"/>
    <w:rsid w:val="6B2B0C6F"/>
    <w:rsid w:val="6B2C180E"/>
    <w:rsid w:val="6B2C5F64"/>
    <w:rsid w:val="6B322639"/>
    <w:rsid w:val="6B347990"/>
    <w:rsid w:val="6B3A3BBF"/>
    <w:rsid w:val="6B413622"/>
    <w:rsid w:val="6B421874"/>
    <w:rsid w:val="6B427AC6"/>
    <w:rsid w:val="6B4355EC"/>
    <w:rsid w:val="6B463A66"/>
    <w:rsid w:val="6B4A5783"/>
    <w:rsid w:val="6B4C26F3"/>
    <w:rsid w:val="6B4C44A1"/>
    <w:rsid w:val="6B4D0219"/>
    <w:rsid w:val="6B5275DD"/>
    <w:rsid w:val="6B5477F9"/>
    <w:rsid w:val="6B56531F"/>
    <w:rsid w:val="6B5670CE"/>
    <w:rsid w:val="6B572E46"/>
    <w:rsid w:val="6B581098"/>
    <w:rsid w:val="6B601CFA"/>
    <w:rsid w:val="6B623CC4"/>
    <w:rsid w:val="6B631EBD"/>
    <w:rsid w:val="6B657311"/>
    <w:rsid w:val="6B6932A5"/>
    <w:rsid w:val="6B6A0DCB"/>
    <w:rsid w:val="6B6F63E1"/>
    <w:rsid w:val="6B712159"/>
    <w:rsid w:val="6B713F07"/>
    <w:rsid w:val="6B735ED1"/>
    <w:rsid w:val="6B76151E"/>
    <w:rsid w:val="6B7632CC"/>
    <w:rsid w:val="6B767770"/>
    <w:rsid w:val="6B7D28AC"/>
    <w:rsid w:val="6B817F21"/>
    <w:rsid w:val="6B841E8D"/>
    <w:rsid w:val="6B855C05"/>
    <w:rsid w:val="6B881251"/>
    <w:rsid w:val="6B8C0D41"/>
    <w:rsid w:val="6B8E6209"/>
    <w:rsid w:val="6B8F0831"/>
    <w:rsid w:val="6B8F6EEA"/>
    <w:rsid w:val="6B9072BA"/>
    <w:rsid w:val="6B910106"/>
    <w:rsid w:val="6B930322"/>
    <w:rsid w:val="6B947BF6"/>
    <w:rsid w:val="6B95409A"/>
    <w:rsid w:val="6B9678B6"/>
    <w:rsid w:val="6B975E2B"/>
    <w:rsid w:val="6B981494"/>
    <w:rsid w:val="6B9876E6"/>
    <w:rsid w:val="6B9A7701"/>
    <w:rsid w:val="6B9D4CFC"/>
    <w:rsid w:val="6B9E11A7"/>
    <w:rsid w:val="6BA63569"/>
    <w:rsid w:val="6BAA621F"/>
    <w:rsid w:val="6BAE515B"/>
    <w:rsid w:val="6BB42046"/>
    <w:rsid w:val="6BB95806"/>
    <w:rsid w:val="6BBB5183"/>
    <w:rsid w:val="6BBB7E27"/>
    <w:rsid w:val="6BBE52E8"/>
    <w:rsid w:val="6BC250D5"/>
    <w:rsid w:val="6BC404DB"/>
    <w:rsid w:val="6BC4672D"/>
    <w:rsid w:val="6BCA5EF4"/>
    <w:rsid w:val="6BCA714F"/>
    <w:rsid w:val="6BCC61AB"/>
    <w:rsid w:val="6BCF0C2E"/>
    <w:rsid w:val="6BCF5840"/>
    <w:rsid w:val="6BD36970"/>
    <w:rsid w:val="6BD44EF8"/>
    <w:rsid w:val="6BD526E8"/>
    <w:rsid w:val="6BD6020E"/>
    <w:rsid w:val="6BD82A45"/>
    <w:rsid w:val="6BD839C0"/>
    <w:rsid w:val="6BD83F86"/>
    <w:rsid w:val="6BDA0B80"/>
    <w:rsid w:val="6BDD334B"/>
    <w:rsid w:val="6BDF5289"/>
    <w:rsid w:val="6BE20961"/>
    <w:rsid w:val="6BE30E1C"/>
    <w:rsid w:val="6BE566A3"/>
    <w:rsid w:val="6BE624AF"/>
    <w:rsid w:val="6BEC358E"/>
    <w:rsid w:val="6BF012D0"/>
    <w:rsid w:val="6BF55A4E"/>
    <w:rsid w:val="6BF56847"/>
    <w:rsid w:val="6BF6265F"/>
    <w:rsid w:val="6BF6440D"/>
    <w:rsid w:val="6BF66428"/>
    <w:rsid w:val="6BF863D7"/>
    <w:rsid w:val="6BFA3EFD"/>
    <w:rsid w:val="6BFB1A23"/>
    <w:rsid w:val="6BFD39ED"/>
    <w:rsid w:val="6BFE3D94"/>
    <w:rsid w:val="6BFF0BC1"/>
    <w:rsid w:val="6C03015D"/>
    <w:rsid w:val="6C04099E"/>
    <w:rsid w:val="6C0703C8"/>
    <w:rsid w:val="6C07661A"/>
    <w:rsid w:val="6C0C59DE"/>
    <w:rsid w:val="6C1442C8"/>
    <w:rsid w:val="6C164AAF"/>
    <w:rsid w:val="6C17544E"/>
    <w:rsid w:val="6C186A79"/>
    <w:rsid w:val="6C1A0813"/>
    <w:rsid w:val="6C1D5E3D"/>
    <w:rsid w:val="6C1F0271"/>
    <w:rsid w:val="6C1F30E8"/>
    <w:rsid w:val="6C297290"/>
    <w:rsid w:val="6C2B055A"/>
    <w:rsid w:val="6C2B2308"/>
    <w:rsid w:val="6C2F1D19"/>
    <w:rsid w:val="6C305B70"/>
    <w:rsid w:val="6C3078F9"/>
    <w:rsid w:val="6C31178D"/>
    <w:rsid w:val="6C332D06"/>
    <w:rsid w:val="6C3C4515"/>
    <w:rsid w:val="6C3D246C"/>
    <w:rsid w:val="6C3D33A3"/>
    <w:rsid w:val="6C4007A6"/>
    <w:rsid w:val="6C400E08"/>
    <w:rsid w:val="6C4046DD"/>
    <w:rsid w:val="6C445178"/>
    <w:rsid w:val="6C467142"/>
    <w:rsid w:val="6C4C0AD1"/>
    <w:rsid w:val="6C4E5FF7"/>
    <w:rsid w:val="6C506213"/>
    <w:rsid w:val="6C586E75"/>
    <w:rsid w:val="6C5A0E3F"/>
    <w:rsid w:val="6C5A7375"/>
    <w:rsid w:val="6C5A791C"/>
    <w:rsid w:val="6C5B59F4"/>
    <w:rsid w:val="6C5D448C"/>
    <w:rsid w:val="6C5F0204"/>
    <w:rsid w:val="6C5F6456"/>
    <w:rsid w:val="6C604695"/>
    <w:rsid w:val="6C636C38"/>
    <w:rsid w:val="6C657EEA"/>
    <w:rsid w:val="6C6677E4"/>
    <w:rsid w:val="6C69186D"/>
    <w:rsid w:val="6C6E48EB"/>
    <w:rsid w:val="6C7517D5"/>
    <w:rsid w:val="6C7A2FA0"/>
    <w:rsid w:val="6C7D068A"/>
    <w:rsid w:val="6C7D4B2E"/>
    <w:rsid w:val="6C7F08A6"/>
    <w:rsid w:val="6C8163CC"/>
    <w:rsid w:val="6C830396"/>
    <w:rsid w:val="6C8456D5"/>
    <w:rsid w:val="6C8639E2"/>
    <w:rsid w:val="6C87570F"/>
    <w:rsid w:val="6C875F9B"/>
    <w:rsid w:val="6C891725"/>
    <w:rsid w:val="6C892B57"/>
    <w:rsid w:val="6C89702F"/>
    <w:rsid w:val="6C8B2DA7"/>
    <w:rsid w:val="6C8C4C6F"/>
    <w:rsid w:val="6C9003BD"/>
    <w:rsid w:val="6C920CDA"/>
    <w:rsid w:val="6C92180E"/>
    <w:rsid w:val="6C92690B"/>
    <w:rsid w:val="6C937EAD"/>
    <w:rsid w:val="6C97174C"/>
    <w:rsid w:val="6C983716"/>
    <w:rsid w:val="6C9A123C"/>
    <w:rsid w:val="6C9D1138"/>
    <w:rsid w:val="6C9E6F7E"/>
    <w:rsid w:val="6C9F4AA4"/>
    <w:rsid w:val="6C9F6852"/>
    <w:rsid w:val="6CA200F0"/>
    <w:rsid w:val="6CA67BE1"/>
    <w:rsid w:val="6CA86B72"/>
    <w:rsid w:val="6CB06CB1"/>
    <w:rsid w:val="6CB22A29"/>
    <w:rsid w:val="6CB253C7"/>
    <w:rsid w:val="6CB30550"/>
    <w:rsid w:val="6CB56076"/>
    <w:rsid w:val="6CB82817"/>
    <w:rsid w:val="6CB97B51"/>
    <w:rsid w:val="6CBA368C"/>
    <w:rsid w:val="6CBC5656"/>
    <w:rsid w:val="6CBC7337"/>
    <w:rsid w:val="6CBC7404"/>
    <w:rsid w:val="6CBD23B5"/>
    <w:rsid w:val="6CBF0CA2"/>
    <w:rsid w:val="6CC00B07"/>
    <w:rsid w:val="6CC16DF8"/>
    <w:rsid w:val="6CC35B2A"/>
    <w:rsid w:val="6CC462B9"/>
    <w:rsid w:val="6CCB0386"/>
    <w:rsid w:val="6CCF5389"/>
    <w:rsid w:val="6CD01DF9"/>
    <w:rsid w:val="6CD13207"/>
    <w:rsid w:val="6CD61F9E"/>
    <w:rsid w:val="6CDA788A"/>
    <w:rsid w:val="6CE738B7"/>
    <w:rsid w:val="6CE81FA7"/>
    <w:rsid w:val="6CE95D1F"/>
    <w:rsid w:val="6CED1CB3"/>
    <w:rsid w:val="6CED57E2"/>
    <w:rsid w:val="6CF22540"/>
    <w:rsid w:val="6CF47A31"/>
    <w:rsid w:val="6CF546C4"/>
    <w:rsid w:val="6CFB0696"/>
    <w:rsid w:val="6CFD6CF2"/>
    <w:rsid w:val="6D0234C5"/>
    <w:rsid w:val="6D0511DE"/>
    <w:rsid w:val="6D0752D9"/>
    <w:rsid w:val="6D093A6A"/>
    <w:rsid w:val="6D0A2E73"/>
    <w:rsid w:val="6D0A4613"/>
    <w:rsid w:val="6D0B038C"/>
    <w:rsid w:val="6D0B14CF"/>
    <w:rsid w:val="6D0D7C60"/>
    <w:rsid w:val="6D147240"/>
    <w:rsid w:val="6D162FB8"/>
    <w:rsid w:val="6D176D30"/>
    <w:rsid w:val="6D192AA9"/>
    <w:rsid w:val="6D1B05CF"/>
    <w:rsid w:val="6D1C7EA3"/>
    <w:rsid w:val="6D256FAC"/>
    <w:rsid w:val="6D264A09"/>
    <w:rsid w:val="6D2D29AD"/>
    <w:rsid w:val="6D2D3750"/>
    <w:rsid w:val="6D2F4B04"/>
    <w:rsid w:val="6D317DF2"/>
    <w:rsid w:val="6D323B6A"/>
    <w:rsid w:val="6D3276C6"/>
    <w:rsid w:val="6D35260A"/>
    <w:rsid w:val="6D3C22F3"/>
    <w:rsid w:val="6D433529"/>
    <w:rsid w:val="6D434A7C"/>
    <w:rsid w:val="6D4D62AE"/>
    <w:rsid w:val="6D513FF0"/>
    <w:rsid w:val="6D521B17"/>
    <w:rsid w:val="6D5238C5"/>
    <w:rsid w:val="6D52740E"/>
    <w:rsid w:val="6D5318DD"/>
    <w:rsid w:val="6D543AE1"/>
    <w:rsid w:val="6D54588F"/>
    <w:rsid w:val="6D57537F"/>
    <w:rsid w:val="6D5B17B0"/>
    <w:rsid w:val="6D604233"/>
    <w:rsid w:val="6D6105B3"/>
    <w:rsid w:val="6D635AD2"/>
    <w:rsid w:val="6D6535F8"/>
    <w:rsid w:val="6D662F0D"/>
    <w:rsid w:val="6D673E25"/>
    <w:rsid w:val="6D6B0A08"/>
    <w:rsid w:val="6D6D4BA2"/>
    <w:rsid w:val="6D6D6950"/>
    <w:rsid w:val="6D714693"/>
    <w:rsid w:val="6D747729"/>
    <w:rsid w:val="6D7773FF"/>
    <w:rsid w:val="6D793547"/>
    <w:rsid w:val="6D7A1CAA"/>
    <w:rsid w:val="6D7B2E1B"/>
    <w:rsid w:val="6D7D3037"/>
    <w:rsid w:val="6D806684"/>
    <w:rsid w:val="6D8141AA"/>
    <w:rsid w:val="6D8819DC"/>
    <w:rsid w:val="6D88378A"/>
    <w:rsid w:val="6D8C0941"/>
    <w:rsid w:val="6D8D2B4F"/>
    <w:rsid w:val="6D8F5E11"/>
    <w:rsid w:val="6D930DED"/>
    <w:rsid w:val="6D946ECB"/>
    <w:rsid w:val="6D966FFE"/>
    <w:rsid w:val="6D97577B"/>
    <w:rsid w:val="6D995997"/>
    <w:rsid w:val="6D9C0FE4"/>
    <w:rsid w:val="6D9D7236"/>
    <w:rsid w:val="6D9E6B0A"/>
    <w:rsid w:val="6DA34120"/>
    <w:rsid w:val="6DA46816"/>
    <w:rsid w:val="6DA606D9"/>
    <w:rsid w:val="6DA852E7"/>
    <w:rsid w:val="6DAA1953"/>
    <w:rsid w:val="6DAB3516"/>
    <w:rsid w:val="6DAB4FF7"/>
    <w:rsid w:val="6DAE1443"/>
    <w:rsid w:val="6DB307CD"/>
    <w:rsid w:val="6DB34098"/>
    <w:rsid w:val="6DB36ABE"/>
    <w:rsid w:val="6DB427D1"/>
    <w:rsid w:val="6DB4632D"/>
    <w:rsid w:val="6DB545B6"/>
    <w:rsid w:val="6DB93944"/>
    <w:rsid w:val="6DBC462A"/>
    <w:rsid w:val="6DBE53FE"/>
    <w:rsid w:val="6DCA5B51"/>
    <w:rsid w:val="6DCB757A"/>
    <w:rsid w:val="6DCF21B6"/>
    <w:rsid w:val="6DD15131"/>
    <w:rsid w:val="6DD24A05"/>
    <w:rsid w:val="6DD4077E"/>
    <w:rsid w:val="6DD469CF"/>
    <w:rsid w:val="6DD536EF"/>
    <w:rsid w:val="6DD644F6"/>
    <w:rsid w:val="6DDD3AD6"/>
    <w:rsid w:val="6DE02FB4"/>
    <w:rsid w:val="6DE704B1"/>
    <w:rsid w:val="6DE9117D"/>
    <w:rsid w:val="6DE94229"/>
    <w:rsid w:val="6DEC1F6B"/>
    <w:rsid w:val="6DEC5AC7"/>
    <w:rsid w:val="6DF1359C"/>
    <w:rsid w:val="6DF242FF"/>
    <w:rsid w:val="6DF55434"/>
    <w:rsid w:val="6DF606F4"/>
    <w:rsid w:val="6DF64B98"/>
    <w:rsid w:val="6DFA4688"/>
    <w:rsid w:val="6DFA6436"/>
    <w:rsid w:val="6DFE5138"/>
    <w:rsid w:val="6DFE57FA"/>
    <w:rsid w:val="6DFF1C9E"/>
    <w:rsid w:val="6DFF3A4C"/>
    <w:rsid w:val="6E011BB8"/>
    <w:rsid w:val="6E02353D"/>
    <w:rsid w:val="6E054DDB"/>
    <w:rsid w:val="6E056B89"/>
    <w:rsid w:val="6E070B53"/>
    <w:rsid w:val="6E0717CB"/>
    <w:rsid w:val="6E0A53D1"/>
    <w:rsid w:val="6E0A66CE"/>
    <w:rsid w:val="6E0C7F17"/>
    <w:rsid w:val="6E0E59CE"/>
    <w:rsid w:val="6E104701"/>
    <w:rsid w:val="6E1119D2"/>
    <w:rsid w:val="6E13574A"/>
    <w:rsid w:val="6E156513"/>
    <w:rsid w:val="6E1B45FE"/>
    <w:rsid w:val="6E1D2D93"/>
    <w:rsid w:val="6E1F7463"/>
    <w:rsid w:val="6E22598D"/>
    <w:rsid w:val="6E22773B"/>
    <w:rsid w:val="6E243335"/>
    <w:rsid w:val="6E250FD9"/>
    <w:rsid w:val="6E26547D"/>
    <w:rsid w:val="6E2A65EF"/>
    <w:rsid w:val="6E2B2468"/>
    <w:rsid w:val="6E2C1D91"/>
    <w:rsid w:val="6E2C2368"/>
    <w:rsid w:val="6E2D0758"/>
    <w:rsid w:val="6E2D0C79"/>
    <w:rsid w:val="6E2D223D"/>
    <w:rsid w:val="6E2E7B61"/>
    <w:rsid w:val="6E30177C"/>
    <w:rsid w:val="6E345893"/>
    <w:rsid w:val="6E386F5E"/>
    <w:rsid w:val="6E3B25AB"/>
    <w:rsid w:val="6E3D27C7"/>
    <w:rsid w:val="6E3D3472"/>
    <w:rsid w:val="6E401DF3"/>
    <w:rsid w:val="6E4057A2"/>
    <w:rsid w:val="6E423939"/>
    <w:rsid w:val="6E475935"/>
    <w:rsid w:val="6E514CED"/>
    <w:rsid w:val="6E565636"/>
    <w:rsid w:val="6E5673E4"/>
    <w:rsid w:val="6E587601"/>
    <w:rsid w:val="6E5979CF"/>
    <w:rsid w:val="6E5F098F"/>
    <w:rsid w:val="6E5F5EEE"/>
    <w:rsid w:val="6E645FA5"/>
    <w:rsid w:val="6E6563F5"/>
    <w:rsid w:val="6E6715F2"/>
    <w:rsid w:val="6E682806"/>
    <w:rsid w:val="6E697118"/>
    <w:rsid w:val="6E6C6C08"/>
    <w:rsid w:val="6E70494A"/>
    <w:rsid w:val="6E7066F8"/>
    <w:rsid w:val="6E7206C2"/>
    <w:rsid w:val="6E7526D4"/>
    <w:rsid w:val="6E754CF4"/>
    <w:rsid w:val="6E755ABD"/>
    <w:rsid w:val="6E761835"/>
    <w:rsid w:val="6E79576D"/>
    <w:rsid w:val="6E7C32EF"/>
    <w:rsid w:val="6E804461"/>
    <w:rsid w:val="6E846DFB"/>
    <w:rsid w:val="6E855956"/>
    <w:rsid w:val="6E8635C3"/>
    <w:rsid w:val="6E867CCA"/>
    <w:rsid w:val="6E8B1F0A"/>
    <w:rsid w:val="6E8B7481"/>
    <w:rsid w:val="6E8D72AA"/>
    <w:rsid w:val="6E934195"/>
    <w:rsid w:val="6E95615F"/>
    <w:rsid w:val="6E9A19C7"/>
    <w:rsid w:val="6E9C129B"/>
    <w:rsid w:val="6E9C7DE1"/>
    <w:rsid w:val="6E9D5013"/>
    <w:rsid w:val="6E9E14B7"/>
    <w:rsid w:val="6EA14B04"/>
    <w:rsid w:val="6EA22C9D"/>
    <w:rsid w:val="6EA463A2"/>
    <w:rsid w:val="6EAF7707"/>
    <w:rsid w:val="6EB365E5"/>
    <w:rsid w:val="6EB563D5"/>
    <w:rsid w:val="6EB74CEA"/>
    <w:rsid w:val="6EB81E4D"/>
    <w:rsid w:val="6EB83BFB"/>
    <w:rsid w:val="6EB85889"/>
    <w:rsid w:val="6EBD6817"/>
    <w:rsid w:val="6EBF31DC"/>
    <w:rsid w:val="6EC27039"/>
    <w:rsid w:val="6EC30F1E"/>
    <w:rsid w:val="6EC52DE9"/>
    <w:rsid w:val="6EC627BC"/>
    <w:rsid w:val="6EC91D52"/>
    <w:rsid w:val="6ECD25EA"/>
    <w:rsid w:val="6ECD2955"/>
    <w:rsid w:val="6ECE6145"/>
    <w:rsid w:val="6ED053E9"/>
    <w:rsid w:val="6ED22F0F"/>
    <w:rsid w:val="6ED30A35"/>
    <w:rsid w:val="6ED5176D"/>
    <w:rsid w:val="6ED70525"/>
    <w:rsid w:val="6ED76777"/>
    <w:rsid w:val="6ED8604B"/>
    <w:rsid w:val="6ED91C51"/>
    <w:rsid w:val="6ED92677"/>
    <w:rsid w:val="6EDC2DD2"/>
    <w:rsid w:val="6EDC3D8E"/>
    <w:rsid w:val="6EDF0585"/>
    <w:rsid w:val="6EE175F6"/>
    <w:rsid w:val="6EE22991"/>
    <w:rsid w:val="6EE37630"/>
    <w:rsid w:val="6EE66434"/>
    <w:rsid w:val="6EE77FFC"/>
    <w:rsid w:val="6EE83DF2"/>
    <w:rsid w:val="6EE844E0"/>
    <w:rsid w:val="6EE90259"/>
    <w:rsid w:val="6EED5F9B"/>
    <w:rsid w:val="6EEE586F"/>
    <w:rsid w:val="6EF20050"/>
    <w:rsid w:val="6EF32D38"/>
    <w:rsid w:val="6EF32E85"/>
    <w:rsid w:val="6EF74724"/>
    <w:rsid w:val="6EF87108"/>
    <w:rsid w:val="6EF916AB"/>
    <w:rsid w:val="6EF966EE"/>
    <w:rsid w:val="6EFA06B8"/>
    <w:rsid w:val="6EFC4430"/>
    <w:rsid w:val="6EFE3D04"/>
    <w:rsid w:val="6F011A46"/>
    <w:rsid w:val="6F03131A"/>
    <w:rsid w:val="6F0357BE"/>
    <w:rsid w:val="6F0532E4"/>
    <w:rsid w:val="6F067393"/>
    <w:rsid w:val="6F075C9B"/>
    <w:rsid w:val="6F0768B7"/>
    <w:rsid w:val="6F0926A9"/>
    <w:rsid w:val="6F0D1F62"/>
    <w:rsid w:val="6F0F4163"/>
    <w:rsid w:val="6F105D25"/>
    <w:rsid w:val="6F125A01"/>
    <w:rsid w:val="6F147CF5"/>
    <w:rsid w:val="6F184888"/>
    <w:rsid w:val="6F1A6664"/>
    <w:rsid w:val="6F210FA6"/>
    <w:rsid w:val="6F2149FD"/>
    <w:rsid w:val="6F223AF6"/>
    <w:rsid w:val="6F225983"/>
    <w:rsid w:val="6F245167"/>
    <w:rsid w:val="6F255735"/>
    <w:rsid w:val="6F26325B"/>
    <w:rsid w:val="6F267133"/>
    <w:rsid w:val="6F2712BB"/>
    <w:rsid w:val="6F2D05CC"/>
    <w:rsid w:val="6F2D45E9"/>
    <w:rsid w:val="6F2F210F"/>
    <w:rsid w:val="6F347726"/>
    <w:rsid w:val="6F3670AA"/>
    <w:rsid w:val="6F394D3C"/>
    <w:rsid w:val="6F3B6D06"/>
    <w:rsid w:val="6F3B77C7"/>
    <w:rsid w:val="6F3C482C"/>
    <w:rsid w:val="6F3C65DA"/>
    <w:rsid w:val="6F3E05A4"/>
    <w:rsid w:val="6F3F5BD9"/>
    <w:rsid w:val="6F411E43"/>
    <w:rsid w:val="6F413BF1"/>
    <w:rsid w:val="6F415050"/>
    <w:rsid w:val="6F4230D3"/>
    <w:rsid w:val="6F4B4A6F"/>
    <w:rsid w:val="6F4C55E1"/>
    <w:rsid w:val="6F5079E2"/>
    <w:rsid w:val="6F5266FB"/>
    <w:rsid w:val="6F537CDF"/>
    <w:rsid w:val="6F573414"/>
    <w:rsid w:val="6F585564"/>
    <w:rsid w:val="6F5A2F04"/>
    <w:rsid w:val="6F5B73A8"/>
    <w:rsid w:val="6F5E29F5"/>
    <w:rsid w:val="6F5F125D"/>
    <w:rsid w:val="6F6A3147"/>
    <w:rsid w:val="6F6C062B"/>
    <w:rsid w:val="6F6F4C02"/>
    <w:rsid w:val="6F7264A0"/>
    <w:rsid w:val="6F765ED9"/>
    <w:rsid w:val="6F79782E"/>
    <w:rsid w:val="6F7A7A05"/>
    <w:rsid w:val="6F7E3097"/>
    <w:rsid w:val="6F7E4E45"/>
    <w:rsid w:val="6F80296B"/>
    <w:rsid w:val="6F806E0F"/>
    <w:rsid w:val="6F814220"/>
    <w:rsid w:val="6F830D11"/>
    <w:rsid w:val="6F83245B"/>
    <w:rsid w:val="6F8B1389"/>
    <w:rsid w:val="6F8C57B4"/>
    <w:rsid w:val="6F8D260D"/>
    <w:rsid w:val="6F914B78"/>
    <w:rsid w:val="6F936CF5"/>
    <w:rsid w:val="6F944668"/>
    <w:rsid w:val="6F9457F9"/>
    <w:rsid w:val="6F9603E0"/>
    <w:rsid w:val="6F975F07"/>
    <w:rsid w:val="6F984159"/>
    <w:rsid w:val="6F9A3937"/>
    <w:rsid w:val="6F9D176F"/>
    <w:rsid w:val="6F9E7295"/>
    <w:rsid w:val="6FA431BE"/>
    <w:rsid w:val="6FA50623"/>
    <w:rsid w:val="6FA81EC2"/>
    <w:rsid w:val="6FAC7C04"/>
    <w:rsid w:val="6FAF34D2"/>
    <w:rsid w:val="6FB42615"/>
    <w:rsid w:val="6FBD00D0"/>
    <w:rsid w:val="6FBD7AD9"/>
    <w:rsid w:val="6FC14D32"/>
    <w:rsid w:val="6FC3303F"/>
    <w:rsid w:val="6FC50034"/>
    <w:rsid w:val="6FC565D0"/>
    <w:rsid w:val="6FC82564"/>
    <w:rsid w:val="6FCA1E38"/>
    <w:rsid w:val="6FCB1EF3"/>
    <w:rsid w:val="6FCC3E02"/>
    <w:rsid w:val="6FD131C7"/>
    <w:rsid w:val="6FD20CED"/>
    <w:rsid w:val="6FD42CB7"/>
    <w:rsid w:val="6FD607DD"/>
    <w:rsid w:val="6FD60FB9"/>
    <w:rsid w:val="6FD70BB7"/>
    <w:rsid w:val="6FD902CD"/>
    <w:rsid w:val="6FD9207B"/>
    <w:rsid w:val="6FDA2E93"/>
    <w:rsid w:val="6FE256F3"/>
    <w:rsid w:val="6FE2755C"/>
    <w:rsid w:val="6FE70C3C"/>
    <w:rsid w:val="6FE733CE"/>
    <w:rsid w:val="6FEC0000"/>
    <w:rsid w:val="6FED2530"/>
    <w:rsid w:val="6FED5B27"/>
    <w:rsid w:val="6FEE1FCA"/>
    <w:rsid w:val="6FF00AC7"/>
    <w:rsid w:val="6FF11ABB"/>
    <w:rsid w:val="6FF13869"/>
    <w:rsid w:val="6FF1412A"/>
    <w:rsid w:val="6FF173C5"/>
    <w:rsid w:val="6FF22C32"/>
    <w:rsid w:val="6FF375E1"/>
    <w:rsid w:val="6FFC5590"/>
    <w:rsid w:val="6FFD220E"/>
    <w:rsid w:val="6FFE7D34"/>
    <w:rsid w:val="7000585A"/>
    <w:rsid w:val="70014631"/>
    <w:rsid w:val="70020E1C"/>
    <w:rsid w:val="700417EE"/>
    <w:rsid w:val="7004359C"/>
    <w:rsid w:val="70052E70"/>
    <w:rsid w:val="70086D5E"/>
    <w:rsid w:val="700D7F77"/>
    <w:rsid w:val="700F1F41"/>
    <w:rsid w:val="7011663B"/>
    <w:rsid w:val="70141305"/>
    <w:rsid w:val="70161521"/>
    <w:rsid w:val="70180D6C"/>
    <w:rsid w:val="70180DF5"/>
    <w:rsid w:val="70187C42"/>
    <w:rsid w:val="701B08E6"/>
    <w:rsid w:val="701C72FC"/>
    <w:rsid w:val="701D28B0"/>
    <w:rsid w:val="7020414E"/>
    <w:rsid w:val="702275C0"/>
    <w:rsid w:val="70271038"/>
    <w:rsid w:val="70295378"/>
    <w:rsid w:val="702C6C6F"/>
    <w:rsid w:val="702F3904"/>
    <w:rsid w:val="703025E3"/>
    <w:rsid w:val="70313C65"/>
    <w:rsid w:val="7031449B"/>
    <w:rsid w:val="70352E65"/>
    <w:rsid w:val="70357BF9"/>
    <w:rsid w:val="703947D7"/>
    <w:rsid w:val="703A5210"/>
    <w:rsid w:val="703E3F17"/>
    <w:rsid w:val="703F2826"/>
    <w:rsid w:val="704240C4"/>
    <w:rsid w:val="7043462E"/>
    <w:rsid w:val="704476FF"/>
    <w:rsid w:val="70476FB4"/>
    <w:rsid w:val="70483DB6"/>
    <w:rsid w:val="70492654"/>
    <w:rsid w:val="704A4AC6"/>
    <w:rsid w:val="704E0CBB"/>
    <w:rsid w:val="705362D1"/>
    <w:rsid w:val="70567B70"/>
    <w:rsid w:val="70602224"/>
    <w:rsid w:val="7060454A"/>
    <w:rsid w:val="70626515"/>
    <w:rsid w:val="70652AEE"/>
    <w:rsid w:val="70666005"/>
    <w:rsid w:val="706731CF"/>
    <w:rsid w:val="70683D6E"/>
    <w:rsid w:val="706933FF"/>
    <w:rsid w:val="706C1141"/>
    <w:rsid w:val="706D1DD0"/>
    <w:rsid w:val="70707057"/>
    <w:rsid w:val="70720886"/>
    <w:rsid w:val="70722A8E"/>
    <w:rsid w:val="70726E22"/>
    <w:rsid w:val="70785D38"/>
    <w:rsid w:val="707D6EAA"/>
    <w:rsid w:val="7080196A"/>
    <w:rsid w:val="70856B87"/>
    <w:rsid w:val="70875F7B"/>
    <w:rsid w:val="70893AA1"/>
    <w:rsid w:val="7089584F"/>
    <w:rsid w:val="708B5A6B"/>
    <w:rsid w:val="709223F1"/>
    <w:rsid w:val="709D12FB"/>
    <w:rsid w:val="709E6598"/>
    <w:rsid w:val="70A14E0C"/>
    <w:rsid w:val="70A23BFA"/>
    <w:rsid w:val="70A94143"/>
    <w:rsid w:val="70A95EF1"/>
    <w:rsid w:val="70AE52B6"/>
    <w:rsid w:val="70AF7F0C"/>
    <w:rsid w:val="70B0102E"/>
    <w:rsid w:val="70B054D2"/>
    <w:rsid w:val="70B278F0"/>
    <w:rsid w:val="70B442FB"/>
    <w:rsid w:val="70B825D8"/>
    <w:rsid w:val="70BA3C5B"/>
    <w:rsid w:val="70BC5C25"/>
    <w:rsid w:val="70C26FB3"/>
    <w:rsid w:val="70C3664D"/>
    <w:rsid w:val="70C57C29"/>
    <w:rsid w:val="70C66AA3"/>
    <w:rsid w:val="70C920F0"/>
    <w:rsid w:val="70C932BA"/>
    <w:rsid w:val="70CB5E68"/>
    <w:rsid w:val="70CC354D"/>
    <w:rsid w:val="70CD51DD"/>
    <w:rsid w:val="70CE3BAA"/>
    <w:rsid w:val="70D10A62"/>
    <w:rsid w:val="70D429B5"/>
    <w:rsid w:val="70D527EE"/>
    <w:rsid w:val="70D54F38"/>
    <w:rsid w:val="70D61864"/>
    <w:rsid w:val="70D86668"/>
    <w:rsid w:val="70D94A29"/>
    <w:rsid w:val="70DB09F0"/>
    <w:rsid w:val="70DC1E23"/>
    <w:rsid w:val="70DD1E39"/>
    <w:rsid w:val="70DF36C1"/>
    <w:rsid w:val="70E37B76"/>
    <w:rsid w:val="70E46F2A"/>
    <w:rsid w:val="70E84C6C"/>
    <w:rsid w:val="70E874A2"/>
    <w:rsid w:val="70E87D2E"/>
    <w:rsid w:val="70EE1B56"/>
    <w:rsid w:val="70F5346D"/>
    <w:rsid w:val="70F74EAF"/>
    <w:rsid w:val="70F96E79"/>
    <w:rsid w:val="70FA674D"/>
    <w:rsid w:val="70FE623D"/>
    <w:rsid w:val="7101188A"/>
    <w:rsid w:val="71022650"/>
    <w:rsid w:val="71044E9D"/>
    <w:rsid w:val="710C022E"/>
    <w:rsid w:val="710D7627"/>
    <w:rsid w:val="71107D1F"/>
    <w:rsid w:val="71125845"/>
    <w:rsid w:val="71146042"/>
    <w:rsid w:val="711517D9"/>
    <w:rsid w:val="71153587"/>
    <w:rsid w:val="711E1E29"/>
    <w:rsid w:val="71202E13"/>
    <w:rsid w:val="71203125"/>
    <w:rsid w:val="71211781"/>
    <w:rsid w:val="71211F2C"/>
    <w:rsid w:val="71213CDA"/>
    <w:rsid w:val="712505BB"/>
    <w:rsid w:val="7128150C"/>
    <w:rsid w:val="712A2F9D"/>
    <w:rsid w:val="712D6B22"/>
    <w:rsid w:val="712E483D"/>
    <w:rsid w:val="71321BB3"/>
    <w:rsid w:val="7133147E"/>
    <w:rsid w:val="713D7A09"/>
    <w:rsid w:val="713F02A4"/>
    <w:rsid w:val="71405103"/>
    <w:rsid w:val="714125CE"/>
    <w:rsid w:val="714527D8"/>
    <w:rsid w:val="71453E6C"/>
    <w:rsid w:val="71461992"/>
    <w:rsid w:val="71463740"/>
    <w:rsid w:val="71491244"/>
    <w:rsid w:val="714A1C1F"/>
    <w:rsid w:val="714B6FA9"/>
    <w:rsid w:val="714C1439"/>
    <w:rsid w:val="714C195A"/>
    <w:rsid w:val="714D2D21"/>
    <w:rsid w:val="714F4CEB"/>
    <w:rsid w:val="71502811"/>
    <w:rsid w:val="71520337"/>
    <w:rsid w:val="71535E5D"/>
    <w:rsid w:val="71566079"/>
    <w:rsid w:val="71597917"/>
    <w:rsid w:val="715A71EC"/>
    <w:rsid w:val="715B31D5"/>
    <w:rsid w:val="715B5300"/>
    <w:rsid w:val="715C2272"/>
    <w:rsid w:val="715C2F64"/>
    <w:rsid w:val="71681909"/>
    <w:rsid w:val="716A5126"/>
    <w:rsid w:val="716C3313"/>
    <w:rsid w:val="716D2E6C"/>
    <w:rsid w:val="716D6F1F"/>
    <w:rsid w:val="71705FC9"/>
    <w:rsid w:val="71716B9F"/>
    <w:rsid w:val="71724535"/>
    <w:rsid w:val="7174537B"/>
    <w:rsid w:val="717464FF"/>
    <w:rsid w:val="717B5AE0"/>
    <w:rsid w:val="717C3606"/>
    <w:rsid w:val="71823031"/>
    <w:rsid w:val="718304F0"/>
    <w:rsid w:val="718524BB"/>
    <w:rsid w:val="718A1CA9"/>
    <w:rsid w:val="718B3849"/>
    <w:rsid w:val="718C1A9B"/>
    <w:rsid w:val="71902C0D"/>
    <w:rsid w:val="71922E29"/>
    <w:rsid w:val="71940C37"/>
    <w:rsid w:val="719548BD"/>
    <w:rsid w:val="71956476"/>
    <w:rsid w:val="719941B8"/>
    <w:rsid w:val="719A3A8C"/>
    <w:rsid w:val="719C00E6"/>
    <w:rsid w:val="719D04F6"/>
    <w:rsid w:val="71A05546"/>
    <w:rsid w:val="71A60683"/>
    <w:rsid w:val="71AE37B9"/>
    <w:rsid w:val="71B2442F"/>
    <w:rsid w:val="71B40FF2"/>
    <w:rsid w:val="71B66B18"/>
    <w:rsid w:val="71BB412E"/>
    <w:rsid w:val="71C0420A"/>
    <w:rsid w:val="71C64881"/>
    <w:rsid w:val="71CD79BE"/>
    <w:rsid w:val="71CF4C44"/>
    <w:rsid w:val="71D074AE"/>
    <w:rsid w:val="71D27F8A"/>
    <w:rsid w:val="71D445CE"/>
    <w:rsid w:val="71D62D16"/>
    <w:rsid w:val="71D87170"/>
    <w:rsid w:val="71D90A58"/>
    <w:rsid w:val="71DB657E"/>
    <w:rsid w:val="71DC40A5"/>
    <w:rsid w:val="71DD11C4"/>
    <w:rsid w:val="71DD14ED"/>
    <w:rsid w:val="71DD22F7"/>
    <w:rsid w:val="71E03B95"/>
    <w:rsid w:val="71E65A23"/>
    <w:rsid w:val="71E95D97"/>
    <w:rsid w:val="71EB37EB"/>
    <w:rsid w:val="71ED1E0E"/>
    <w:rsid w:val="71F17B50"/>
    <w:rsid w:val="71F32978"/>
    <w:rsid w:val="71F612B6"/>
    <w:rsid w:val="71F65166"/>
    <w:rsid w:val="71F907B3"/>
    <w:rsid w:val="71FA110A"/>
    <w:rsid w:val="71FC02A3"/>
    <w:rsid w:val="71FD4747"/>
    <w:rsid w:val="71FF6EA4"/>
    <w:rsid w:val="72001B41"/>
    <w:rsid w:val="720023AB"/>
    <w:rsid w:val="7201319A"/>
    <w:rsid w:val="72021D5D"/>
    <w:rsid w:val="72031631"/>
    <w:rsid w:val="720421BC"/>
    <w:rsid w:val="72084E9A"/>
    <w:rsid w:val="72086C48"/>
    <w:rsid w:val="720C6738"/>
    <w:rsid w:val="7211730E"/>
    <w:rsid w:val="72125C50"/>
    <w:rsid w:val="72130821"/>
    <w:rsid w:val="72141A90"/>
    <w:rsid w:val="721455EC"/>
    <w:rsid w:val="72190E55"/>
    <w:rsid w:val="721D0945"/>
    <w:rsid w:val="72200435"/>
    <w:rsid w:val="72203F91"/>
    <w:rsid w:val="72275320"/>
    <w:rsid w:val="72282783"/>
    <w:rsid w:val="722A12B4"/>
    <w:rsid w:val="72326B41"/>
    <w:rsid w:val="72345C8F"/>
    <w:rsid w:val="7238577F"/>
    <w:rsid w:val="723B0DCB"/>
    <w:rsid w:val="723F4D5F"/>
    <w:rsid w:val="72420550"/>
    <w:rsid w:val="7244160F"/>
    <w:rsid w:val="72444124"/>
    <w:rsid w:val="72477770"/>
    <w:rsid w:val="724C51C6"/>
    <w:rsid w:val="724D0AFE"/>
    <w:rsid w:val="724F1F27"/>
    <w:rsid w:val="725366A0"/>
    <w:rsid w:val="725400DF"/>
    <w:rsid w:val="72553024"/>
    <w:rsid w:val="7256696C"/>
    <w:rsid w:val="72580C48"/>
    <w:rsid w:val="725C0328"/>
    <w:rsid w:val="725C4FBE"/>
    <w:rsid w:val="7260609B"/>
    <w:rsid w:val="72620A4E"/>
    <w:rsid w:val="72640322"/>
    <w:rsid w:val="72644256"/>
    <w:rsid w:val="726454F7"/>
    <w:rsid w:val="726522EC"/>
    <w:rsid w:val="72655E48"/>
    <w:rsid w:val="72676064"/>
    <w:rsid w:val="726C2A3A"/>
    <w:rsid w:val="7270708A"/>
    <w:rsid w:val="72721022"/>
    <w:rsid w:val="72730565"/>
    <w:rsid w:val="72750781"/>
    <w:rsid w:val="727A179E"/>
    <w:rsid w:val="727C1BA4"/>
    <w:rsid w:val="727E6F0A"/>
    <w:rsid w:val="727F33AE"/>
    <w:rsid w:val="72827920"/>
    <w:rsid w:val="72850298"/>
    <w:rsid w:val="728549DF"/>
    <w:rsid w:val="728625D7"/>
    <w:rsid w:val="72872262"/>
    <w:rsid w:val="72874010"/>
    <w:rsid w:val="72875A4C"/>
    <w:rsid w:val="72885852"/>
    <w:rsid w:val="728B515C"/>
    <w:rsid w:val="728C7879"/>
    <w:rsid w:val="728E1521"/>
    <w:rsid w:val="728F1117"/>
    <w:rsid w:val="72930C07"/>
    <w:rsid w:val="729606F7"/>
    <w:rsid w:val="729B6301"/>
    <w:rsid w:val="729C5A75"/>
    <w:rsid w:val="729F5682"/>
    <w:rsid w:val="729F57FE"/>
    <w:rsid w:val="72A045DC"/>
    <w:rsid w:val="72A44BC2"/>
    <w:rsid w:val="72A93F87"/>
    <w:rsid w:val="72B017B9"/>
    <w:rsid w:val="72B03567"/>
    <w:rsid w:val="72B312A9"/>
    <w:rsid w:val="72B61A60"/>
    <w:rsid w:val="72B875F5"/>
    <w:rsid w:val="72B91ACC"/>
    <w:rsid w:val="72BF19FC"/>
    <w:rsid w:val="72C07522"/>
    <w:rsid w:val="72C2773E"/>
    <w:rsid w:val="72C65FD5"/>
    <w:rsid w:val="72CE60E3"/>
    <w:rsid w:val="72D27149"/>
    <w:rsid w:val="72D27981"/>
    <w:rsid w:val="72D73447"/>
    <w:rsid w:val="72D923EE"/>
    <w:rsid w:val="72DB435C"/>
    <w:rsid w:val="72DB4826"/>
    <w:rsid w:val="72DC25AE"/>
    <w:rsid w:val="72E01973"/>
    <w:rsid w:val="72E421C6"/>
    <w:rsid w:val="72E66F89"/>
    <w:rsid w:val="72EC1713"/>
    <w:rsid w:val="72EC44F4"/>
    <w:rsid w:val="72F00843"/>
    <w:rsid w:val="72F247EE"/>
    <w:rsid w:val="72F83160"/>
    <w:rsid w:val="72F97723"/>
    <w:rsid w:val="72FD42D3"/>
    <w:rsid w:val="72FF4E4D"/>
    <w:rsid w:val="73010267"/>
    <w:rsid w:val="730438B3"/>
    <w:rsid w:val="73045661"/>
    <w:rsid w:val="730579C3"/>
    <w:rsid w:val="73082679"/>
    <w:rsid w:val="730833A3"/>
    <w:rsid w:val="73087218"/>
    <w:rsid w:val="730A0D93"/>
    <w:rsid w:val="730A3279"/>
    <w:rsid w:val="730C2768"/>
    <w:rsid w:val="730E028E"/>
    <w:rsid w:val="730E4732"/>
    <w:rsid w:val="730F6635"/>
    <w:rsid w:val="73122968"/>
    <w:rsid w:val="731629DD"/>
    <w:rsid w:val="73165394"/>
    <w:rsid w:val="731735E6"/>
    <w:rsid w:val="73186167"/>
    <w:rsid w:val="731C0C59"/>
    <w:rsid w:val="731F5D5E"/>
    <w:rsid w:val="73245D03"/>
    <w:rsid w:val="73263829"/>
    <w:rsid w:val="732775A1"/>
    <w:rsid w:val="7329156C"/>
    <w:rsid w:val="732950C8"/>
    <w:rsid w:val="732B25B2"/>
    <w:rsid w:val="732C5ED6"/>
    <w:rsid w:val="732C65AC"/>
    <w:rsid w:val="732D4F74"/>
    <w:rsid w:val="733221CE"/>
    <w:rsid w:val="73364007"/>
    <w:rsid w:val="733D289D"/>
    <w:rsid w:val="733F22F6"/>
    <w:rsid w:val="733F6699"/>
    <w:rsid w:val="734134FF"/>
    <w:rsid w:val="73426189"/>
    <w:rsid w:val="73440153"/>
    <w:rsid w:val="73463ECB"/>
    <w:rsid w:val="7348346F"/>
    <w:rsid w:val="7349576A"/>
    <w:rsid w:val="73497518"/>
    <w:rsid w:val="735063D7"/>
    <w:rsid w:val="73552361"/>
    <w:rsid w:val="7355410F"/>
    <w:rsid w:val="73555FE9"/>
    <w:rsid w:val="73572D10"/>
    <w:rsid w:val="73591E51"/>
    <w:rsid w:val="735941EA"/>
    <w:rsid w:val="735A34D3"/>
    <w:rsid w:val="735A6AC0"/>
    <w:rsid w:val="735A7977"/>
    <w:rsid w:val="735F0AE9"/>
    <w:rsid w:val="73634A7D"/>
    <w:rsid w:val="73653BD3"/>
    <w:rsid w:val="7366473B"/>
    <w:rsid w:val="73691968"/>
    <w:rsid w:val="7372081D"/>
    <w:rsid w:val="73722F12"/>
    <w:rsid w:val="737427E7"/>
    <w:rsid w:val="737511A4"/>
    <w:rsid w:val="73760C83"/>
    <w:rsid w:val="737733D7"/>
    <w:rsid w:val="73773F76"/>
    <w:rsid w:val="737A5923"/>
    <w:rsid w:val="737C5B3F"/>
    <w:rsid w:val="737C78ED"/>
    <w:rsid w:val="737E3665"/>
    <w:rsid w:val="737F2F3A"/>
    <w:rsid w:val="73814F04"/>
    <w:rsid w:val="73830C7C"/>
    <w:rsid w:val="73832858"/>
    <w:rsid w:val="73840550"/>
    <w:rsid w:val="7386076C"/>
    <w:rsid w:val="738642C8"/>
    <w:rsid w:val="73881D40"/>
    <w:rsid w:val="73890FDE"/>
    <w:rsid w:val="73895B03"/>
    <w:rsid w:val="738B7B30"/>
    <w:rsid w:val="738F5872"/>
    <w:rsid w:val="73927111"/>
    <w:rsid w:val="73940CB8"/>
    <w:rsid w:val="73942E89"/>
    <w:rsid w:val="739A7555"/>
    <w:rsid w:val="739E7864"/>
    <w:rsid w:val="73A01012"/>
    <w:rsid w:val="73A17EFA"/>
    <w:rsid w:val="73A40BF2"/>
    <w:rsid w:val="73A6496A"/>
    <w:rsid w:val="73A77042"/>
    <w:rsid w:val="73A86934"/>
    <w:rsid w:val="73A979E7"/>
    <w:rsid w:val="73AD5CF9"/>
    <w:rsid w:val="73AF381F"/>
    <w:rsid w:val="73B0236C"/>
    <w:rsid w:val="73B11254"/>
    <w:rsid w:val="73B9469D"/>
    <w:rsid w:val="73BB6668"/>
    <w:rsid w:val="73BC5F3C"/>
    <w:rsid w:val="73BE521F"/>
    <w:rsid w:val="73C03C7E"/>
    <w:rsid w:val="73C13552"/>
    <w:rsid w:val="73C44DF0"/>
    <w:rsid w:val="73C51AD5"/>
    <w:rsid w:val="73C66DBA"/>
    <w:rsid w:val="73CA0659"/>
    <w:rsid w:val="73CD639B"/>
    <w:rsid w:val="73D72923"/>
    <w:rsid w:val="73D72A64"/>
    <w:rsid w:val="73DD4830"/>
    <w:rsid w:val="73DE2356"/>
    <w:rsid w:val="73DF1CAA"/>
    <w:rsid w:val="73DF33AB"/>
    <w:rsid w:val="73E01C2A"/>
    <w:rsid w:val="73E21E46"/>
    <w:rsid w:val="73E57C39"/>
    <w:rsid w:val="73EB05CF"/>
    <w:rsid w:val="73EF6311"/>
    <w:rsid w:val="73F12089"/>
    <w:rsid w:val="73F27BAF"/>
    <w:rsid w:val="73F456D6"/>
    <w:rsid w:val="73F571A4"/>
    <w:rsid w:val="73F61526"/>
    <w:rsid w:val="73F73418"/>
    <w:rsid w:val="73F76F74"/>
    <w:rsid w:val="73F95484"/>
    <w:rsid w:val="73F97190"/>
    <w:rsid w:val="73FE0302"/>
    <w:rsid w:val="740578E3"/>
    <w:rsid w:val="74100036"/>
    <w:rsid w:val="74130252"/>
    <w:rsid w:val="74145D78"/>
    <w:rsid w:val="7416564C"/>
    <w:rsid w:val="741B2C62"/>
    <w:rsid w:val="741C570D"/>
    <w:rsid w:val="741D2552"/>
    <w:rsid w:val="741E793C"/>
    <w:rsid w:val="7420296E"/>
    <w:rsid w:val="7425394E"/>
    <w:rsid w:val="74261463"/>
    <w:rsid w:val="74275AAB"/>
    <w:rsid w:val="742A559B"/>
    <w:rsid w:val="742C1313"/>
    <w:rsid w:val="7430558A"/>
    <w:rsid w:val="74373814"/>
    <w:rsid w:val="74392A0E"/>
    <w:rsid w:val="743A04AC"/>
    <w:rsid w:val="7440091B"/>
    <w:rsid w:val="74404DBF"/>
    <w:rsid w:val="74413164"/>
    <w:rsid w:val="744228E5"/>
    <w:rsid w:val="744318F3"/>
    <w:rsid w:val="74471CA9"/>
    <w:rsid w:val="7447614D"/>
    <w:rsid w:val="744A1799"/>
    <w:rsid w:val="744D11B3"/>
    <w:rsid w:val="745368A0"/>
    <w:rsid w:val="7456013E"/>
    <w:rsid w:val="74561EEC"/>
    <w:rsid w:val="74582108"/>
    <w:rsid w:val="745B7503"/>
    <w:rsid w:val="745C24F1"/>
    <w:rsid w:val="745D4D57"/>
    <w:rsid w:val="745E3944"/>
    <w:rsid w:val="745F6056"/>
    <w:rsid w:val="74602D6B"/>
    <w:rsid w:val="746565D3"/>
    <w:rsid w:val="746A0C2F"/>
    <w:rsid w:val="746C1710"/>
    <w:rsid w:val="746C5BB4"/>
    <w:rsid w:val="746D0776"/>
    <w:rsid w:val="747405C4"/>
    <w:rsid w:val="747A3995"/>
    <w:rsid w:val="747F7695"/>
    <w:rsid w:val="74836A59"/>
    <w:rsid w:val="74856C0D"/>
    <w:rsid w:val="74856C75"/>
    <w:rsid w:val="74867D6E"/>
    <w:rsid w:val="7487654A"/>
    <w:rsid w:val="7489557A"/>
    <w:rsid w:val="748C3B60"/>
    <w:rsid w:val="74936C9D"/>
    <w:rsid w:val="74940C67"/>
    <w:rsid w:val="74956EB9"/>
    <w:rsid w:val="74962C31"/>
    <w:rsid w:val="74964A32"/>
    <w:rsid w:val="74980757"/>
    <w:rsid w:val="749C3F3F"/>
    <w:rsid w:val="74A0585D"/>
    <w:rsid w:val="74A215D5"/>
    <w:rsid w:val="74A7141D"/>
    <w:rsid w:val="74A964C0"/>
    <w:rsid w:val="74B03CF2"/>
    <w:rsid w:val="74B133B5"/>
    <w:rsid w:val="74B15375"/>
    <w:rsid w:val="74B54B5C"/>
    <w:rsid w:val="74B82BA7"/>
    <w:rsid w:val="74B86703"/>
    <w:rsid w:val="74BD364F"/>
    <w:rsid w:val="74C26CEC"/>
    <w:rsid w:val="74C755EA"/>
    <w:rsid w:val="74CB0B2C"/>
    <w:rsid w:val="74CB28DA"/>
    <w:rsid w:val="74CE23CA"/>
    <w:rsid w:val="74CF1C9F"/>
    <w:rsid w:val="74CF64A8"/>
    <w:rsid w:val="74D03595"/>
    <w:rsid w:val="74D11B16"/>
    <w:rsid w:val="74DF6386"/>
    <w:rsid w:val="74E12B05"/>
    <w:rsid w:val="74E2279A"/>
    <w:rsid w:val="74E53C2B"/>
    <w:rsid w:val="74E7523A"/>
    <w:rsid w:val="74EB4D2A"/>
    <w:rsid w:val="74F11C15"/>
    <w:rsid w:val="74F160B9"/>
    <w:rsid w:val="74F5489D"/>
    <w:rsid w:val="74F6722B"/>
    <w:rsid w:val="74F811F5"/>
    <w:rsid w:val="74F97F2D"/>
    <w:rsid w:val="74FE35BE"/>
    <w:rsid w:val="74FF415D"/>
    <w:rsid w:val="750000AA"/>
    <w:rsid w:val="750202C6"/>
    <w:rsid w:val="750379B1"/>
    <w:rsid w:val="75047B9A"/>
    <w:rsid w:val="75064800"/>
    <w:rsid w:val="75093403"/>
    <w:rsid w:val="750951B1"/>
    <w:rsid w:val="750D14EF"/>
    <w:rsid w:val="750E0A19"/>
    <w:rsid w:val="750F3DE0"/>
    <w:rsid w:val="75157FF9"/>
    <w:rsid w:val="75171229"/>
    <w:rsid w:val="751A116C"/>
    <w:rsid w:val="751D6EAE"/>
    <w:rsid w:val="75232716"/>
    <w:rsid w:val="75260D1D"/>
    <w:rsid w:val="75272823"/>
    <w:rsid w:val="752913AF"/>
    <w:rsid w:val="75292E35"/>
    <w:rsid w:val="7529740C"/>
    <w:rsid w:val="75297777"/>
    <w:rsid w:val="752C0E9F"/>
    <w:rsid w:val="752E2E69"/>
    <w:rsid w:val="752E4C17"/>
    <w:rsid w:val="753164B5"/>
    <w:rsid w:val="7533222E"/>
    <w:rsid w:val="7535499E"/>
    <w:rsid w:val="75387844"/>
    <w:rsid w:val="75466405"/>
    <w:rsid w:val="75473619"/>
    <w:rsid w:val="7548217D"/>
    <w:rsid w:val="754937FF"/>
    <w:rsid w:val="75501031"/>
    <w:rsid w:val="75597714"/>
    <w:rsid w:val="755C3532"/>
    <w:rsid w:val="755D54FC"/>
    <w:rsid w:val="7561323F"/>
    <w:rsid w:val="756305D4"/>
    <w:rsid w:val="756560C4"/>
    <w:rsid w:val="75680227"/>
    <w:rsid w:val="756B19C7"/>
    <w:rsid w:val="756D573F"/>
    <w:rsid w:val="75703482"/>
    <w:rsid w:val="75736ACE"/>
    <w:rsid w:val="757410A2"/>
    <w:rsid w:val="75752846"/>
    <w:rsid w:val="7576042F"/>
    <w:rsid w:val="757765BE"/>
    <w:rsid w:val="757A60AE"/>
    <w:rsid w:val="757C3BD5"/>
    <w:rsid w:val="757C5983"/>
    <w:rsid w:val="757D656B"/>
    <w:rsid w:val="757F36C5"/>
    <w:rsid w:val="75805AAF"/>
    <w:rsid w:val="758111EB"/>
    <w:rsid w:val="75857C5E"/>
    <w:rsid w:val="75863F12"/>
    <w:rsid w:val="758B30E4"/>
    <w:rsid w:val="75913BF6"/>
    <w:rsid w:val="759247A9"/>
    <w:rsid w:val="75930F1E"/>
    <w:rsid w:val="759A405B"/>
    <w:rsid w:val="759C430F"/>
    <w:rsid w:val="759C6025"/>
    <w:rsid w:val="759E3B4B"/>
    <w:rsid w:val="759F5B15"/>
    <w:rsid w:val="75A1188D"/>
    <w:rsid w:val="75AC4804"/>
    <w:rsid w:val="75B0387E"/>
    <w:rsid w:val="75B47E40"/>
    <w:rsid w:val="75B83648"/>
    <w:rsid w:val="75BC0475"/>
    <w:rsid w:val="75BF3AC1"/>
    <w:rsid w:val="75C612F4"/>
    <w:rsid w:val="75C8506C"/>
    <w:rsid w:val="75CA7FD0"/>
    <w:rsid w:val="75CF01A8"/>
    <w:rsid w:val="75D21A46"/>
    <w:rsid w:val="75D25EEA"/>
    <w:rsid w:val="75D30DD8"/>
    <w:rsid w:val="75D51537"/>
    <w:rsid w:val="75D5688C"/>
    <w:rsid w:val="75D6274E"/>
    <w:rsid w:val="75D67789"/>
    <w:rsid w:val="75D73501"/>
    <w:rsid w:val="75D7370F"/>
    <w:rsid w:val="75D76CB4"/>
    <w:rsid w:val="75D7705D"/>
    <w:rsid w:val="75D825F8"/>
    <w:rsid w:val="75DC28C5"/>
    <w:rsid w:val="75DC4C1B"/>
    <w:rsid w:val="75DD619C"/>
    <w:rsid w:val="75DE663D"/>
    <w:rsid w:val="75E672A0"/>
    <w:rsid w:val="75E9080F"/>
    <w:rsid w:val="75E97310"/>
    <w:rsid w:val="75EA0EF3"/>
    <w:rsid w:val="75EB0D5A"/>
    <w:rsid w:val="75ED6880"/>
    <w:rsid w:val="75EF1A41"/>
    <w:rsid w:val="75F05AFC"/>
    <w:rsid w:val="75F25C45"/>
    <w:rsid w:val="75F55735"/>
    <w:rsid w:val="75F914CB"/>
    <w:rsid w:val="76013E56"/>
    <w:rsid w:val="760327D0"/>
    <w:rsid w:val="76037E52"/>
    <w:rsid w:val="760442A1"/>
    <w:rsid w:val="76051E1C"/>
    <w:rsid w:val="76093AD5"/>
    <w:rsid w:val="76097931"/>
    <w:rsid w:val="760D0CD1"/>
    <w:rsid w:val="760F4A49"/>
    <w:rsid w:val="76114FAD"/>
    <w:rsid w:val="76132D7E"/>
    <w:rsid w:val="76143E0D"/>
    <w:rsid w:val="76165DD7"/>
    <w:rsid w:val="76193DFA"/>
    <w:rsid w:val="761E2EDE"/>
    <w:rsid w:val="761E4C8C"/>
    <w:rsid w:val="76263B40"/>
    <w:rsid w:val="76277FE4"/>
    <w:rsid w:val="76285B0A"/>
    <w:rsid w:val="762878B8"/>
    <w:rsid w:val="76311DC8"/>
    <w:rsid w:val="763174AC"/>
    <w:rsid w:val="7634625D"/>
    <w:rsid w:val="7635099D"/>
    <w:rsid w:val="76361FD5"/>
    <w:rsid w:val="76371E5E"/>
    <w:rsid w:val="763829FD"/>
    <w:rsid w:val="76393874"/>
    <w:rsid w:val="763C15B6"/>
    <w:rsid w:val="763C5112"/>
    <w:rsid w:val="763E532E"/>
    <w:rsid w:val="764510FA"/>
    <w:rsid w:val="764865EB"/>
    <w:rsid w:val="764A0F0B"/>
    <w:rsid w:val="764E19CF"/>
    <w:rsid w:val="764F3097"/>
    <w:rsid w:val="76505BD1"/>
    <w:rsid w:val="76525BE7"/>
    <w:rsid w:val="76536785"/>
    <w:rsid w:val="765468FF"/>
    <w:rsid w:val="765C7562"/>
    <w:rsid w:val="765D3A06"/>
    <w:rsid w:val="7660015C"/>
    <w:rsid w:val="76636B42"/>
    <w:rsid w:val="76647254"/>
    <w:rsid w:val="7666438C"/>
    <w:rsid w:val="7668312F"/>
    <w:rsid w:val="766A4573"/>
    <w:rsid w:val="766F145A"/>
    <w:rsid w:val="76742AFE"/>
    <w:rsid w:val="76746FA2"/>
    <w:rsid w:val="76752701"/>
    <w:rsid w:val="767B3E8C"/>
    <w:rsid w:val="76805946"/>
    <w:rsid w:val="76856858"/>
    <w:rsid w:val="768674F2"/>
    <w:rsid w:val="768C42EB"/>
    <w:rsid w:val="768C7E47"/>
    <w:rsid w:val="768E1E11"/>
    <w:rsid w:val="768F7938"/>
    <w:rsid w:val="76937428"/>
    <w:rsid w:val="76967C55"/>
    <w:rsid w:val="769E5DCD"/>
    <w:rsid w:val="76A01B45"/>
    <w:rsid w:val="76A21419"/>
    <w:rsid w:val="76A25AB4"/>
    <w:rsid w:val="76A33AA3"/>
    <w:rsid w:val="76A431DF"/>
    <w:rsid w:val="76A74C81"/>
    <w:rsid w:val="76A9682B"/>
    <w:rsid w:val="76AA6412"/>
    <w:rsid w:val="76AE0F04"/>
    <w:rsid w:val="76AF3B36"/>
    <w:rsid w:val="76B31878"/>
    <w:rsid w:val="76B4739E"/>
    <w:rsid w:val="76B5004F"/>
    <w:rsid w:val="76B56D56"/>
    <w:rsid w:val="76B63F2A"/>
    <w:rsid w:val="76B850E0"/>
    <w:rsid w:val="76B86E8E"/>
    <w:rsid w:val="76BC3479"/>
    <w:rsid w:val="76BD4BB7"/>
    <w:rsid w:val="76BF646F"/>
    <w:rsid w:val="76C05D43"/>
    <w:rsid w:val="76C07AF1"/>
    <w:rsid w:val="76C34367"/>
    <w:rsid w:val="76C415FC"/>
    <w:rsid w:val="76C84BF7"/>
    <w:rsid w:val="76CA0970"/>
    <w:rsid w:val="76CC293A"/>
    <w:rsid w:val="76CD220E"/>
    <w:rsid w:val="76CD2CF7"/>
    <w:rsid w:val="76D076A2"/>
    <w:rsid w:val="76D17F50"/>
    <w:rsid w:val="76D31F1A"/>
    <w:rsid w:val="76D637B8"/>
    <w:rsid w:val="76DA293A"/>
    <w:rsid w:val="76DB0DCF"/>
    <w:rsid w:val="76DF08BF"/>
    <w:rsid w:val="76E23F0B"/>
    <w:rsid w:val="76E52316"/>
    <w:rsid w:val="76E934EC"/>
    <w:rsid w:val="76ED0854"/>
    <w:rsid w:val="76EF03D6"/>
    <w:rsid w:val="76F02B96"/>
    <w:rsid w:val="76F12774"/>
    <w:rsid w:val="76F31C74"/>
    <w:rsid w:val="76F374B5"/>
    <w:rsid w:val="76F93003"/>
    <w:rsid w:val="76F94484"/>
    <w:rsid w:val="76F97D3E"/>
    <w:rsid w:val="76FA00C0"/>
    <w:rsid w:val="76FA0CDE"/>
    <w:rsid w:val="76FA2168"/>
    <w:rsid w:val="76FA74A7"/>
    <w:rsid w:val="76FB0145"/>
    <w:rsid w:val="76FB48C2"/>
    <w:rsid w:val="76FC091F"/>
    <w:rsid w:val="76FD35AD"/>
    <w:rsid w:val="770245AD"/>
    <w:rsid w:val="77035C3C"/>
    <w:rsid w:val="77045F42"/>
    <w:rsid w:val="770562E1"/>
    <w:rsid w:val="77065E4C"/>
    <w:rsid w:val="770B3462"/>
    <w:rsid w:val="770E7A76"/>
    <w:rsid w:val="770F0FEE"/>
    <w:rsid w:val="77100A78"/>
    <w:rsid w:val="77133CA5"/>
    <w:rsid w:val="77170059"/>
    <w:rsid w:val="77195BE7"/>
    <w:rsid w:val="771A18F7"/>
    <w:rsid w:val="771A4A1A"/>
    <w:rsid w:val="771A5453"/>
    <w:rsid w:val="771B11CB"/>
    <w:rsid w:val="771F0CBB"/>
    <w:rsid w:val="77204A34"/>
    <w:rsid w:val="772067E2"/>
    <w:rsid w:val="772148DA"/>
    <w:rsid w:val="77230447"/>
    <w:rsid w:val="77244524"/>
    <w:rsid w:val="772462D2"/>
    <w:rsid w:val="77251ED9"/>
    <w:rsid w:val="772C5186"/>
    <w:rsid w:val="772E7150"/>
    <w:rsid w:val="7730111A"/>
    <w:rsid w:val="77313E6E"/>
    <w:rsid w:val="773329B9"/>
    <w:rsid w:val="7735228D"/>
    <w:rsid w:val="77365399"/>
    <w:rsid w:val="773D3837"/>
    <w:rsid w:val="773E351C"/>
    <w:rsid w:val="77400C32"/>
    <w:rsid w:val="77440722"/>
    <w:rsid w:val="77446974"/>
    <w:rsid w:val="7746449A"/>
    <w:rsid w:val="774921DC"/>
    <w:rsid w:val="77493F8A"/>
    <w:rsid w:val="774B1AB0"/>
    <w:rsid w:val="774C5829"/>
    <w:rsid w:val="774D3A7A"/>
    <w:rsid w:val="77505319"/>
    <w:rsid w:val="775070C7"/>
    <w:rsid w:val="77545989"/>
    <w:rsid w:val="77545B3E"/>
    <w:rsid w:val="775766A7"/>
    <w:rsid w:val="775822F8"/>
    <w:rsid w:val="7758241F"/>
    <w:rsid w:val="775A26DD"/>
    <w:rsid w:val="775C1580"/>
    <w:rsid w:val="77601E75"/>
    <w:rsid w:val="77620166"/>
    <w:rsid w:val="77633B57"/>
    <w:rsid w:val="776500DC"/>
    <w:rsid w:val="7769462C"/>
    <w:rsid w:val="776963DA"/>
    <w:rsid w:val="776A5740"/>
    <w:rsid w:val="776B5CAF"/>
    <w:rsid w:val="776F69E1"/>
    <w:rsid w:val="7770053A"/>
    <w:rsid w:val="77702E64"/>
    <w:rsid w:val="777036F0"/>
    <w:rsid w:val="77707769"/>
    <w:rsid w:val="77737259"/>
    <w:rsid w:val="7773779A"/>
    <w:rsid w:val="77752FD1"/>
    <w:rsid w:val="77754D7F"/>
    <w:rsid w:val="77762421"/>
    <w:rsid w:val="777D3C34"/>
    <w:rsid w:val="777D59E2"/>
    <w:rsid w:val="777F4BFF"/>
    <w:rsid w:val="77813724"/>
    <w:rsid w:val="778407F8"/>
    <w:rsid w:val="778B42C3"/>
    <w:rsid w:val="778C06AA"/>
    <w:rsid w:val="778E4093"/>
    <w:rsid w:val="77901BB9"/>
    <w:rsid w:val="77904DB5"/>
    <w:rsid w:val="77927A79"/>
    <w:rsid w:val="77935205"/>
    <w:rsid w:val="77955421"/>
    <w:rsid w:val="7795704B"/>
    <w:rsid w:val="779C0950"/>
    <w:rsid w:val="779C230C"/>
    <w:rsid w:val="779F004E"/>
    <w:rsid w:val="77A13D64"/>
    <w:rsid w:val="77A45665"/>
    <w:rsid w:val="77A613DD"/>
    <w:rsid w:val="77A8625B"/>
    <w:rsid w:val="77A954AE"/>
    <w:rsid w:val="77A967D7"/>
    <w:rsid w:val="77B04039"/>
    <w:rsid w:val="77B07B65"/>
    <w:rsid w:val="77B533CE"/>
    <w:rsid w:val="77B56B1F"/>
    <w:rsid w:val="77BA6C36"/>
    <w:rsid w:val="77BD0907"/>
    <w:rsid w:val="77BF249E"/>
    <w:rsid w:val="77BF5FFA"/>
    <w:rsid w:val="77C1415C"/>
    <w:rsid w:val="77C27899"/>
    <w:rsid w:val="77C33D3D"/>
    <w:rsid w:val="77CB2BF1"/>
    <w:rsid w:val="77CB3207"/>
    <w:rsid w:val="77CD4BBB"/>
    <w:rsid w:val="77D24FF3"/>
    <w:rsid w:val="77D25D2E"/>
    <w:rsid w:val="77D54725"/>
    <w:rsid w:val="77D55B8F"/>
    <w:rsid w:val="77D777E8"/>
    <w:rsid w:val="77D914FF"/>
    <w:rsid w:val="77DA1086"/>
    <w:rsid w:val="77E14132"/>
    <w:rsid w:val="77E422D9"/>
    <w:rsid w:val="77E45A61"/>
    <w:rsid w:val="77E56067"/>
    <w:rsid w:val="77F02658"/>
    <w:rsid w:val="77F0668A"/>
    <w:rsid w:val="77F13C27"/>
    <w:rsid w:val="77F57C6E"/>
    <w:rsid w:val="77F62345"/>
    <w:rsid w:val="77F739E6"/>
    <w:rsid w:val="77FA34D6"/>
    <w:rsid w:val="77FA5285"/>
    <w:rsid w:val="77FB0FEB"/>
    <w:rsid w:val="78000AED"/>
    <w:rsid w:val="78012B52"/>
    <w:rsid w:val="78021AD7"/>
    <w:rsid w:val="78021E42"/>
    <w:rsid w:val="78061E7B"/>
    <w:rsid w:val="78076BBD"/>
    <w:rsid w:val="780A371A"/>
    <w:rsid w:val="780C55C6"/>
    <w:rsid w:val="780D320A"/>
    <w:rsid w:val="780D5A03"/>
    <w:rsid w:val="780E4529"/>
    <w:rsid w:val="780F09F4"/>
    <w:rsid w:val="780F0D30"/>
    <w:rsid w:val="78160310"/>
    <w:rsid w:val="78175E36"/>
    <w:rsid w:val="78191BAF"/>
    <w:rsid w:val="781C56D8"/>
    <w:rsid w:val="781D7D39"/>
    <w:rsid w:val="781F2ADC"/>
    <w:rsid w:val="781F4CEB"/>
    <w:rsid w:val="78237BA7"/>
    <w:rsid w:val="78250553"/>
    <w:rsid w:val="782642CC"/>
    <w:rsid w:val="782B3690"/>
    <w:rsid w:val="782C201B"/>
    <w:rsid w:val="782E6D7D"/>
    <w:rsid w:val="78324A1E"/>
    <w:rsid w:val="78340796"/>
    <w:rsid w:val="78342545"/>
    <w:rsid w:val="78370287"/>
    <w:rsid w:val="783833C6"/>
    <w:rsid w:val="783940FA"/>
    <w:rsid w:val="783B448C"/>
    <w:rsid w:val="783F0EE9"/>
    <w:rsid w:val="78434E7D"/>
    <w:rsid w:val="784529A4"/>
    <w:rsid w:val="78472EBC"/>
    <w:rsid w:val="78484242"/>
    <w:rsid w:val="78496E1F"/>
    <w:rsid w:val="78496FD5"/>
    <w:rsid w:val="784A7FBA"/>
    <w:rsid w:val="784F4642"/>
    <w:rsid w:val="784F55D0"/>
    <w:rsid w:val="78520C1D"/>
    <w:rsid w:val="78522986"/>
    <w:rsid w:val="78564BB1"/>
    <w:rsid w:val="785726D7"/>
    <w:rsid w:val="78576736"/>
    <w:rsid w:val="785D5F3F"/>
    <w:rsid w:val="7860158C"/>
    <w:rsid w:val="7860333A"/>
    <w:rsid w:val="786140D3"/>
    <w:rsid w:val="78630991"/>
    <w:rsid w:val="78632E2A"/>
    <w:rsid w:val="78656BA2"/>
    <w:rsid w:val="78680440"/>
    <w:rsid w:val="786A41B8"/>
    <w:rsid w:val="786C6182"/>
    <w:rsid w:val="78713799"/>
    <w:rsid w:val="78746DE5"/>
    <w:rsid w:val="78757AE0"/>
    <w:rsid w:val="78764C12"/>
    <w:rsid w:val="787768D5"/>
    <w:rsid w:val="787B4617"/>
    <w:rsid w:val="787C6C5D"/>
    <w:rsid w:val="78811502"/>
    <w:rsid w:val="788274D1"/>
    <w:rsid w:val="78827754"/>
    <w:rsid w:val="788334CC"/>
    <w:rsid w:val="78852DA0"/>
    <w:rsid w:val="78872FBC"/>
    <w:rsid w:val="78874D6A"/>
    <w:rsid w:val="788D7EA7"/>
    <w:rsid w:val="788F2E8E"/>
    <w:rsid w:val="78941235"/>
    <w:rsid w:val="78947487"/>
    <w:rsid w:val="789B0816"/>
    <w:rsid w:val="789B25C4"/>
    <w:rsid w:val="789B3CC7"/>
    <w:rsid w:val="789B7482"/>
    <w:rsid w:val="789D27E0"/>
    <w:rsid w:val="789F0582"/>
    <w:rsid w:val="78A148CA"/>
    <w:rsid w:val="78A23952"/>
    <w:rsid w:val="78A51694"/>
    <w:rsid w:val="78A551F0"/>
    <w:rsid w:val="78A70F68"/>
    <w:rsid w:val="78A84CE1"/>
    <w:rsid w:val="78A90480"/>
    <w:rsid w:val="78AA7377"/>
    <w:rsid w:val="78AD22F7"/>
    <w:rsid w:val="78AF42C1"/>
    <w:rsid w:val="78B30ED0"/>
    <w:rsid w:val="78B4669B"/>
    <w:rsid w:val="78B47B29"/>
    <w:rsid w:val="78B74F24"/>
    <w:rsid w:val="78BB2C66"/>
    <w:rsid w:val="78BF32A9"/>
    <w:rsid w:val="78C50714"/>
    <w:rsid w:val="78C52B63"/>
    <w:rsid w:val="78C55892"/>
    <w:rsid w:val="78CF20E1"/>
    <w:rsid w:val="78CF4963"/>
    <w:rsid w:val="78D15FE5"/>
    <w:rsid w:val="78D635FC"/>
    <w:rsid w:val="78DA631E"/>
    <w:rsid w:val="78DB5DFD"/>
    <w:rsid w:val="78DD498A"/>
    <w:rsid w:val="78DE0702"/>
    <w:rsid w:val="78E0091E"/>
    <w:rsid w:val="78E24696"/>
    <w:rsid w:val="78E42141"/>
    <w:rsid w:val="78E76B02"/>
    <w:rsid w:val="78EA52F9"/>
    <w:rsid w:val="78EA730D"/>
    <w:rsid w:val="78F13953"/>
    <w:rsid w:val="78F148D9"/>
    <w:rsid w:val="78F16688"/>
    <w:rsid w:val="78F61E52"/>
    <w:rsid w:val="78F671A8"/>
    <w:rsid w:val="78F735A3"/>
    <w:rsid w:val="78F817C4"/>
    <w:rsid w:val="78FB12B4"/>
    <w:rsid w:val="78FC16D0"/>
    <w:rsid w:val="78FE08A5"/>
    <w:rsid w:val="790068CB"/>
    <w:rsid w:val="790472E8"/>
    <w:rsid w:val="79050385"/>
    <w:rsid w:val="79053EE1"/>
    <w:rsid w:val="7906409F"/>
    <w:rsid w:val="79077C59"/>
    <w:rsid w:val="79091C23"/>
    <w:rsid w:val="790A599B"/>
    <w:rsid w:val="790B13E0"/>
    <w:rsid w:val="790D027A"/>
    <w:rsid w:val="790F4D60"/>
    <w:rsid w:val="79102556"/>
    <w:rsid w:val="79102FB2"/>
    <w:rsid w:val="79112886"/>
    <w:rsid w:val="79144124"/>
    <w:rsid w:val="79167E9C"/>
    <w:rsid w:val="791E1E0A"/>
    <w:rsid w:val="791F15DB"/>
    <w:rsid w:val="791F54A6"/>
    <w:rsid w:val="792425C0"/>
    <w:rsid w:val="79256331"/>
    <w:rsid w:val="792627D5"/>
    <w:rsid w:val="79294073"/>
    <w:rsid w:val="792A3355"/>
    <w:rsid w:val="792C5912"/>
    <w:rsid w:val="792E51E6"/>
    <w:rsid w:val="79312F28"/>
    <w:rsid w:val="7931480B"/>
    <w:rsid w:val="79345F2B"/>
    <w:rsid w:val="79366790"/>
    <w:rsid w:val="79370A36"/>
    <w:rsid w:val="794028E0"/>
    <w:rsid w:val="79406E32"/>
    <w:rsid w:val="79424C03"/>
    <w:rsid w:val="794629F3"/>
    <w:rsid w:val="794C1B10"/>
    <w:rsid w:val="794D6E35"/>
    <w:rsid w:val="794F33AE"/>
    <w:rsid w:val="79515378"/>
    <w:rsid w:val="79517126"/>
    <w:rsid w:val="795209AA"/>
    <w:rsid w:val="7956473D"/>
    <w:rsid w:val="79597C6D"/>
    <w:rsid w:val="795A247F"/>
    <w:rsid w:val="795B11E6"/>
    <w:rsid w:val="795D275F"/>
    <w:rsid w:val="796450AB"/>
    <w:rsid w:val="79654980"/>
    <w:rsid w:val="7967694A"/>
    <w:rsid w:val="79682D81"/>
    <w:rsid w:val="796B01E8"/>
    <w:rsid w:val="796B7926"/>
    <w:rsid w:val="796C21B2"/>
    <w:rsid w:val="79780B57"/>
    <w:rsid w:val="797A48CF"/>
    <w:rsid w:val="797B741B"/>
    <w:rsid w:val="797C08AB"/>
    <w:rsid w:val="797D43BF"/>
    <w:rsid w:val="797D616D"/>
    <w:rsid w:val="79865022"/>
    <w:rsid w:val="79891E16"/>
    <w:rsid w:val="798A42B2"/>
    <w:rsid w:val="799139C7"/>
    <w:rsid w:val="7997722F"/>
    <w:rsid w:val="799C1155"/>
    <w:rsid w:val="799E2C52"/>
    <w:rsid w:val="79A35A3D"/>
    <w:rsid w:val="79A436FA"/>
    <w:rsid w:val="79A75A82"/>
    <w:rsid w:val="79A82256"/>
    <w:rsid w:val="79A951B4"/>
    <w:rsid w:val="79AD3335"/>
    <w:rsid w:val="79B00498"/>
    <w:rsid w:val="79B50415"/>
    <w:rsid w:val="79B67668"/>
    <w:rsid w:val="79B80F53"/>
    <w:rsid w:val="79B847EB"/>
    <w:rsid w:val="79B853F7"/>
    <w:rsid w:val="79BA084C"/>
    <w:rsid w:val="79BA116F"/>
    <w:rsid w:val="79BE0C3F"/>
    <w:rsid w:val="79C426D1"/>
    <w:rsid w:val="79C769DC"/>
    <w:rsid w:val="79CB6ED9"/>
    <w:rsid w:val="79D12015"/>
    <w:rsid w:val="79D42561"/>
    <w:rsid w:val="79D815F5"/>
    <w:rsid w:val="79D833A4"/>
    <w:rsid w:val="79D97847"/>
    <w:rsid w:val="79DD09BA"/>
    <w:rsid w:val="79E24222"/>
    <w:rsid w:val="79E306C6"/>
    <w:rsid w:val="79E96C68"/>
    <w:rsid w:val="79EB757B"/>
    <w:rsid w:val="79F06E8E"/>
    <w:rsid w:val="79F24465"/>
    <w:rsid w:val="79F41B44"/>
    <w:rsid w:val="79F53F55"/>
    <w:rsid w:val="79F80A27"/>
    <w:rsid w:val="79F857F4"/>
    <w:rsid w:val="79FC1788"/>
    <w:rsid w:val="79FD0732"/>
    <w:rsid w:val="79FD2D2B"/>
    <w:rsid w:val="79FF3026"/>
    <w:rsid w:val="7A0128FA"/>
    <w:rsid w:val="7A014471"/>
    <w:rsid w:val="7A022808"/>
    <w:rsid w:val="7A024CAD"/>
    <w:rsid w:val="7A044199"/>
    <w:rsid w:val="7A057501"/>
    <w:rsid w:val="7A08012D"/>
    <w:rsid w:val="7A080935"/>
    <w:rsid w:val="7A081EDB"/>
    <w:rsid w:val="7A0A5C53"/>
    <w:rsid w:val="7A0B19CB"/>
    <w:rsid w:val="7A0B2CEA"/>
    <w:rsid w:val="7A0B3779"/>
    <w:rsid w:val="7A100D8F"/>
    <w:rsid w:val="7A161615"/>
    <w:rsid w:val="7A170370"/>
    <w:rsid w:val="7A187C44"/>
    <w:rsid w:val="7A1A5B66"/>
    <w:rsid w:val="7A1B0BBE"/>
    <w:rsid w:val="7A1C14E2"/>
    <w:rsid w:val="7A1D73D0"/>
    <w:rsid w:val="7A1E525A"/>
    <w:rsid w:val="7A213A5B"/>
    <w:rsid w:val="7A22135F"/>
    <w:rsid w:val="7A241A53"/>
    <w:rsid w:val="7A252A8D"/>
    <w:rsid w:val="7A256189"/>
    <w:rsid w:val="7A2605B3"/>
    <w:rsid w:val="7A27134B"/>
    <w:rsid w:val="7A2860D9"/>
    <w:rsid w:val="7A287E87"/>
    <w:rsid w:val="7A291E51"/>
    <w:rsid w:val="7A29339B"/>
    <w:rsid w:val="7A293BFF"/>
    <w:rsid w:val="7A2B7977"/>
    <w:rsid w:val="7A2D495B"/>
    <w:rsid w:val="7A2F3904"/>
    <w:rsid w:val="7A3251AA"/>
    <w:rsid w:val="7A326668"/>
    <w:rsid w:val="7A326F58"/>
    <w:rsid w:val="7A3525A4"/>
    <w:rsid w:val="7A356A48"/>
    <w:rsid w:val="7A364017"/>
    <w:rsid w:val="7A3852EC"/>
    <w:rsid w:val="7A4078C7"/>
    <w:rsid w:val="7A41363F"/>
    <w:rsid w:val="7A450285"/>
    <w:rsid w:val="7A454EDD"/>
    <w:rsid w:val="7A476B1B"/>
    <w:rsid w:val="7A4F18B8"/>
    <w:rsid w:val="7A5113F9"/>
    <w:rsid w:val="7A517F69"/>
    <w:rsid w:val="7A5549F4"/>
    <w:rsid w:val="7A560FD9"/>
    <w:rsid w:val="7A574C10"/>
    <w:rsid w:val="7A583B82"/>
    <w:rsid w:val="7A5944E4"/>
    <w:rsid w:val="7A603AC5"/>
    <w:rsid w:val="7A6115EB"/>
    <w:rsid w:val="7A637111"/>
    <w:rsid w:val="7A643E8C"/>
    <w:rsid w:val="7A6449BB"/>
    <w:rsid w:val="7A707A80"/>
    <w:rsid w:val="7A721A4A"/>
    <w:rsid w:val="7A737ACF"/>
    <w:rsid w:val="7A74066E"/>
    <w:rsid w:val="7A745707"/>
    <w:rsid w:val="7A7B26AD"/>
    <w:rsid w:val="7A7C4677"/>
    <w:rsid w:val="7A7C6425"/>
    <w:rsid w:val="7A8265E1"/>
    <w:rsid w:val="7A923E9A"/>
    <w:rsid w:val="7A9E45ED"/>
    <w:rsid w:val="7AA03EC1"/>
    <w:rsid w:val="7AA37E55"/>
    <w:rsid w:val="7AA6073C"/>
    <w:rsid w:val="7AA634A2"/>
    <w:rsid w:val="7AA65250"/>
    <w:rsid w:val="7AAC0AB8"/>
    <w:rsid w:val="7AAD65DE"/>
    <w:rsid w:val="7AAD6FA5"/>
    <w:rsid w:val="7AB12572"/>
    <w:rsid w:val="7AB7745D"/>
    <w:rsid w:val="7AB94F83"/>
    <w:rsid w:val="7ABB6F4D"/>
    <w:rsid w:val="7ABE07EB"/>
    <w:rsid w:val="7ABE6A3D"/>
    <w:rsid w:val="7AC322A6"/>
    <w:rsid w:val="7AC53928"/>
    <w:rsid w:val="7AC676A0"/>
    <w:rsid w:val="7AC758F2"/>
    <w:rsid w:val="7ACB3A3E"/>
    <w:rsid w:val="7ACB4CB6"/>
    <w:rsid w:val="7ACF0C4A"/>
    <w:rsid w:val="7AD26045"/>
    <w:rsid w:val="7AD41DBD"/>
    <w:rsid w:val="7AD61FD9"/>
    <w:rsid w:val="7AD63D87"/>
    <w:rsid w:val="7AD718AD"/>
    <w:rsid w:val="7ADE49EA"/>
    <w:rsid w:val="7AE2272C"/>
    <w:rsid w:val="7AE30252"/>
    <w:rsid w:val="7AE709F8"/>
    <w:rsid w:val="7AE75F94"/>
    <w:rsid w:val="7AE83ABA"/>
    <w:rsid w:val="7AED6C03"/>
    <w:rsid w:val="7AF1296F"/>
    <w:rsid w:val="7AF12F4C"/>
    <w:rsid w:val="7AF449C4"/>
    <w:rsid w:val="7AF7054B"/>
    <w:rsid w:val="7AFC477A"/>
    <w:rsid w:val="7B027357"/>
    <w:rsid w:val="7B031384"/>
    <w:rsid w:val="7B063660"/>
    <w:rsid w:val="7B1242D4"/>
    <w:rsid w:val="7B1419F1"/>
    <w:rsid w:val="7B1A0118"/>
    <w:rsid w:val="7B1A0DD3"/>
    <w:rsid w:val="7B1B79EC"/>
    <w:rsid w:val="7B1D7C08"/>
    <w:rsid w:val="7B203A85"/>
    <w:rsid w:val="7B206E8C"/>
    <w:rsid w:val="7B232648"/>
    <w:rsid w:val="7B29556A"/>
    <w:rsid w:val="7B2E3BC3"/>
    <w:rsid w:val="7B2E70E7"/>
    <w:rsid w:val="7B302338"/>
    <w:rsid w:val="7B31720F"/>
    <w:rsid w:val="7B393200"/>
    <w:rsid w:val="7B3A2568"/>
    <w:rsid w:val="7B4056A4"/>
    <w:rsid w:val="7B41739F"/>
    <w:rsid w:val="7B450F0D"/>
    <w:rsid w:val="7B452CBB"/>
    <w:rsid w:val="7B470F2D"/>
    <w:rsid w:val="7B4A207F"/>
    <w:rsid w:val="7B4C246F"/>
    <w:rsid w:val="7B4E008A"/>
    <w:rsid w:val="7B51165F"/>
    <w:rsid w:val="7B5353D8"/>
    <w:rsid w:val="7B542EFE"/>
    <w:rsid w:val="7B551150"/>
    <w:rsid w:val="7B5573A2"/>
    <w:rsid w:val="7B562C09"/>
    <w:rsid w:val="7B576EF9"/>
    <w:rsid w:val="7B5A49B8"/>
    <w:rsid w:val="7B5C345E"/>
    <w:rsid w:val="7B5C74C4"/>
    <w:rsid w:val="7B5F5B2A"/>
    <w:rsid w:val="7B612D4E"/>
    <w:rsid w:val="7B6475E5"/>
    <w:rsid w:val="7B656EB9"/>
    <w:rsid w:val="7B6770D5"/>
    <w:rsid w:val="7B686D42"/>
    <w:rsid w:val="7B687795"/>
    <w:rsid w:val="7B6A2721"/>
    <w:rsid w:val="7B6A44CF"/>
    <w:rsid w:val="7B6A4669"/>
    <w:rsid w:val="7B6A5DF1"/>
    <w:rsid w:val="7B6D77B5"/>
    <w:rsid w:val="7B6E3FBF"/>
    <w:rsid w:val="7B7018CD"/>
    <w:rsid w:val="7B7610C6"/>
    <w:rsid w:val="7B7722DD"/>
    <w:rsid w:val="7B7A20A7"/>
    <w:rsid w:val="7B7C56B2"/>
    <w:rsid w:val="7B7D06A6"/>
    <w:rsid w:val="7B7D4202"/>
    <w:rsid w:val="7B811F45"/>
    <w:rsid w:val="7B841746"/>
    <w:rsid w:val="7B862F60"/>
    <w:rsid w:val="7B886DF0"/>
    <w:rsid w:val="7B8E01BE"/>
    <w:rsid w:val="7B8E4662"/>
    <w:rsid w:val="7B8E6410"/>
    <w:rsid w:val="7B910E7A"/>
    <w:rsid w:val="7B957D4E"/>
    <w:rsid w:val="7B964991"/>
    <w:rsid w:val="7B9652C4"/>
    <w:rsid w:val="7B9A0769"/>
    <w:rsid w:val="7B9B5B63"/>
    <w:rsid w:val="7B9D48A5"/>
    <w:rsid w:val="7BA14364"/>
    <w:rsid w:val="7BA2010D"/>
    <w:rsid w:val="7BA46E03"/>
    <w:rsid w:val="7BA47323"/>
    <w:rsid w:val="7BAD6F9E"/>
    <w:rsid w:val="7BB2238C"/>
    <w:rsid w:val="7BB31795"/>
    <w:rsid w:val="7BB340C8"/>
    <w:rsid w:val="7BB816DF"/>
    <w:rsid w:val="7BBA0721"/>
    <w:rsid w:val="7BC02341"/>
    <w:rsid w:val="7BC2255D"/>
    <w:rsid w:val="7BC23010"/>
    <w:rsid w:val="7BC2430B"/>
    <w:rsid w:val="7BC40083"/>
    <w:rsid w:val="7BC57958"/>
    <w:rsid w:val="7BC61286"/>
    <w:rsid w:val="7BC65BA9"/>
    <w:rsid w:val="7BCB7664"/>
    <w:rsid w:val="7BD15208"/>
    <w:rsid w:val="7BD27829"/>
    <w:rsid w:val="7BD32074"/>
    <w:rsid w:val="7BD52290"/>
    <w:rsid w:val="7BD5390A"/>
    <w:rsid w:val="7BD55DED"/>
    <w:rsid w:val="7BD858DD"/>
    <w:rsid w:val="7BDA67A6"/>
    <w:rsid w:val="7BDA7B3A"/>
    <w:rsid w:val="7BDC53CD"/>
    <w:rsid w:val="7BDD2045"/>
    <w:rsid w:val="7BDF7E15"/>
    <w:rsid w:val="7BE20509"/>
    <w:rsid w:val="7BE94A5A"/>
    <w:rsid w:val="7BEB5610"/>
    <w:rsid w:val="7BEC1388"/>
    <w:rsid w:val="7BEC4BA1"/>
    <w:rsid w:val="7BEE6EAE"/>
    <w:rsid w:val="7BF02B5D"/>
    <w:rsid w:val="7BF30969"/>
    <w:rsid w:val="7BF344C5"/>
    <w:rsid w:val="7BF546E1"/>
    <w:rsid w:val="7BF85B9E"/>
    <w:rsid w:val="7BF87D2D"/>
    <w:rsid w:val="7BFF730D"/>
    <w:rsid w:val="7C017364"/>
    <w:rsid w:val="7C035E38"/>
    <w:rsid w:val="7C063655"/>
    <w:rsid w:val="7C077F70"/>
    <w:rsid w:val="7C09018C"/>
    <w:rsid w:val="7C092067"/>
    <w:rsid w:val="7C104CD2"/>
    <w:rsid w:val="7C127041"/>
    <w:rsid w:val="7C1B19AD"/>
    <w:rsid w:val="7C1C093F"/>
    <w:rsid w:val="7C1C3A1B"/>
    <w:rsid w:val="7C1E3C37"/>
    <w:rsid w:val="7C201766"/>
    <w:rsid w:val="7C246D74"/>
    <w:rsid w:val="7C2B1EB0"/>
    <w:rsid w:val="7C302D3E"/>
    <w:rsid w:val="7C321491"/>
    <w:rsid w:val="7C352D2F"/>
    <w:rsid w:val="7C3A6597"/>
    <w:rsid w:val="7C3C40BE"/>
    <w:rsid w:val="7C3C5E6C"/>
    <w:rsid w:val="7C3F595C"/>
    <w:rsid w:val="7C43369E"/>
    <w:rsid w:val="7C4371FA"/>
    <w:rsid w:val="7C482A62"/>
    <w:rsid w:val="7C486144"/>
    <w:rsid w:val="7C487568"/>
    <w:rsid w:val="7C492337"/>
    <w:rsid w:val="7C4B60AF"/>
    <w:rsid w:val="7C4D62CB"/>
    <w:rsid w:val="7C4E5B9F"/>
    <w:rsid w:val="7C591016"/>
    <w:rsid w:val="7C594C70"/>
    <w:rsid w:val="7C5B2F2E"/>
    <w:rsid w:val="7C5C4760"/>
    <w:rsid w:val="7C5E0073"/>
    <w:rsid w:val="7C606325"/>
    <w:rsid w:val="7C611D76"/>
    <w:rsid w:val="7C6333F8"/>
    <w:rsid w:val="7C640B20"/>
    <w:rsid w:val="7C6507A2"/>
    <w:rsid w:val="7C653614"/>
    <w:rsid w:val="7C662EE9"/>
    <w:rsid w:val="7C666AC1"/>
    <w:rsid w:val="7C684EB3"/>
    <w:rsid w:val="7C686C61"/>
    <w:rsid w:val="7C6A4563"/>
    <w:rsid w:val="7C6B49A3"/>
    <w:rsid w:val="7C6C076F"/>
    <w:rsid w:val="7C6C5AC7"/>
    <w:rsid w:val="7C6D24C9"/>
    <w:rsid w:val="7C6D4277"/>
    <w:rsid w:val="7C6E4CB3"/>
    <w:rsid w:val="7C6F0B02"/>
    <w:rsid w:val="7C6F6241"/>
    <w:rsid w:val="7C743857"/>
    <w:rsid w:val="7C765821"/>
    <w:rsid w:val="7C783964"/>
    <w:rsid w:val="7C7F3FAA"/>
    <w:rsid w:val="7C831CEC"/>
    <w:rsid w:val="7C84325A"/>
    <w:rsid w:val="7C86358B"/>
    <w:rsid w:val="7C8D4919"/>
    <w:rsid w:val="7C8F0691"/>
    <w:rsid w:val="7C921F30"/>
    <w:rsid w:val="7C961A20"/>
    <w:rsid w:val="7C9712F4"/>
    <w:rsid w:val="7C99467F"/>
    <w:rsid w:val="7C9A0299"/>
    <w:rsid w:val="7C9B5288"/>
    <w:rsid w:val="7C9C5EB4"/>
    <w:rsid w:val="7C9C690A"/>
    <w:rsid w:val="7CA3339F"/>
    <w:rsid w:val="7CA35EEB"/>
    <w:rsid w:val="7CA92C97"/>
    <w:rsid w:val="7CAB2FF1"/>
    <w:rsid w:val="7CAD0B17"/>
    <w:rsid w:val="7CB07F99"/>
    <w:rsid w:val="7CB26CCA"/>
    <w:rsid w:val="7CB64C98"/>
    <w:rsid w:val="7CBB76D8"/>
    <w:rsid w:val="7CC52305"/>
    <w:rsid w:val="7CC6544B"/>
    <w:rsid w:val="7CC7607D"/>
    <w:rsid w:val="7CC846E8"/>
    <w:rsid w:val="7CCB2160"/>
    <w:rsid w:val="7CCB62E2"/>
    <w:rsid w:val="7CCD2C16"/>
    <w:rsid w:val="7CCD740C"/>
    <w:rsid w:val="7CD2057E"/>
    <w:rsid w:val="7CD36C81"/>
    <w:rsid w:val="7CD75B94"/>
    <w:rsid w:val="7CD97B5E"/>
    <w:rsid w:val="7CDB7433"/>
    <w:rsid w:val="7CDE33C7"/>
    <w:rsid w:val="7CE0713F"/>
    <w:rsid w:val="7CE502B1"/>
    <w:rsid w:val="7CE54755"/>
    <w:rsid w:val="7CE65DD7"/>
    <w:rsid w:val="7CE87DA1"/>
    <w:rsid w:val="7CEA2CFB"/>
    <w:rsid w:val="7CEA3B1A"/>
    <w:rsid w:val="7CEA58C8"/>
    <w:rsid w:val="7CEC1640"/>
    <w:rsid w:val="7CEC7892"/>
    <w:rsid w:val="7CF1148D"/>
    <w:rsid w:val="7CF77FE5"/>
    <w:rsid w:val="7CF93D5D"/>
    <w:rsid w:val="7CFC230E"/>
    <w:rsid w:val="7CFD384D"/>
    <w:rsid w:val="7CFE2601"/>
    <w:rsid w:val="7D007775"/>
    <w:rsid w:val="7D020E63"/>
    <w:rsid w:val="7D0239FF"/>
    <w:rsid w:val="7D034BDB"/>
    <w:rsid w:val="7D0562FB"/>
    <w:rsid w:val="7D0B7ECF"/>
    <w:rsid w:val="7D0C3A90"/>
    <w:rsid w:val="7D0D15B6"/>
    <w:rsid w:val="7D1172F8"/>
    <w:rsid w:val="7D1B3CD3"/>
    <w:rsid w:val="7D1D50FB"/>
    <w:rsid w:val="7D1D5C9D"/>
    <w:rsid w:val="7D1E18FE"/>
    <w:rsid w:val="7D1F2A20"/>
    <w:rsid w:val="7D230DDA"/>
    <w:rsid w:val="7D23702C"/>
    <w:rsid w:val="7D250FF6"/>
    <w:rsid w:val="7D252DA4"/>
    <w:rsid w:val="7D2D1788"/>
    <w:rsid w:val="7D2D1C58"/>
    <w:rsid w:val="7D2F3C22"/>
    <w:rsid w:val="7D2F777E"/>
    <w:rsid w:val="7D3552A1"/>
    <w:rsid w:val="7D380D29"/>
    <w:rsid w:val="7D3905FD"/>
    <w:rsid w:val="7D3C714E"/>
    <w:rsid w:val="7D3D1E9B"/>
    <w:rsid w:val="7D40198C"/>
    <w:rsid w:val="7D4323AE"/>
    <w:rsid w:val="7D441CBC"/>
    <w:rsid w:val="7D441E80"/>
    <w:rsid w:val="7D450D50"/>
    <w:rsid w:val="7D4551F4"/>
    <w:rsid w:val="7D456FA2"/>
    <w:rsid w:val="7D470F6C"/>
    <w:rsid w:val="7D472D1A"/>
    <w:rsid w:val="7D4A236D"/>
    <w:rsid w:val="7D511DEB"/>
    <w:rsid w:val="7D515947"/>
    <w:rsid w:val="7D5176F5"/>
    <w:rsid w:val="7D537911"/>
    <w:rsid w:val="7D580A83"/>
    <w:rsid w:val="7D580FFF"/>
    <w:rsid w:val="7D5947FB"/>
    <w:rsid w:val="7D5E0064"/>
    <w:rsid w:val="7D5E40CD"/>
    <w:rsid w:val="7D60025D"/>
    <w:rsid w:val="7D676C50"/>
    <w:rsid w:val="7D676F18"/>
    <w:rsid w:val="7D6A3EE0"/>
    <w:rsid w:val="7D6C09D3"/>
    <w:rsid w:val="7D6C2781"/>
    <w:rsid w:val="7D72619C"/>
    <w:rsid w:val="7D731D61"/>
    <w:rsid w:val="7D742C1C"/>
    <w:rsid w:val="7D745287"/>
    <w:rsid w:val="7D75194E"/>
    <w:rsid w:val="7D7653AD"/>
    <w:rsid w:val="7D792783"/>
    <w:rsid w:val="7D7A30EF"/>
    <w:rsid w:val="7D7B252F"/>
    <w:rsid w:val="7D7E4262"/>
    <w:rsid w:val="7D8172FD"/>
    <w:rsid w:val="7D817587"/>
    <w:rsid w:val="7D831878"/>
    <w:rsid w:val="7D8609D0"/>
    <w:rsid w:val="7D861856"/>
    <w:rsid w:val="7D8B70AB"/>
    <w:rsid w:val="7D8B74D1"/>
    <w:rsid w:val="7D8D7B32"/>
    <w:rsid w:val="7D8F14A1"/>
    <w:rsid w:val="7D8F646F"/>
    <w:rsid w:val="7D904AEE"/>
    <w:rsid w:val="7D940515"/>
    <w:rsid w:val="7D954373"/>
    <w:rsid w:val="7D962E0D"/>
    <w:rsid w:val="7D9A5540"/>
    <w:rsid w:val="7D9D6D6F"/>
    <w:rsid w:val="7D9F5245"/>
    <w:rsid w:val="7DA939D5"/>
    <w:rsid w:val="7DA95783"/>
    <w:rsid w:val="7DA97531"/>
    <w:rsid w:val="7DB122F3"/>
    <w:rsid w:val="7DB50A0E"/>
    <w:rsid w:val="7DB86548"/>
    <w:rsid w:val="7DB879AC"/>
    <w:rsid w:val="7DBB54B6"/>
    <w:rsid w:val="7DC10D1E"/>
    <w:rsid w:val="7DC10D26"/>
    <w:rsid w:val="7DC4436B"/>
    <w:rsid w:val="7DC611BF"/>
    <w:rsid w:val="7DC61D5E"/>
    <w:rsid w:val="7DCD148E"/>
    <w:rsid w:val="7DCD56F2"/>
    <w:rsid w:val="7DCE6F97"/>
    <w:rsid w:val="7DD00F61"/>
    <w:rsid w:val="7DD02D0F"/>
    <w:rsid w:val="7DD270EF"/>
    <w:rsid w:val="7DD35DE0"/>
    <w:rsid w:val="7DD81BC4"/>
    <w:rsid w:val="7DDA3B8E"/>
    <w:rsid w:val="7DDB186C"/>
    <w:rsid w:val="7DE16D4F"/>
    <w:rsid w:val="7DE40569"/>
    <w:rsid w:val="7DE642E1"/>
    <w:rsid w:val="7DE93DD1"/>
    <w:rsid w:val="7DEA3607"/>
    <w:rsid w:val="7DF06F0E"/>
    <w:rsid w:val="7DF10ED8"/>
    <w:rsid w:val="7DF7797A"/>
    <w:rsid w:val="7DF824A2"/>
    <w:rsid w:val="7DF84014"/>
    <w:rsid w:val="7DF864BB"/>
    <w:rsid w:val="7DF870B2"/>
    <w:rsid w:val="7DF95C2F"/>
    <w:rsid w:val="7DFD5ACF"/>
    <w:rsid w:val="7DFF1847"/>
    <w:rsid w:val="7DFF35F5"/>
    <w:rsid w:val="7E0150C3"/>
    <w:rsid w:val="7E0155BF"/>
    <w:rsid w:val="7E024E93"/>
    <w:rsid w:val="7E052486"/>
    <w:rsid w:val="7E066731"/>
    <w:rsid w:val="7E070C98"/>
    <w:rsid w:val="7E0B01EB"/>
    <w:rsid w:val="7E0E55E6"/>
    <w:rsid w:val="7E140BE8"/>
    <w:rsid w:val="7E154BC6"/>
    <w:rsid w:val="7E1A6A68"/>
    <w:rsid w:val="7E1F77F3"/>
    <w:rsid w:val="7E2272E3"/>
    <w:rsid w:val="7E24305B"/>
    <w:rsid w:val="7E292420"/>
    <w:rsid w:val="7E2B43EA"/>
    <w:rsid w:val="7E2D1F10"/>
    <w:rsid w:val="7E386B07"/>
    <w:rsid w:val="7E3B1136"/>
    <w:rsid w:val="7E3C0F3C"/>
    <w:rsid w:val="7E4028A1"/>
    <w:rsid w:val="7E437985"/>
    <w:rsid w:val="7E4436FD"/>
    <w:rsid w:val="7E484F9C"/>
    <w:rsid w:val="7E486D4A"/>
    <w:rsid w:val="7E4F463C"/>
    <w:rsid w:val="7E5020A2"/>
    <w:rsid w:val="7E53749D"/>
    <w:rsid w:val="7E553215"/>
    <w:rsid w:val="7E5576B9"/>
    <w:rsid w:val="7E582D05"/>
    <w:rsid w:val="7E5971A9"/>
    <w:rsid w:val="7E5C0A47"/>
    <w:rsid w:val="7E5D3AFF"/>
    <w:rsid w:val="7E5F4093"/>
    <w:rsid w:val="7E5F5E41"/>
    <w:rsid w:val="7E603096"/>
    <w:rsid w:val="7E617E0B"/>
    <w:rsid w:val="7E6478FC"/>
    <w:rsid w:val="7E655B4E"/>
    <w:rsid w:val="7E656727"/>
    <w:rsid w:val="7E663674"/>
    <w:rsid w:val="7E682F48"/>
    <w:rsid w:val="7E694F12"/>
    <w:rsid w:val="7E6D4EDB"/>
    <w:rsid w:val="7E6E2528"/>
    <w:rsid w:val="7E70004F"/>
    <w:rsid w:val="7E7062A0"/>
    <w:rsid w:val="7E7202C2"/>
    <w:rsid w:val="7E723DC7"/>
    <w:rsid w:val="7E724D25"/>
    <w:rsid w:val="7E727F2C"/>
    <w:rsid w:val="7E7713DD"/>
    <w:rsid w:val="7E7933A7"/>
    <w:rsid w:val="7E7A711F"/>
    <w:rsid w:val="7E7B20B0"/>
    <w:rsid w:val="7E7C4C45"/>
    <w:rsid w:val="7E8104AE"/>
    <w:rsid w:val="7E845165"/>
    <w:rsid w:val="7E865AC4"/>
    <w:rsid w:val="7E886E3D"/>
    <w:rsid w:val="7E8A55B4"/>
    <w:rsid w:val="7E8B60C5"/>
    <w:rsid w:val="7E8B6C36"/>
    <w:rsid w:val="7E9006F1"/>
    <w:rsid w:val="7E952391"/>
    <w:rsid w:val="7E99707F"/>
    <w:rsid w:val="7EA321D2"/>
    <w:rsid w:val="7EA877E8"/>
    <w:rsid w:val="7EAB1EEB"/>
    <w:rsid w:val="7EAB72D9"/>
    <w:rsid w:val="7EAD3051"/>
    <w:rsid w:val="7EAF0B77"/>
    <w:rsid w:val="7EB048EF"/>
    <w:rsid w:val="7EB268B9"/>
    <w:rsid w:val="7EB443DF"/>
    <w:rsid w:val="7EB517AA"/>
    <w:rsid w:val="7EB52241"/>
    <w:rsid w:val="7EBB39C0"/>
    <w:rsid w:val="7EBE0DBA"/>
    <w:rsid w:val="7EC02D84"/>
    <w:rsid w:val="7EC32874"/>
    <w:rsid w:val="7EC34622"/>
    <w:rsid w:val="7EC363D0"/>
    <w:rsid w:val="7EC42148"/>
    <w:rsid w:val="7EC446FA"/>
    <w:rsid w:val="7EC96766"/>
    <w:rsid w:val="7ED06D3F"/>
    <w:rsid w:val="7ED20D09"/>
    <w:rsid w:val="7ED2187F"/>
    <w:rsid w:val="7ED24865"/>
    <w:rsid w:val="7ED405DD"/>
    <w:rsid w:val="7ED44A81"/>
    <w:rsid w:val="7ED56104"/>
    <w:rsid w:val="7ED607F9"/>
    <w:rsid w:val="7ED92098"/>
    <w:rsid w:val="7EDC7492"/>
    <w:rsid w:val="7EE011E6"/>
    <w:rsid w:val="7EE22EEA"/>
    <w:rsid w:val="7EE34CC4"/>
    <w:rsid w:val="7EE527EB"/>
    <w:rsid w:val="7EE54599"/>
    <w:rsid w:val="7EE747B5"/>
    <w:rsid w:val="7EEB6769"/>
    <w:rsid w:val="7EED5B43"/>
    <w:rsid w:val="7EED6AA6"/>
    <w:rsid w:val="7EF00858"/>
    <w:rsid w:val="7EF17E7E"/>
    <w:rsid w:val="7EF2624D"/>
    <w:rsid w:val="7EF26C55"/>
    <w:rsid w:val="7EF401A0"/>
    <w:rsid w:val="7EF42A2E"/>
    <w:rsid w:val="7EFE1AFE"/>
    <w:rsid w:val="7F001CE7"/>
    <w:rsid w:val="7F007556"/>
    <w:rsid w:val="7F0215EE"/>
    <w:rsid w:val="7F030EC3"/>
    <w:rsid w:val="7F0C5FC9"/>
    <w:rsid w:val="7F0E1327"/>
    <w:rsid w:val="7F0F1615"/>
    <w:rsid w:val="7F0F7867"/>
    <w:rsid w:val="7F106503"/>
    <w:rsid w:val="7F121106"/>
    <w:rsid w:val="7F196938"/>
    <w:rsid w:val="7F1B1B92"/>
    <w:rsid w:val="7F1B445E"/>
    <w:rsid w:val="7F1C1F84"/>
    <w:rsid w:val="7F271055"/>
    <w:rsid w:val="7F2D4191"/>
    <w:rsid w:val="7F2D7CEE"/>
    <w:rsid w:val="7F2F22B8"/>
    <w:rsid w:val="7F390D88"/>
    <w:rsid w:val="7F3948E4"/>
    <w:rsid w:val="7F394978"/>
    <w:rsid w:val="7F3A0DCF"/>
    <w:rsid w:val="7F3E014D"/>
    <w:rsid w:val="7F451431"/>
    <w:rsid w:val="7F4A08A0"/>
    <w:rsid w:val="7F4C6411"/>
    <w:rsid w:val="7F4F5EB6"/>
    <w:rsid w:val="7F50176F"/>
    <w:rsid w:val="7F5160D2"/>
    <w:rsid w:val="7F5563EB"/>
    <w:rsid w:val="7F572FBC"/>
    <w:rsid w:val="7F5D6825"/>
    <w:rsid w:val="7F5E434B"/>
    <w:rsid w:val="7F5E5203"/>
    <w:rsid w:val="7F623E3B"/>
    <w:rsid w:val="7F651B7D"/>
    <w:rsid w:val="7F65758F"/>
    <w:rsid w:val="7F663D79"/>
    <w:rsid w:val="7F6A7D6D"/>
    <w:rsid w:val="7F6D0983"/>
    <w:rsid w:val="7F6D27E0"/>
    <w:rsid w:val="7F7144BD"/>
    <w:rsid w:val="7F73228D"/>
    <w:rsid w:val="7F733E46"/>
    <w:rsid w:val="7F737DF6"/>
    <w:rsid w:val="7F76790F"/>
    <w:rsid w:val="7F792F33"/>
    <w:rsid w:val="7F7B314F"/>
    <w:rsid w:val="7F7B50C3"/>
    <w:rsid w:val="7F7C16D7"/>
    <w:rsid w:val="7F7F2C3F"/>
    <w:rsid w:val="7F802513"/>
    <w:rsid w:val="7F8244DD"/>
    <w:rsid w:val="7F82454A"/>
    <w:rsid w:val="7F897B53"/>
    <w:rsid w:val="7F8A3392"/>
    <w:rsid w:val="7F91649B"/>
    <w:rsid w:val="7F945708"/>
    <w:rsid w:val="7F985AAF"/>
    <w:rsid w:val="7FA206DC"/>
    <w:rsid w:val="7FA44454"/>
    <w:rsid w:val="7FA95426"/>
    <w:rsid w:val="7FA96628"/>
    <w:rsid w:val="7FAC7684"/>
    <w:rsid w:val="7FAF361A"/>
    <w:rsid w:val="7FB36445"/>
    <w:rsid w:val="7FB456BF"/>
    <w:rsid w:val="7FB9405B"/>
    <w:rsid w:val="7FBB179D"/>
    <w:rsid w:val="7FBB354B"/>
    <w:rsid w:val="7FC00B62"/>
    <w:rsid w:val="7FC06324"/>
    <w:rsid w:val="7FC06DB4"/>
    <w:rsid w:val="7FC317DF"/>
    <w:rsid w:val="7FC93EBA"/>
    <w:rsid w:val="7FCC3B28"/>
    <w:rsid w:val="7FCC5758"/>
    <w:rsid w:val="7FD0300A"/>
    <w:rsid w:val="7FD2355F"/>
    <w:rsid w:val="7FD30895"/>
    <w:rsid w:val="7FD7406F"/>
    <w:rsid w:val="7FDB761B"/>
    <w:rsid w:val="7FE2045C"/>
    <w:rsid w:val="7FE35A74"/>
    <w:rsid w:val="7FE42AA2"/>
    <w:rsid w:val="7FE47E50"/>
    <w:rsid w:val="7FE72592"/>
    <w:rsid w:val="7FE875B6"/>
    <w:rsid w:val="7FEC1957"/>
    <w:rsid w:val="7FED4A4C"/>
    <w:rsid w:val="7FEE3921"/>
    <w:rsid w:val="7FF37189"/>
    <w:rsid w:val="7FF56A5D"/>
    <w:rsid w:val="7FF5783B"/>
    <w:rsid w:val="7FF802FC"/>
    <w:rsid w:val="7FFF168A"/>
    <w:rsid w:val="7FFF78DC"/>
    <w:rsid w:val="7FFF7A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5" w:lineRule="auto"/>
      <w:outlineLvl w:val="1"/>
    </w:pPr>
    <w:rPr>
      <w:rFonts w:ascii="Arial" w:hAnsi="Arial"/>
      <w:b/>
      <w:kern w:val="0"/>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keepLines/>
      <w:widowControl/>
      <w:numPr>
        <w:ilvl w:val="3"/>
        <w:numId w:val="1"/>
      </w:numPr>
      <w:spacing w:line="360" w:lineRule="auto"/>
      <w:ind w:left="0" w:firstLine="0" w:firstLineChars="0"/>
      <w:jc w:val="left"/>
      <w:outlineLvl w:val="3"/>
    </w:pPr>
    <w:rPr>
      <w:b/>
      <w:bCs/>
    </w:rPr>
  </w:style>
  <w:style w:type="character" w:default="1" w:styleId="36">
    <w:name w:val="Default Paragraph Font"/>
    <w:semiHidden/>
    <w:qFormat/>
    <w:uiPriority w:val="0"/>
  </w:style>
  <w:style w:type="table" w:default="1" w:styleId="34">
    <w:name w:val="Normal Table"/>
    <w:semiHidden/>
    <w:qFormat/>
    <w:uiPriority w:val="0"/>
    <w:tblPr>
      <w:tblCellMar>
        <w:top w:w="0" w:type="dxa"/>
        <w:left w:w="108" w:type="dxa"/>
        <w:bottom w:w="0" w:type="dxa"/>
        <w:right w:w="108" w:type="dxa"/>
      </w:tblCellMar>
    </w:tblPr>
  </w:style>
  <w:style w:type="paragraph" w:styleId="6">
    <w:name w:val="List 3"/>
    <w:basedOn w:val="1"/>
    <w:qFormat/>
    <w:locked/>
    <w:uiPriority w:val="0"/>
    <w:pPr>
      <w:jc w:val="left"/>
    </w:pPr>
    <w:rPr>
      <w:bCs/>
      <w:szCs w:val="21"/>
    </w:rPr>
  </w:style>
  <w:style w:type="paragraph" w:styleId="7">
    <w:name w:val="table of authorities"/>
    <w:basedOn w:val="1"/>
    <w:next w:val="1"/>
    <w:qFormat/>
    <w:locked/>
    <w:uiPriority w:val="0"/>
    <w:pPr>
      <w:ind w:left="420" w:leftChars="200"/>
    </w:pPr>
  </w:style>
  <w:style w:type="paragraph" w:styleId="8">
    <w:name w:val="Normal Indent"/>
    <w:basedOn w:val="1"/>
    <w:link w:val="41"/>
    <w:qFormat/>
    <w:locked/>
    <w:uiPriority w:val="0"/>
    <w:pPr>
      <w:ind w:firstLine="420" w:firstLineChars="200"/>
    </w:pPr>
  </w:style>
  <w:style w:type="paragraph" w:styleId="9">
    <w:name w:val="caption"/>
    <w:next w:val="1"/>
    <w:qFormat/>
    <w:locked/>
    <w:uiPriority w:val="35"/>
    <w:pPr>
      <w:widowControl w:val="0"/>
      <w:spacing w:before="152" w:after="160"/>
      <w:jc w:val="both"/>
    </w:pPr>
    <w:rPr>
      <w:rFonts w:ascii="Arial" w:hAnsi="Arial" w:eastAsia="黑体" w:cs="Times New Roman"/>
      <w:kern w:val="2"/>
      <w:lang w:val="en-US" w:eastAsia="zh-CN" w:bidi="ar-SA"/>
    </w:rPr>
  </w:style>
  <w:style w:type="paragraph" w:styleId="10">
    <w:name w:val="Document Map"/>
    <w:basedOn w:val="1"/>
    <w:link w:val="42"/>
    <w:qFormat/>
    <w:locked/>
    <w:uiPriority w:val="0"/>
    <w:rPr>
      <w:rFonts w:ascii="宋体"/>
      <w:sz w:val="18"/>
      <w:szCs w:val="18"/>
    </w:rPr>
  </w:style>
  <w:style w:type="paragraph" w:styleId="11">
    <w:name w:val="annotation text"/>
    <w:basedOn w:val="1"/>
    <w:link w:val="43"/>
    <w:qFormat/>
    <w:uiPriority w:val="0"/>
    <w:pPr>
      <w:jc w:val="left"/>
    </w:pPr>
    <w:rPr>
      <w:kern w:val="0"/>
      <w:sz w:val="24"/>
      <w:szCs w:val="20"/>
    </w:rPr>
  </w:style>
  <w:style w:type="paragraph" w:styleId="12">
    <w:name w:val="Salutation"/>
    <w:basedOn w:val="1"/>
    <w:next w:val="1"/>
    <w:qFormat/>
    <w:locked/>
    <w:uiPriority w:val="0"/>
    <w:rPr>
      <w:rFonts w:ascii="Times New Roman" w:hAnsi="Times New Roman" w:eastAsia="宋体" w:cs="Times New Roman"/>
    </w:rPr>
  </w:style>
  <w:style w:type="paragraph" w:styleId="13">
    <w:name w:val="Body Text"/>
    <w:basedOn w:val="1"/>
    <w:next w:val="14"/>
    <w:link w:val="44"/>
    <w:qFormat/>
    <w:uiPriority w:val="0"/>
    <w:pPr>
      <w:widowControl/>
      <w:snapToGrid w:val="0"/>
      <w:spacing w:before="60" w:after="160" w:line="259" w:lineRule="auto"/>
      <w:ind w:right="113"/>
    </w:pPr>
    <w:rPr>
      <w:kern w:val="0"/>
      <w:sz w:val="18"/>
      <w:szCs w:val="20"/>
    </w:rPr>
  </w:style>
  <w:style w:type="paragraph" w:customStyle="1" w:styleId="14">
    <w:name w:val="xl27"/>
    <w:basedOn w:val="1"/>
    <w:next w:val="15"/>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PMingLiU" w:hAnsi="Times New Roman" w:eastAsia="PMingLiU" w:cs="Times New Roman"/>
      <w:kern w:val="0"/>
      <w:sz w:val="16"/>
      <w:szCs w:val="16"/>
      <w:lang w:eastAsia="zh-TW"/>
    </w:rPr>
  </w:style>
  <w:style w:type="paragraph" w:customStyle="1" w:styleId="15">
    <w:name w:val="A正文"/>
    <w:basedOn w:val="1"/>
    <w:qFormat/>
    <w:uiPriority w:val="0"/>
    <w:pPr>
      <w:widowControl/>
      <w:overflowPunct w:val="0"/>
      <w:autoSpaceDE w:val="0"/>
      <w:autoSpaceDN w:val="0"/>
      <w:jc w:val="left"/>
      <w:textAlignment w:val="baseline"/>
    </w:pPr>
  </w:style>
  <w:style w:type="paragraph" w:styleId="16">
    <w:name w:val="Body Text Indent"/>
    <w:basedOn w:val="1"/>
    <w:next w:val="17"/>
    <w:link w:val="45"/>
    <w:qFormat/>
    <w:uiPriority w:val="0"/>
    <w:pPr>
      <w:spacing w:after="120"/>
      <w:ind w:left="420" w:leftChars="200"/>
    </w:pPr>
    <w:rPr>
      <w:kern w:val="0"/>
      <w:sz w:val="24"/>
      <w:szCs w:val="20"/>
    </w:rPr>
  </w:style>
  <w:style w:type="paragraph" w:styleId="17">
    <w:name w:val="Body Text Indent 2"/>
    <w:basedOn w:val="1"/>
    <w:next w:val="18"/>
    <w:qFormat/>
    <w:locked/>
    <w:uiPriority w:val="0"/>
    <w:pPr>
      <w:spacing w:after="120" w:line="480" w:lineRule="auto"/>
      <w:ind w:left="420" w:leftChars="200"/>
    </w:pPr>
  </w:style>
  <w:style w:type="paragraph" w:styleId="18">
    <w:name w:val="Body Text First Indent 2"/>
    <w:basedOn w:val="16"/>
    <w:next w:val="1"/>
    <w:qFormat/>
    <w:locked/>
    <w:uiPriority w:val="0"/>
    <w:pPr>
      <w:ind w:firstLine="420" w:firstLineChars="200"/>
    </w:pPr>
    <w:rPr>
      <w:kern w:val="2"/>
      <w:sz w:val="21"/>
      <w:szCs w:val="24"/>
    </w:rPr>
  </w:style>
  <w:style w:type="paragraph" w:styleId="19">
    <w:name w:val="Plain Text"/>
    <w:basedOn w:val="1"/>
    <w:link w:val="46"/>
    <w:qFormat/>
    <w:locked/>
    <w:uiPriority w:val="0"/>
    <w:rPr>
      <w:rFonts w:ascii="宋体" w:hAnsi="Courier New" w:cs="Courier New"/>
      <w:szCs w:val="21"/>
    </w:rPr>
  </w:style>
  <w:style w:type="paragraph" w:styleId="20">
    <w:name w:val="Date"/>
    <w:basedOn w:val="1"/>
    <w:next w:val="1"/>
    <w:link w:val="47"/>
    <w:qFormat/>
    <w:uiPriority w:val="0"/>
    <w:pPr>
      <w:ind w:left="100" w:leftChars="2500"/>
    </w:pPr>
    <w:rPr>
      <w:kern w:val="0"/>
      <w:sz w:val="24"/>
      <w:szCs w:val="20"/>
    </w:rPr>
  </w:style>
  <w:style w:type="paragraph" w:styleId="21">
    <w:name w:val="Balloon Text"/>
    <w:basedOn w:val="1"/>
    <w:link w:val="48"/>
    <w:semiHidden/>
    <w:qFormat/>
    <w:uiPriority w:val="0"/>
    <w:rPr>
      <w:kern w:val="0"/>
      <w:sz w:val="18"/>
      <w:szCs w:val="20"/>
    </w:rPr>
  </w:style>
  <w:style w:type="paragraph" w:styleId="22">
    <w:name w:val="footer"/>
    <w:basedOn w:val="1"/>
    <w:link w:val="49"/>
    <w:qFormat/>
    <w:uiPriority w:val="99"/>
    <w:pPr>
      <w:tabs>
        <w:tab w:val="center" w:pos="4153"/>
        <w:tab w:val="right" w:pos="8306"/>
      </w:tabs>
      <w:snapToGrid w:val="0"/>
      <w:jc w:val="left"/>
    </w:pPr>
    <w:rPr>
      <w:kern w:val="0"/>
      <w:sz w:val="18"/>
      <w:szCs w:val="20"/>
    </w:rPr>
  </w:style>
  <w:style w:type="paragraph" w:styleId="23">
    <w:name w:val="header"/>
    <w:basedOn w:val="1"/>
    <w:next w:val="24"/>
    <w:link w:val="5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5">
    <w:name w:val="正文1"/>
    <w:basedOn w:val="1"/>
    <w:next w:val="1"/>
    <w:qFormat/>
    <w:uiPriority w:val="0"/>
    <w:pPr>
      <w:adjustRightInd w:val="0"/>
      <w:snapToGrid w:val="0"/>
      <w:spacing w:line="500" w:lineRule="atLeast"/>
      <w:ind w:firstLine="567"/>
    </w:pPr>
    <w:rPr>
      <w:sz w:val="28"/>
    </w:rPr>
  </w:style>
  <w:style w:type="paragraph" w:styleId="26">
    <w:name w:val="Subtitle"/>
    <w:basedOn w:val="1"/>
    <w:qFormat/>
    <w:locked/>
    <w:uiPriority w:val="0"/>
    <w:pPr>
      <w:widowControl/>
      <w:ind w:left="1080" w:hanging="1080"/>
    </w:pPr>
    <w:rPr>
      <w:rFonts w:ascii="宋体" w:hAnsi="Courier New" w:eastAsia="宋体" w:cs="Times New Roman"/>
      <w:kern w:val="2"/>
      <w:sz w:val="21"/>
      <w:szCs w:val="21"/>
    </w:rPr>
  </w:style>
  <w:style w:type="paragraph" w:styleId="27">
    <w:name w:val="List"/>
    <w:basedOn w:val="1"/>
    <w:qFormat/>
    <w:locked/>
    <w:uiPriority w:val="99"/>
    <w:pPr>
      <w:jc w:val="center"/>
    </w:pPr>
    <w:rPr>
      <w:kern w:val="21"/>
    </w:rPr>
  </w:style>
  <w:style w:type="paragraph" w:styleId="28">
    <w:name w:val="Body Text Indent 3"/>
    <w:basedOn w:val="1"/>
    <w:qFormat/>
    <w:locked/>
    <w:uiPriority w:val="0"/>
    <w:pPr>
      <w:spacing w:after="120"/>
      <w:ind w:left="420" w:leftChars="200"/>
    </w:pPr>
    <w:rPr>
      <w:sz w:val="16"/>
      <w:szCs w:val="16"/>
    </w:rPr>
  </w:style>
  <w:style w:type="paragraph" w:styleId="29">
    <w:name w:val="Body Text 2"/>
    <w:basedOn w:val="1"/>
    <w:next w:val="1"/>
    <w:qFormat/>
    <w:locked/>
    <w:uiPriority w:val="0"/>
    <w:pPr>
      <w:spacing w:after="120" w:line="480" w:lineRule="auto"/>
    </w:pPr>
  </w:style>
  <w:style w:type="paragraph" w:styleId="30">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1"/>
    <w:next w:val="11"/>
    <w:link w:val="52"/>
    <w:semiHidden/>
    <w:qFormat/>
    <w:uiPriority w:val="0"/>
    <w:rPr>
      <w:b/>
      <w:kern w:val="2"/>
    </w:rPr>
  </w:style>
  <w:style w:type="paragraph" w:styleId="33">
    <w:name w:val="Body Text First Indent"/>
    <w:basedOn w:val="13"/>
    <w:next w:val="1"/>
    <w:qFormat/>
    <w:locked/>
    <w:uiPriority w:val="0"/>
    <w:pPr>
      <w:spacing w:after="120" w:afterLines="0" w:line="240" w:lineRule="auto"/>
      <w:ind w:firstLine="420" w:firstLineChars="100"/>
    </w:pPr>
    <w:rPr>
      <w:rFonts w:ascii="Times New Roman" w:hAnsi="Times New Roman" w:eastAsia="宋体" w:cs="Times New Roman"/>
      <w:sz w:val="21"/>
    </w:rPr>
  </w:style>
  <w:style w:type="table" w:styleId="35">
    <w:name w:val="Table Grid"/>
    <w:basedOn w:val="3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locked/>
    <w:uiPriority w:val="22"/>
    <w:rPr>
      <w:b/>
      <w:bCs/>
    </w:rPr>
  </w:style>
  <w:style w:type="character" w:styleId="38">
    <w:name w:val="page number"/>
    <w:qFormat/>
    <w:locked/>
    <w:uiPriority w:val="0"/>
  </w:style>
  <w:style w:type="character" w:styleId="39">
    <w:name w:val="Hyperlink"/>
    <w:qFormat/>
    <w:locked/>
    <w:uiPriority w:val="0"/>
    <w:rPr>
      <w:color w:val="3366CC"/>
      <w:u w:val="single"/>
    </w:rPr>
  </w:style>
  <w:style w:type="character" w:styleId="40">
    <w:name w:val="annotation reference"/>
    <w:basedOn w:val="36"/>
    <w:semiHidden/>
    <w:qFormat/>
    <w:uiPriority w:val="0"/>
    <w:rPr>
      <w:sz w:val="21"/>
    </w:rPr>
  </w:style>
  <w:style w:type="character" w:customStyle="1" w:styleId="41">
    <w:name w:val="正文缩进 Char"/>
    <w:link w:val="8"/>
    <w:qFormat/>
    <w:uiPriority w:val="0"/>
    <w:rPr>
      <w:rFonts w:eastAsia="宋体"/>
      <w:kern w:val="2"/>
      <w:sz w:val="21"/>
      <w:szCs w:val="24"/>
      <w:lang w:val="en-US" w:eastAsia="zh-CN" w:bidi="ar-SA"/>
    </w:rPr>
  </w:style>
  <w:style w:type="character" w:customStyle="1" w:styleId="42">
    <w:name w:val="文档结构图 Char"/>
    <w:basedOn w:val="36"/>
    <w:link w:val="10"/>
    <w:qFormat/>
    <w:uiPriority w:val="0"/>
    <w:rPr>
      <w:rFonts w:ascii="宋体"/>
      <w:kern w:val="2"/>
      <w:sz w:val="18"/>
      <w:szCs w:val="18"/>
    </w:rPr>
  </w:style>
  <w:style w:type="character" w:customStyle="1" w:styleId="43">
    <w:name w:val="批注文字 Char"/>
    <w:link w:val="11"/>
    <w:qFormat/>
    <w:locked/>
    <w:uiPriority w:val="0"/>
    <w:rPr>
      <w:rFonts w:ascii="Times New Roman" w:hAnsi="Times New Roman" w:eastAsia="宋体"/>
      <w:sz w:val="24"/>
    </w:rPr>
  </w:style>
  <w:style w:type="character" w:customStyle="1" w:styleId="44">
    <w:name w:val="正文文本 Char"/>
    <w:link w:val="13"/>
    <w:qFormat/>
    <w:locked/>
    <w:uiPriority w:val="0"/>
    <w:rPr>
      <w:sz w:val="18"/>
    </w:rPr>
  </w:style>
  <w:style w:type="character" w:customStyle="1" w:styleId="45">
    <w:name w:val="正文文本缩进 Char"/>
    <w:link w:val="16"/>
    <w:semiHidden/>
    <w:qFormat/>
    <w:locked/>
    <w:uiPriority w:val="0"/>
    <w:rPr>
      <w:rFonts w:ascii="Times New Roman" w:hAnsi="Times New Roman" w:eastAsia="宋体"/>
      <w:sz w:val="24"/>
    </w:rPr>
  </w:style>
  <w:style w:type="character" w:customStyle="1" w:styleId="46">
    <w:name w:val="纯文本 Char"/>
    <w:link w:val="19"/>
    <w:qFormat/>
    <w:uiPriority w:val="0"/>
    <w:rPr>
      <w:rFonts w:ascii="宋体" w:hAnsi="Courier New" w:eastAsia="宋体" w:cs="Courier New"/>
      <w:kern w:val="2"/>
      <w:sz w:val="21"/>
      <w:szCs w:val="21"/>
      <w:lang w:val="en-US" w:eastAsia="zh-CN" w:bidi="ar-SA"/>
    </w:rPr>
  </w:style>
  <w:style w:type="character" w:customStyle="1" w:styleId="47">
    <w:name w:val="日期 Char"/>
    <w:link w:val="20"/>
    <w:qFormat/>
    <w:locked/>
    <w:uiPriority w:val="0"/>
    <w:rPr>
      <w:rFonts w:ascii="Times New Roman" w:hAnsi="Times New Roman" w:eastAsia="宋体"/>
      <w:sz w:val="24"/>
    </w:rPr>
  </w:style>
  <w:style w:type="character" w:customStyle="1" w:styleId="48">
    <w:name w:val="批注框文本 Char"/>
    <w:link w:val="21"/>
    <w:semiHidden/>
    <w:qFormat/>
    <w:locked/>
    <w:uiPriority w:val="0"/>
    <w:rPr>
      <w:rFonts w:ascii="Times New Roman" w:hAnsi="Times New Roman" w:eastAsia="宋体"/>
      <w:sz w:val="18"/>
    </w:rPr>
  </w:style>
  <w:style w:type="character" w:customStyle="1" w:styleId="49">
    <w:name w:val="页脚 Char"/>
    <w:link w:val="22"/>
    <w:qFormat/>
    <w:locked/>
    <w:uiPriority w:val="99"/>
    <w:rPr>
      <w:sz w:val="18"/>
    </w:rPr>
  </w:style>
  <w:style w:type="character" w:customStyle="1" w:styleId="50">
    <w:name w:val="页眉 Char"/>
    <w:link w:val="23"/>
    <w:qFormat/>
    <w:locked/>
    <w:uiPriority w:val="0"/>
    <w:rPr>
      <w:sz w:val="18"/>
    </w:rPr>
  </w:style>
  <w:style w:type="character" w:customStyle="1" w:styleId="51">
    <w:name w:val="普通(网站) Char"/>
    <w:link w:val="31"/>
    <w:qFormat/>
    <w:locked/>
    <w:uiPriority w:val="0"/>
    <w:rPr>
      <w:rFonts w:ascii="宋体" w:hAnsi="宋体" w:eastAsia="宋体"/>
      <w:sz w:val="24"/>
    </w:rPr>
  </w:style>
  <w:style w:type="character" w:customStyle="1" w:styleId="52">
    <w:name w:val="批注主题 Char"/>
    <w:link w:val="32"/>
    <w:semiHidden/>
    <w:qFormat/>
    <w:locked/>
    <w:uiPriority w:val="0"/>
    <w:rPr>
      <w:rFonts w:ascii="Times New Roman" w:hAnsi="Times New Roman" w:eastAsia="宋体"/>
      <w:b/>
      <w:kern w:val="2"/>
      <w:sz w:val="24"/>
    </w:rPr>
  </w:style>
  <w:style w:type="paragraph" w:customStyle="1" w:styleId="53">
    <w:name w:val="表格文字"/>
    <w:basedOn w:val="19"/>
    <w:next w:val="1"/>
    <w:qFormat/>
    <w:uiPriority w:val="0"/>
    <w:pPr>
      <w:spacing w:line="320" w:lineRule="exact"/>
      <w:jc w:val="center"/>
    </w:pPr>
    <w:rPr>
      <w:rFonts w:ascii="宋体"/>
    </w:rPr>
  </w:style>
  <w:style w:type="paragraph" w:customStyle="1" w:styleId="54">
    <w:name w:val="Default"/>
    <w:basedOn w:val="55"/>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55">
    <w:name w:val="纯文本1"/>
    <w:basedOn w:val="1"/>
    <w:qFormat/>
    <w:uiPriority w:val="0"/>
    <w:pPr>
      <w:adjustRightInd w:val="0"/>
    </w:pPr>
    <w:rPr>
      <w:rFonts w:ascii="宋体" w:hAnsi="Courier New"/>
      <w:szCs w:val="20"/>
    </w:rPr>
  </w:style>
  <w:style w:type="paragraph" w:customStyle="1" w:styleId="56">
    <w:name w:val="1正文段落"/>
    <w:basedOn w:val="1"/>
    <w:link w:val="57"/>
    <w:qFormat/>
    <w:uiPriority w:val="0"/>
    <w:pPr>
      <w:spacing w:line="360" w:lineRule="auto"/>
      <w:ind w:firstLine="480" w:firstLineChars="200"/>
      <w:jc w:val="left"/>
    </w:pPr>
    <w:rPr>
      <w:kern w:val="0"/>
      <w:sz w:val="24"/>
      <w:szCs w:val="22"/>
    </w:rPr>
  </w:style>
  <w:style w:type="character" w:customStyle="1" w:styleId="57">
    <w:name w:val="1正文段落 Char Char"/>
    <w:link w:val="56"/>
    <w:qFormat/>
    <w:uiPriority w:val="0"/>
    <w:rPr>
      <w:rFonts w:eastAsia="宋体"/>
      <w:sz w:val="24"/>
      <w:szCs w:val="22"/>
      <w:lang w:val="en-US" w:eastAsia="zh-CN" w:bidi="ar-SA"/>
    </w:rPr>
  </w:style>
  <w:style w:type="paragraph" w:customStyle="1" w:styleId="58">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59">
    <w:name w:val="正文文字 6"/>
    <w:next w:val="1"/>
    <w:qFormat/>
    <w:uiPriority w:val="99"/>
    <w:pPr>
      <w:widowControl w:val="0"/>
      <w:ind w:left="240"/>
      <w:jc w:val="both"/>
    </w:pPr>
    <w:rPr>
      <w:rFonts w:ascii="宋体" w:hAnsi="Times New Roman" w:eastAsia="宋体" w:cs="宋体"/>
      <w:b/>
      <w:bCs/>
      <w:kern w:val="2"/>
      <w:sz w:val="32"/>
      <w:szCs w:val="32"/>
      <w:lang w:val="en-US" w:eastAsia="zh-CN" w:bidi="ar-SA"/>
    </w:rPr>
  </w:style>
  <w:style w:type="character" w:customStyle="1" w:styleId="60">
    <w:name w:val="君邦正文 Char1"/>
    <w:link w:val="61"/>
    <w:qFormat/>
    <w:uiPriority w:val="0"/>
    <w:rPr>
      <w:bCs/>
      <w:snapToGrid w:val="0"/>
      <w:sz w:val="24"/>
      <w:lang w:val="en-US" w:eastAsia="zh-CN" w:bidi="ar-SA"/>
    </w:rPr>
  </w:style>
  <w:style w:type="paragraph" w:customStyle="1" w:styleId="61">
    <w:name w:val="君邦正文"/>
    <w:link w:val="60"/>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62">
    <w:name w:val="批注文字 字符1"/>
    <w:semiHidden/>
    <w:qFormat/>
    <w:uiPriority w:val="0"/>
    <w:rPr>
      <w:rFonts w:ascii="Times New Roman" w:hAnsi="Times New Roman" w:eastAsia="宋体"/>
      <w:sz w:val="24"/>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普通文字 Char1"/>
    <w:qFormat/>
    <w:uiPriority w:val="0"/>
    <w:rPr>
      <w:rFonts w:ascii="宋体" w:hAnsi="Courier New" w:eastAsia="宋体" w:cs="Courier New"/>
      <w:kern w:val="2"/>
      <w:sz w:val="21"/>
      <w:szCs w:val="21"/>
      <w:lang w:val="en-US" w:eastAsia="zh-CN" w:bidi="ar-SA"/>
    </w:rPr>
  </w:style>
  <w:style w:type="character" w:customStyle="1" w:styleId="65">
    <w:name w:val="fontstyle01"/>
    <w:qFormat/>
    <w:uiPriority w:val="0"/>
    <w:rPr>
      <w:rFonts w:hint="eastAsia" w:ascii="宋体" w:hAnsi="宋体" w:eastAsia="宋体"/>
      <w:color w:val="000000"/>
      <w:sz w:val="24"/>
      <w:szCs w:val="24"/>
    </w:rPr>
  </w:style>
  <w:style w:type="character" w:customStyle="1" w:styleId="66">
    <w:name w:val="日期 字符"/>
    <w:semiHidden/>
    <w:qFormat/>
    <w:uiPriority w:val="0"/>
    <w:rPr>
      <w:rFonts w:ascii="Times New Roman" w:hAnsi="Times New Roman" w:eastAsia="宋体"/>
      <w:sz w:val="24"/>
    </w:rPr>
  </w:style>
  <w:style w:type="character" w:customStyle="1" w:styleId="67">
    <w:name w:val="表格 Char"/>
    <w:link w:val="68"/>
    <w:qFormat/>
    <w:locked/>
    <w:uiPriority w:val="0"/>
    <w:rPr>
      <w:rFonts w:ascii="宋体"/>
      <w:sz w:val="21"/>
    </w:rPr>
  </w:style>
  <w:style w:type="paragraph" w:customStyle="1" w:styleId="68">
    <w:name w:val="表格"/>
    <w:basedOn w:val="1"/>
    <w:next w:val="1"/>
    <w:link w:val="67"/>
    <w:qFormat/>
    <w:uiPriority w:val="0"/>
    <w:pPr>
      <w:adjustRightInd w:val="0"/>
      <w:snapToGrid w:val="0"/>
      <w:spacing w:beforeLines="10" w:afterLines="10" w:line="259" w:lineRule="auto"/>
      <w:jc w:val="center"/>
    </w:pPr>
    <w:rPr>
      <w:rFonts w:ascii="宋体"/>
      <w:kern w:val="0"/>
      <w:szCs w:val="20"/>
    </w:rPr>
  </w:style>
  <w:style w:type="character" w:customStyle="1" w:styleId="69">
    <w:name w:val="dan7-1 Char Char Char Char"/>
    <w:link w:val="70"/>
    <w:qFormat/>
    <w:uiPriority w:val="0"/>
    <w:rPr>
      <w:kern w:val="2"/>
      <w:sz w:val="24"/>
      <w:szCs w:val="24"/>
      <w:lang w:bidi="ar-SA"/>
    </w:rPr>
  </w:style>
  <w:style w:type="paragraph" w:customStyle="1" w:styleId="70">
    <w:name w:val="dan7-1"/>
    <w:basedOn w:val="1"/>
    <w:link w:val="69"/>
    <w:qFormat/>
    <w:uiPriority w:val="0"/>
    <w:pPr>
      <w:spacing w:before="40" w:after="40" w:line="360" w:lineRule="auto"/>
      <w:ind w:firstLine="200" w:firstLineChars="200"/>
    </w:pPr>
    <w:rPr>
      <w:sz w:val="24"/>
    </w:rPr>
  </w:style>
  <w:style w:type="character" w:customStyle="1" w:styleId="71">
    <w:name w:val="正文（首行缩进两字） Char3"/>
    <w:qFormat/>
    <w:uiPriority w:val="0"/>
    <w:rPr>
      <w:rFonts w:eastAsia="宋体"/>
      <w:kern w:val="2"/>
      <w:sz w:val="28"/>
      <w:szCs w:val="24"/>
      <w:lang w:val="en-US" w:eastAsia="zh-CN" w:bidi="ar-SA"/>
    </w:rPr>
  </w:style>
  <w:style w:type="character" w:customStyle="1" w:styleId="72">
    <w:name w:val="font11"/>
    <w:qFormat/>
    <w:uiPriority w:val="0"/>
    <w:rPr>
      <w:rFonts w:hint="default" w:ascii="Tahoma" w:hAnsi="Tahoma" w:eastAsia="Tahoma" w:cs="Tahoma"/>
      <w:color w:val="000000"/>
      <w:sz w:val="22"/>
      <w:szCs w:val="22"/>
      <w:u w:val="none"/>
    </w:rPr>
  </w:style>
  <w:style w:type="character" w:customStyle="1" w:styleId="73">
    <w:name w:val="fontstyle11"/>
    <w:qFormat/>
    <w:uiPriority w:val="0"/>
    <w:rPr>
      <w:rFonts w:hint="default" w:ascii="Times New Roman" w:hAnsi="Times New Roman" w:cs="Times New Roman"/>
      <w:b/>
      <w:color w:val="000000"/>
      <w:sz w:val="22"/>
      <w:szCs w:val="22"/>
    </w:rPr>
  </w:style>
  <w:style w:type="character" w:customStyle="1" w:styleId="74">
    <w:name w:val="fontstyle21"/>
    <w:qFormat/>
    <w:uiPriority w:val="0"/>
    <w:rPr>
      <w:rFonts w:ascii="TimesNewRomanPSMT" w:hAnsi="TimesNewRomanPSMT" w:eastAsia="TimesNewRomanPSMT" w:cs="TimesNewRomanPSMT"/>
      <w:color w:val="000000"/>
      <w:sz w:val="22"/>
      <w:szCs w:val="22"/>
    </w:rPr>
  </w:style>
  <w:style w:type="character" w:customStyle="1" w:styleId="75">
    <w:name w:val="font01"/>
    <w:qFormat/>
    <w:uiPriority w:val="0"/>
    <w:rPr>
      <w:rFonts w:hint="default" w:ascii="Times New Roman" w:hAnsi="Times New Roman" w:cs="Times New Roman"/>
      <w:color w:val="000000"/>
      <w:sz w:val="21"/>
      <w:szCs w:val="21"/>
      <w:u w:val="none"/>
      <w:vertAlign w:val="subscript"/>
    </w:rPr>
  </w:style>
  <w:style w:type="character" w:customStyle="1" w:styleId="76">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77">
    <w:name w:val="页脚 字符"/>
    <w:qFormat/>
    <w:uiPriority w:val="99"/>
  </w:style>
  <w:style w:type="character" w:customStyle="1" w:styleId="78">
    <w:name w:val="font21"/>
    <w:basedOn w:val="36"/>
    <w:qFormat/>
    <w:uiPriority w:val="0"/>
    <w:rPr>
      <w:rFonts w:hint="default" w:ascii="Times New Roman" w:hAnsi="Times New Roman" w:cs="Times New Roman"/>
      <w:color w:val="000000"/>
      <w:sz w:val="21"/>
      <w:szCs w:val="21"/>
      <w:u w:val="none"/>
    </w:rPr>
  </w:style>
  <w:style w:type="paragraph" w:customStyle="1" w:styleId="79">
    <w:name w:val="表中文字"/>
    <w:qFormat/>
    <w:uiPriority w:val="0"/>
    <w:pPr>
      <w:widowControl w:val="0"/>
      <w:tabs>
        <w:tab w:val="left" w:pos="3286"/>
        <w:tab w:val="left" w:pos="8362"/>
      </w:tabs>
      <w:snapToGrid w:val="0"/>
      <w:spacing w:line="340" w:lineRule="exact"/>
      <w:jc w:val="center"/>
    </w:pPr>
    <w:rPr>
      <w:rFonts w:ascii="Arial" w:hAnsi="Arial" w:eastAsia="楷体_GB2312" w:cs="Times New Roman"/>
      <w:kern w:val="2"/>
      <w:sz w:val="21"/>
      <w:szCs w:val="21"/>
      <w:shd w:val="clear" w:color="auto" w:fill="FFFFFF"/>
      <w:lang w:val="en-US" w:eastAsia="zh-CN" w:bidi="ar-SA"/>
    </w:rPr>
  </w:style>
  <w:style w:type="paragraph" w:customStyle="1" w:styleId="80">
    <w:name w:val="UserStyle_0"/>
    <w:qFormat/>
    <w:uiPriority w:val="0"/>
    <w:pPr>
      <w:spacing w:line="320" w:lineRule="exact"/>
      <w:jc w:val="center"/>
      <w:textAlignment w:val="baseline"/>
    </w:pPr>
    <w:rPr>
      <w:rFonts w:ascii="Times New Roman" w:hAnsi="Times New Roman" w:eastAsia="宋体" w:cs="Times New Roman"/>
      <w:spacing w:val="8"/>
      <w:sz w:val="21"/>
      <w:szCs w:val="28"/>
      <w:lang w:val="en-US" w:eastAsia="zh-CN" w:bidi="ar-SA"/>
    </w:rPr>
  </w:style>
  <w:style w:type="paragraph" w:customStyle="1" w:styleId="81">
    <w:name w:val="样式3"/>
    <w:basedOn w:val="82"/>
    <w:qFormat/>
    <w:uiPriority w:val="0"/>
    <w:pPr>
      <w:adjustRightInd/>
      <w:spacing w:line="500" w:lineRule="exact"/>
      <w:ind w:left="0" w:firstLine="200" w:firstLineChars="200"/>
      <w:jc w:val="both"/>
      <w:textAlignment w:val="auto"/>
      <w:outlineLvl w:val="1"/>
    </w:pPr>
    <w:rPr>
      <w:rFonts w:ascii="Times New Roman" w:hAnsi="Times New Roman" w:eastAsia="宋体" w:cs="Times New Roman"/>
      <w:kern w:val="2"/>
    </w:rPr>
  </w:style>
  <w:style w:type="paragraph" w:customStyle="1" w:styleId="82">
    <w:name w:val="样式2"/>
    <w:basedOn w:val="1"/>
    <w:qFormat/>
    <w:uiPriority w:val="0"/>
    <w:pPr>
      <w:adjustRightInd w:val="0"/>
      <w:ind w:left="170"/>
      <w:jc w:val="left"/>
      <w:textAlignment w:val="baseline"/>
    </w:pPr>
    <w:rPr>
      <w:rFonts w:ascii="Times New Roman" w:hAnsi="Times New Roman" w:eastAsia="宋体" w:cs="Times New Roman"/>
      <w:b/>
      <w:kern w:val="0"/>
      <w:sz w:val="24"/>
      <w:szCs w:val="20"/>
    </w:rPr>
  </w:style>
  <w:style w:type="paragraph" w:customStyle="1" w:styleId="83">
    <w:name w:val="环评-表格内容"/>
    <w:basedOn w:val="1"/>
    <w:next w:val="1"/>
    <w:qFormat/>
    <w:uiPriority w:val="0"/>
    <w:pPr>
      <w:spacing w:line="240" w:lineRule="auto"/>
      <w:ind w:firstLine="0" w:firstLineChars="0"/>
      <w:jc w:val="center"/>
    </w:pPr>
    <w:rPr>
      <w:rFonts w:ascii="Times New Roman" w:hAnsi="Times New Roman" w:eastAsia="宋体" w:cs="Times New Roman"/>
      <w:sz w:val="21"/>
    </w:rPr>
  </w:style>
  <w:style w:type="paragraph" w:customStyle="1" w:styleId="84">
    <w:name w:val="表格内容自定"/>
    <w:basedOn w:val="1"/>
    <w:qFormat/>
    <w:uiPriority w:val="0"/>
    <w:pPr>
      <w:spacing w:line="280" w:lineRule="exact"/>
      <w:jc w:val="center"/>
    </w:pPr>
    <w:rPr>
      <w:rFonts w:ascii="宋体" w:hAnsi="宋体" w:cs="宋体"/>
      <w:sz w:val="18"/>
      <w:szCs w:val="21"/>
    </w:rPr>
  </w:style>
  <w:style w:type="paragraph" w:customStyle="1" w:styleId="85">
    <w:name w:val="二级无标题条"/>
    <w:basedOn w:val="1"/>
    <w:qFormat/>
    <w:uiPriority w:val="0"/>
    <w:rPr>
      <w:rFonts w:ascii="Times New Roman" w:hAnsi="Times New Roman" w:eastAsia="宋体" w:cs="Times New Roman"/>
    </w:rPr>
  </w:style>
  <w:style w:type="paragraph" w:customStyle="1" w:styleId="86">
    <w:name w:val="表头"/>
    <w:basedOn w:val="8"/>
    <w:next w:val="1"/>
    <w:qFormat/>
    <w:uiPriority w:val="0"/>
    <w:pPr>
      <w:tabs>
        <w:tab w:val="left" w:pos="1485"/>
        <w:tab w:val="center" w:pos="4113"/>
      </w:tabs>
      <w:spacing w:line="480" w:lineRule="exact"/>
      <w:ind w:firstLine="0" w:firstLineChars="0"/>
      <w:jc w:val="center"/>
    </w:pPr>
    <w:rPr>
      <w:rFonts w:ascii="黑体" w:eastAsia="黑体"/>
      <w:spacing w:val="6"/>
      <w:position w:val="10"/>
      <w:szCs w:val="20"/>
    </w:rPr>
  </w:style>
  <w:style w:type="paragraph" w:customStyle="1" w:styleId="87">
    <w:name w:val="表格内容"/>
    <w:basedOn w:val="88"/>
    <w:next w:val="1"/>
    <w:qFormat/>
    <w:uiPriority w:val="0"/>
    <w:pPr>
      <w:spacing w:line="240" w:lineRule="atLeast"/>
      <w:jc w:val="center"/>
    </w:pPr>
    <w:rPr>
      <w:szCs w:val="20"/>
    </w:rPr>
  </w:style>
  <w:style w:type="paragraph" w:customStyle="1" w:styleId="88">
    <w:name w:val="表格标题"/>
    <w:basedOn w:val="1"/>
    <w:next w:val="87"/>
    <w:qFormat/>
    <w:uiPriority w:val="0"/>
    <w:pPr>
      <w:spacing w:line="240" w:lineRule="auto"/>
      <w:ind w:firstLine="0" w:firstLineChars="0"/>
      <w:jc w:val="center"/>
    </w:pPr>
    <w:rPr>
      <w:rFonts w:ascii="Times New Roman" w:hAnsi="Times New Roman" w:cs="Times New Roman"/>
      <w:b/>
      <w:sz w:val="21"/>
      <w:szCs w:val="24"/>
      <w:lang w:bidi="ar-SA"/>
    </w:rPr>
  </w:style>
  <w:style w:type="paragraph" w:customStyle="1" w:styleId="89">
    <w:name w:val="！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90">
    <w:name w:val="p0"/>
    <w:basedOn w:val="1"/>
    <w:qFormat/>
    <w:uiPriority w:val="0"/>
    <w:pPr>
      <w:widowControl/>
      <w:jc w:val="left"/>
    </w:pPr>
    <w:rPr>
      <w:rFonts w:ascii="宋体" w:hAnsi="宋体"/>
      <w:kern w:val="0"/>
      <w:sz w:val="24"/>
      <w:szCs w:val="20"/>
    </w:rPr>
  </w:style>
  <w:style w:type="paragraph" w:customStyle="1" w:styleId="9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2">
    <w:name w:val="表蕊居中"/>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paragraph" w:customStyle="1" w:styleId="93">
    <w:name w:val="表标题2"/>
    <w:basedOn w:val="1"/>
    <w:qFormat/>
    <w:uiPriority w:val="0"/>
    <w:pPr>
      <w:jc w:val="center"/>
    </w:pPr>
    <w:rPr>
      <w:rFonts w:ascii="Times New Roman" w:hAnsi="Times New Roman" w:eastAsia="宋体" w:cs="Times New Roman"/>
      <w:bCs/>
    </w:rPr>
  </w:style>
  <w:style w:type="paragraph" w:customStyle="1" w:styleId="94">
    <w:name w:val="表格填充1"/>
    <w:basedOn w:val="1"/>
    <w:qFormat/>
    <w:uiPriority w:val="0"/>
    <w:pPr>
      <w:adjustRightInd w:val="0"/>
      <w:snapToGrid w:val="0"/>
      <w:spacing w:line="400" w:lineRule="exact"/>
      <w:jc w:val="center"/>
    </w:pPr>
    <w:rPr>
      <w:rFonts w:ascii="Times New Roman" w:hAnsi="Times New Roman" w:eastAsia="宋体" w:cs="Times New Roman"/>
      <w:snapToGrid w:val="0"/>
      <w:szCs w:val="18"/>
    </w:rPr>
  </w:style>
  <w:style w:type="paragraph" w:customStyle="1" w:styleId="95">
    <w:name w:val="列出段落1"/>
    <w:basedOn w:val="1"/>
    <w:qFormat/>
    <w:uiPriority w:val="34"/>
    <w:pPr>
      <w:ind w:firstLine="420" w:firstLineChars="200"/>
    </w:pPr>
    <w:rPr>
      <w:rFonts w:ascii="Calibri" w:hAnsi="Calibri"/>
    </w:rPr>
  </w:style>
  <w:style w:type="paragraph" w:customStyle="1" w:styleId="96">
    <w:name w:val="Table Paragraph"/>
    <w:basedOn w:val="1"/>
    <w:qFormat/>
    <w:uiPriority w:val="0"/>
    <w:pPr>
      <w:autoSpaceDE w:val="0"/>
      <w:autoSpaceDN w:val="0"/>
      <w:adjustRightInd w:val="0"/>
      <w:jc w:val="left"/>
    </w:pPr>
    <w:rPr>
      <w:kern w:val="0"/>
      <w:sz w:val="24"/>
    </w:rPr>
  </w:style>
  <w:style w:type="paragraph" w:customStyle="1" w:styleId="97">
    <w:name w:val="正文 首行缩进:  2 字符"/>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paragraph" w:customStyle="1" w:styleId="98">
    <w:name w:val="表格5"/>
    <w:basedOn w:val="1"/>
    <w:qFormat/>
    <w:uiPriority w:val="0"/>
    <w:pPr>
      <w:spacing w:line="360" w:lineRule="auto"/>
      <w:jc w:val="center"/>
    </w:pPr>
    <w:rPr>
      <w:kern w:val="0"/>
    </w:rPr>
  </w:style>
  <w:style w:type="paragraph" w:customStyle="1" w:styleId="99">
    <w:name w:val="_Style 61"/>
    <w:basedOn w:val="1"/>
    <w:next w:val="1"/>
    <w:qFormat/>
    <w:uiPriority w:val="0"/>
    <w:pPr>
      <w:pBdr>
        <w:bottom w:val="single" w:color="auto" w:sz="6" w:space="1"/>
      </w:pBdr>
      <w:jc w:val="center"/>
    </w:pPr>
    <w:rPr>
      <w:rFonts w:ascii="Arial"/>
      <w:vanish/>
      <w:sz w:val="16"/>
    </w:rPr>
  </w:style>
  <w:style w:type="paragraph" w:customStyle="1" w:styleId="100">
    <w:name w:val="1"/>
    <w:basedOn w:val="1"/>
    <w:next w:val="8"/>
    <w:qFormat/>
    <w:uiPriority w:val="0"/>
    <w:rPr>
      <w:rFonts w:ascii="宋体" w:hAnsi="Courier New" w:cs="Courier New"/>
      <w:szCs w:val="21"/>
    </w:rPr>
  </w:style>
  <w:style w:type="paragraph" w:customStyle="1" w:styleId="101">
    <w:name w:val="表格标题--中祥"/>
    <w:basedOn w:val="1"/>
    <w:qFormat/>
    <w:uiPriority w:val="0"/>
    <w:pPr>
      <w:spacing w:line="320" w:lineRule="exact"/>
      <w:ind w:firstLine="542" w:firstLineChars="200"/>
      <w:jc w:val="center"/>
    </w:pPr>
    <w:rPr>
      <w:b/>
      <w:color w:val="000000"/>
      <w:sz w:val="24"/>
      <w:szCs w:val="22"/>
      <w:lang w:val="zh-CN"/>
    </w:rPr>
  </w:style>
  <w:style w:type="paragraph" w:customStyle="1" w:styleId="102">
    <w:name w:val="表格内容--中祥"/>
    <w:basedOn w:val="1"/>
    <w:qFormat/>
    <w:uiPriority w:val="0"/>
    <w:pPr>
      <w:jc w:val="center"/>
    </w:pPr>
    <w:rPr>
      <w:kern w:val="0"/>
      <w:szCs w:val="21"/>
    </w:rPr>
  </w:style>
  <w:style w:type="paragraph" w:customStyle="1" w:styleId="103">
    <w:name w:val="正式文本"/>
    <w:basedOn w:val="1"/>
    <w:qFormat/>
    <w:uiPriority w:val="0"/>
    <w:pPr>
      <w:adjustRightInd w:val="0"/>
      <w:snapToGrid w:val="0"/>
      <w:spacing w:line="360" w:lineRule="auto"/>
      <w:ind w:firstLine="420" w:firstLineChars="200"/>
      <w:jc w:val="left"/>
    </w:pPr>
    <w:rPr>
      <w:bCs/>
      <w:szCs w:val="21"/>
    </w:rPr>
  </w:style>
  <w:style w:type="paragraph" w:customStyle="1" w:styleId="10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5">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106">
    <w:name w:val="列出段落"/>
    <w:basedOn w:val="1"/>
    <w:qFormat/>
    <w:uiPriority w:val="0"/>
    <w:pPr>
      <w:ind w:firstLine="420" w:firstLineChars="200"/>
    </w:pPr>
  </w:style>
  <w:style w:type="paragraph" w:customStyle="1" w:styleId="107">
    <w:name w:val="文本"/>
    <w:qFormat/>
    <w:uiPriority w:val="0"/>
    <w:pPr>
      <w:widowControl w:val="0"/>
      <w:autoSpaceDE w:val="0"/>
      <w:autoSpaceDN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9">
    <w:name w:val="表标题"/>
    <w:basedOn w:val="1"/>
    <w:qFormat/>
    <w:uiPriority w:val="0"/>
    <w:pPr>
      <w:spacing w:line="360" w:lineRule="auto"/>
      <w:jc w:val="center"/>
    </w:pPr>
    <w:rPr>
      <w:b/>
      <w:bCs/>
      <w:szCs w:val="22"/>
    </w:rPr>
  </w:style>
  <w:style w:type="paragraph" w:customStyle="1" w:styleId="110">
    <w:name w:val="样式 报告书正文 + 小三 加粗 首行缩进:  0 厘米 行距: 固定值 25 磅"/>
    <w:basedOn w:val="1"/>
    <w:qFormat/>
    <w:uiPriority w:val="0"/>
    <w:pPr>
      <w:adjustRightInd w:val="0"/>
      <w:snapToGrid w:val="0"/>
      <w:spacing w:line="500" w:lineRule="exact"/>
      <w:jc w:val="left"/>
      <w:textAlignment w:val="baseline"/>
    </w:pPr>
    <w:rPr>
      <w:rFonts w:ascii="Times New Roman" w:hAnsi="Times New Roman" w:eastAsia="宋体" w:cs="宋体"/>
      <w:b/>
      <w:bCs/>
      <w:kern w:val="0"/>
      <w:sz w:val="28"/>
      <w:szCs w:val="20"/>
    </w:rPr>
  </w:style>
  <w:style w:type="paragraph" w:customStyle="1" w:styleId="111">
    <w:name w:val="居中正文"/>
    <w:basedOn w:val="33"/>
    <w:qFormat/>
    <w:uiPriority w:val="0"/>
    <w:pPr>
      <w:adjustRightInd w:val="0"/>
      <w:spacing w:before="120" w:beforeLines="0" w:after="0" w:afterLines="0" w:line="360" w:lineRule="auto"/>
      <w:ind w:firstLine="0" w:firstLineChars="0"/>
      <w:jc w:val="center"/>
      <w:textAlignment w:val="baseline"/>
    </w:pPr>
    <w:rPr>
      <w:rFonts w:ascii="宋体" w:hAnsi="Times New Roman" w:eastAsia="宋体" w:cs="Times New Roman"/>
      <w:kern w:val="28"/>
      <w:sz w:val="24"/>
      <w:szCs w:val="20"/>
    </w:rPr>
  </w:style>
  <w:style w:type="paragraph" w:customStyle="1" w:styleId="112">
    <w:name w:val="表格正文"/>
    <w:basedOn w:val="1"/>
    <w:qFormat/>
    <w:uiPriority w:val="0"/>
    <w:pPr>
      <w:widowControl/>
      <w:tabs>
        <w:tab w:val="left" w:pos="995"/>
      </w:tabs>
      <w:spacing w:line="240" w:lineRule="auto"/>
      <w:ind w:firstLine="0" w:firstLineChars="0"/>
      <w:jc w:val="center"/>
    </w:pPr>
    <w:rPr>
      <w:kern w:val="0"/>
      <w:sz w:val="18"/>
      <w:szCs w:val="20"/>
    </w:rPr>
  </w:style>
  <w:style w:type="paragraph" w:customStyle="1" w:styleId="113">
    <w:name w:val="三级标题"/>
    <w:basedOn w:val="1"/>
    <w:qFormat/>
    <w:uiPriority w:val="0"/>
    <w:pPr>
      <w:spacing w:before="300" w:line="460" w:lineRule="exact"/>
      <w:outlineLvl w:val="2"/>
    </w:pPr>
    <w:rPr>
      <w:b/>
      <w:sz w:val="24"/>
      <w:szCs w:val="20"/>
    </w:rPr>
  </w:style>
  <w:style w:type="paragraph" w:customStyle="1" w:styleId="114">
    <w:name w:val="默认段落字体 Para Char Char Char Char Char Char Char Char Char Char Char Char Char"/>
    <w:basedOn w:val="1"/>
    <w:qFormat/>
    <w:uiPriority w:val="0"/>
  </w:style>
  <w:style w:type="paragraph" w:customStyle="1" w:styleId="115">
    <w:name w:val="正文(首行缩进)"/>
    <w:basedOn w:val="1"/>
    <w:qFormat/>
    <w:uiPriority w:val="0"/>
    <w:pPr>
      <w:adjustRightInd w:val="0"/>
      <w:snapToGrid w:val="0"/>
      <w:spacing w:line="360" w:lineRule="auto"/>
      <w:ind w:firstLine="200" w:firstLineChars="200"/>
    </w:pPr>
    <w:rPr>
      <w:rFonts w:eastAsia="宋体"/>
      <w:snapToGrid w:val="0"/>
      <w:sz w:val="24"/>
      <w:szCs w:val="24"/>
      <w:lang w:val="en-US" w:eastAsia="zh-CN" w:bidi="ar-SA"/>
    </w:rPr>
  </w:style>
  <w:style w:type="paragraph" w:customStyle="1" w:styleId="116">
    <w:name w:val="样式13"/>
    <w:basedOn w:val="1"/>
    <w:qFormat/>
    <w:uiPriority w:val="0"/>
    <w:pPr>
      <w:spacing w:line="360" w:lineRule="auto"/>
      <w:ind w:firstLine="480" w:firstLineChars="200"/>
    </w:pPr>
    <w:rPr>
      <w:color w:val="000000"/>
      <w:sz w:val="24"/>
    </w:rPr>
  </w:style>
  <w:style w:type="paragraph" w:customStyle="1" w:styleId="117">
    <w:name w:val="样式12"/>
    <w:basedOn w:val="1"/>
    <w:qFormat/>
    <w:uiPriority w:val="0"/>
    <w:pPr>
      <w:jc w:val="center"/>
    </w:pPr>
    <w:rPr>
      <w:szCs w:val="21"/>
    </w:rPr>
  </w:style>
  <w:style w:type="paragraph" w:customStyle="1" w:styleId="118">
    <w:name w:val="1表格"/>
    <w:basedOn w:val="1"/>
    <w:qFormat/>
    <w:uiPriority w:val="0"/>
    <w:pPr>
      <w:snapToGrid w:val="0"/>
      <w:spacing w:line="300" w:lineRule="auto"/>
      <w:jc w:val="center"/>
      <w:outlineLvl w:val="4"/>
    </w:pPr>
    <w:rPr>
      <w:spacing w:val="4"/>
    </w:rPr>
  </w:style>
  <w:style w:type="character" w:customStyle="1" w:styleId="119">
    <w:name w:val="font71"/>
    <w:qFormat/>
    <w:uiPriority w:val="0"/>
    <w:rPr>
      <w:rFonts w:hint="eastAsia" w:ascii="宋体" w:hAnsi="宋体" w:eastAsia="宋体" w:cs="宋体"/>
      <w:color w:val="000000"/>
      <w:sz w:val="21"/>
      <w:szCs w:val="21"/>
      <w:u w:val="none"/>
    </w:rPr>
  </w:style>
  <w:style w:type="character" w:customStyle="1" w:styleId="120">
    <w:name w:val="font51"/>
    <w:qFormat/>
    <w:uiPriority w:val="0"/>
    <w:rPr>
      <w:rFonts w:hint="default" w:ascii="Times New Roman" w:hAnsi="Times New Roman" w:cs="Times New Roman"/>
      <w:color w:val="000000"/>
      <w:sz w:val="21"/>
      <w:szCs w:val="21"/>
      <w:u w:val="none"/>
      <w:vertAlign w:val="subscript"/>
    </w:rPr>
  </w:style>
  <w:style w:type="paragraph" w:customStyle="1" w:styleId="121">
    <w:name w:val="报告 两端对齐 首行缩进:  2 字符"/>
    <w:qFormat/>
    <w:uiPriority w:val="0"/>
    <w:pPr>
      <w:spacing w:line="360" w:lineRule="auto"/>
      <w:ind w:firstLine="200" w:firstLineChars="200"/>
      <w:jc w:val="both"/>
    </w:pPr>
    <w:rPr>
      <w:rFonts w:ascii="宋体" w:hAnsi="Times New Roman" w:eastAsia="宋体" w:cs="宋体"/>
      <w:kern w:val="2"/>
      <w:sz w:val="24"/>
      <w:szCs w:val="24"/>
      <w:lang w:val="en-US" w:eastAsia="zh-CN" w:bidi="ar-SA"/>
    </w:rPr>
  </w:style>
  <w:style w:type="paragraph" w:customStyle="1" w:styleId="122">
    <w:name w:val="报告表正文"/>
    <w:basedOn w:val="1"/>
    <w:qFormat/>
    <w:uiPriority w:val="0"/>
    <w:pPr>
      <w:adjustRightInd w:val="0"/>
      <w:spacing w:line="312" w:lineRule="auto"/>
      <w:ind w:left="113" w:right="113" w:firstLine="482"/>
      <w:jc w:val="left"/>
      <w:textAlignment w:val="baseline"/>
    </w:pPr>
    <w:rPr>
      <w:kern w:val="0"/>
      <w:sz w:val="24"/>
    </w:rPr>
  </w:style>
  <w:style w:type="character" w:customStyle="1" w:styleId="123">
    <w:name w:val="font41"/>
    <w:qFormat/>
    <w:uiPriority w:val="0"/>
    <w:rPr>
      <w:rFonts w:hint="default" w:ascii="Times New Roman" w:hAnsi="Times New Roman" w:cs="Times New Roman"/>
      <w:color w:val="000000"/>
      <w:sz w:val="21"/>
      <w:szCs w:val="21"/>
      <w:u w:val="none"/>
      <w:vertAlign w:val="superscript"/>
    </w:rPr>
  </w:style>
  <w:style w:type="character" w:customStyle="1" w:styleId="124">
    <w:name w:val="font31"/>
    <w:qFormat/>
    <w:uiPriority w:val="0"/>
    <w:rPr>
      <w:rFonts w:hint="eastAsia" w:ascii="宋体" w:hAnsi="宋体" w:eastAsia="宋体" w:cs="宋体"/>
      <w:color w:val="000000"/>
      <w:sz w:val="21"/>
      <w:szCs w:val="21"/>
      <w:u w:val="none"/>
    </w:rPr>
  </w:style>
  <w:style w:type="table" w:customStyle="1" w:styleId="125">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126">
    <w:name w:val="表格内部-LYJ"/>
    <w:basedOn w:val="1"/>
    <w:qFormat/>
    <w:uiPriority w:val="0"/>
    <w:pPr>
      <w:jc w:val="center"/>
    </w:pPr>
    <w:rPr>
      <w:kern w:val="24"/>
      <w:szCs w:val="18"/>
    </w:rPr>
  </w:style>
  <w:style w:type="paragraph" w:customStyle="1" w:styleId="127">
    <w:name w:val="正文-zl"/>
    <w:basedOn w:val="1"/>
    <w:qFormat/>
    <w:uiPriority w:val="0"/>
    <w:pPr>
      <w:spacing w:line="360" w:lineRule="auto"/>
      <w:ind w:firstLine="480" w:firstLineChars="200"/>
    </w:pPr>
    <w:rPr>
      <w:color w:val="000000"/>
      <w:sz w:val="24"/>
    </w:rPr>
  </w:style>
  <w:style w:type="paragraph" w:customStyle="1" w:styleId="128">
    <w:name w:val="表-zl"/>
    <w:basedOn w:val="1"/>
    <w:qFormat/>
    <w:uiPriority w:val="0"/>
    <w:pPr>
      <w:spacing w:before="120" w:beforeLines="50"/>
      <w:jc w:val="center"/>
    </w:pPr>
    <w:rPr>
      <w:b/>
      <w:bCs/>
      <w:szCs w:val="21"/>
    </w:rPr>
  </w:style>
  <w:style w:type="paragraph" w:customStyle="1" w:styleId="129">
    <w:name w:val="xl36"/>
    <w:basedOn w:val="1"/>
    <w:qFormat/>
    <w:uiPriority w:val="0"/>
    <w:pPr>
      <w:widowControl/>
      <w:spacing w:before="100" w:beforeAutospacing="1" w:after="100" w:afterAutospacing="1"/>
      <w:jc w:val="center"/>
    </w:pPr>
    <w:rPr>
      <w:rFonts w:ascii="楷体_GB2312" w:hAnsi="Arial Unicode MS" w:eastAsia="楷体_GB2312"/>
      <w:b/>
      <w:bCs/>
      <w:kern w:val="0"/>
      <w:sz w:val="28"/>
      <w:szCs w:val="28"/>
    </w:rPr>
  </w:style>
  <w:style w:type="paragraph" w:customStyle="1" w:styleId="130">
    <w:name w:val="Table Text"/>
    <w:basedOn w:val="1"/>
    <w:semiHidden/>
    <w:qFormat/>
    <w:uiPriority w:val="0"/>
    <w:rPr>
      <w:rFonts w:ascii="宋体" w:hAnsi="宋体" w:eastAsia="宋体" w:cs="宋体"/>
      <w:sz w:val="20"/>
      <w:szCs w:val="20"/>
      <w:lang w:val="en-US" w:eastAsia="en-US" w:bidi="ar-SA"/>
    </w:rPr>
  </w:style>
  <w:style w:type="paragraph" w:customStyle="1" w:styleId="131">
    <w:name w:val="表格、图表名称"/>
    <w:basedOn w:val="132"/>
    <w:qFormat/>
    <w:uiPriority w:val="0"/>
    <w:pPr>
      <w:numPr>
        <w:ilvl w:val="0"/>
        <w:numId w:val="0"/>
      </w:numPr>
      <w:jc w:val="center"/>
    </w:pPr>
    <w:rPr>
      <w:b/>
    </w:rPr>
  </w:style>
  <w:style w:type="paragraph" w:customStyle="1" w:styleId="132">
    <w:name w:val="5级标题"/>
    <w:basedOn w:val="1"/>
    <w:semiHidden/>
    <w:qFormat/>
    <w:uiPriority w:val="0"/>
    <w:pPr>
      <w:numPr>
        <w:ilvl w:val="0"/>
        <w:numId w:val="2"/>
      </w:numPr>
      <w:jc w:val="left"/>
    </w:pPr>
  </w:style>
  <w:style w:type="paragraph" w:customStyle="1" w:styleId="133">
    <w:name w:val="正文 + 仿宋_GB2312"/>
    <w:basedOn w:val="1"/>
    <w:qFormat/>
    <w:uiPriority w:val="99"/>
    <w:pPr>
      <w:ind w:firstLine="480" w:firstLineChars="200"/>
    </w:pPr>
    <w:rPr>
      <w:rFonts w:ascii="仿宋_GB2312" w:hAnsi="Calibri" w:eastAsia="仿宋_GB2312" w:cs="仿宋_GB2312"/>
      <w:sz w:val="24"/>
      <w:szCs w:val="24"/>
    </w:rPr>
  </w:style>
  <w:style w:type="paragraph" w:customStyle="1" w:styleId="134">
    <w:name w:val="表头1"/>
    <w:basedOn w:val="19"/>
    <w:qFormat/>
    <w:uiPriority w:val="0"/>
    <w:pPr>
      <w:adjustRightInd w:val="0"/>
      <w:spacing w:before="120" w:line="360" w:lineRule="auto"/>
      <w:ind w:firstLine="200" w:firstLineChars="200"/>
      <w:jc w:val="center"/>
      <w:textAlignment w:val="baseline"/>
    </w:pPr>
    <w:rPr>
      <w:rFonts w:ascii="Times New Roman" w:hAnsi="Times New Roman" w:eastAsia="宋体"/>
      <w:snapToGrid/>
      <w:color w:val="000000"/>
      <w:sz w:val="24"/>
    </w:rPr>
  </w:style>
  <w:style w:type="paragraph" w:customStyle="1" w:styleId="135">
    <w:name w:val="表标-H"/>
    <w:basedOn w:val="1"/>
    <w:next w:val="1"/>
    <w:qFormat/>
    <w:uiPriority w:val="0"/>
    <w:pPr>
      <w:adjustRightInd w:val="0"/>
      <w:spacing w:line="240" w:lineRule="auto"/>
      <w:ind w:firstLine="0" w:firstLineChars="0"/>
      <w:jc w:val="center"/>
      <w:textAlignment w:val="baseline"/>
    </w:pPr>
    <w:rPr>
      <w:b/>
      <w:kern w:val="0"/>
      <w:sz w:val="21"/>
      <w:szCs w:val="20"/>
    </w:rPr>
  </w:style>
  <w:style w:type="paragraph" w:customStyle="1" w:styleId="136">
    <w:name w:val="表内-H"/>
    <w:basedOn w:val="1"/>
    <w:qFormat/>
    <w:uiPriority w:val="0"/>
    <w:pPr>
      <w:spacing w:line="280" w:lineRule="exact"/>
      <w:ind w:firstLine="0" w:firstLineChars="0"/>
      <w:jc w:val="center"/>
    </w:pPr>
    <w:rPr>
      <w:rFonts w:ascii="Times New Roman" w:hAnsi="Times New Roman"/>
      <w:kern w:val="0"/>
      <w:sz w:val="21"/>
      <w:szCs w:val="21"/>
    </w:rPr>
  </w:style>
  <w:style w:type="paragraph" w:customStyle="1" w:styleId="137">
    <w:name w:val="正文2"/>
    <w:qFormat/>
    <w:uiPriority w:val="0"/>
    <w:pPr>
      <w:jc w:val="both"/>
    </w:pPr>
    <w:rPr>
      <w:rFonts w:ascii="Calibri" w:hAnsi="Calibri" w:eastAsia="宋体" w:cs="Calibri"/>
      <w:kern w:val="2"/>
      <w:sz w:val="21"/>
      <w:szCs w:val="21"/>
      <w:lang w:val="en-US" w:eastAsia="zh-CN" w:bidi="ar-SA"/>
    </w:rPr>
  </w:style>
  <w:style w:type="paragraph" w:customStyle="1" w:styleId="138">
    <w:name w:val="样式 正文文本缩进 + 行距: 1.5 倍行距"/>
    <w:basedOn w:val="139"/>
    <w:qFormat/>
    <w:uiPriority w:val="0"/>
    <w:pPr>
      <w:snapToGrid/>
      <w:spacing w:before="0" w:after="120" w:line="360" w:lineRule="auto"/>
      <w:ind w:left="90" w:leftChars="32" w:firstLine="560" w:firstLineChars="200"/>
    </w:pPr>
    <w:rPr>
      <w:rFonts w:ascii="Times New Roman" w:eastAsia="宋体" w:cs="宋体"/>
    </w:rPr>
  </w:style>
  <w:style w:type="paragraph" w:customStyle="1" w:styleId="139">
    <w:name w:val="正文文本缩进1"/>
    <w:basedOn w:val="1"/>
    <w:next w:val="138"/>
    <w:qFormat/>
    <w:uiPriority w:val="0"/>
    <w:pPr>
      <w:spacing w:after="120"/>
      <w:ind w:left="420" w:leftChars="200"/>
    </w:pPr>
    <w:rPr>
      <w:sz w:val="24"/>
    </w:rPr>
  </w:style>
  <w:style w:type="paragraph" w:customStyle="1" w:styleId="140">
    <w:name w:val="表"/>
    <w:basedOn w:val="1"/>
    <w:qFormat/>
    <w:uiPriority w:val="0"/>
    <w:pPr>
      <w:snapToGrid w:val="0"/>
      <w:jc w:val="center"/>
    </w:pPr>
    <w:rPr>
      <w:spacing w:val="2"/>
      <w:sz w:val="24"/>
      <w:szCs w:val="20"/>
    </w:rPr>
  </w:style>
  <w:style w:type="paragraph" w:customStyle="1" w:styleId="141">
    <w:name w:val="样式35"/>
    <w:basedOn w:val="1"/>
    <w:qFormat/>
    <w:uiPriority w:val="0"/>
    <w:pPr>
      <w:adjustRightInd w:val="0"/>
      <w:spacing w:line="312" w:lineRule="auto"/>
      <w:ind w:firstLine="567"/>
    </w:pPr>
    <w:rPr>
      <w:rFonts w:ascii="宋体"/>
      <w:kern w:val="0"/>
      <w:sz w:val="28"/>
      <w:szCs w:val="20"/>
    </w:rPr>
  </w:style>
  <w:style w:type="paragraph" w:customStyle="1" w:styleId="142">
    <w:name w:val="报告表表格"/>
    <w:basedOn w:val="1"/>
    <w:qFormat/>
    <w:uiPriority w:val="0"/>
    <w:pPr>
      <w:spacing w:line="360" w:lineRule="exact"/>
      <w:jc w:val="center"/>
    </w:pPr>
    <w:rPr>
      <w:rFonts w:ascii="Arial" w:hAnsi="Arial" w:cs="Arial Unicode MS"/>
      <w:szCs w:val="21"/>
    </w:rPr>
  </w:style>
  <w:style w:type="paragraph" w:customStyle="1" w:styleId="143">
    <w:name w:val="正文01"/>
    <w:basedOn w:val="3"/>
    <w:qFormat/>
    <w:uiPriority w:val="0"/>
    <w:pPr>
      <w:keepNext w:val="0"/>
      <w:keepLines w:val="0"/>
      <w:spacing w:before="60" w:after="0" w:line="460" w:lineRule="exact"/>
      <w:ind w:firstLine="200" w:firstLineChars="200"/>
      <w:outlineLvl w:val="9"/>
    </w:pPr>
    <w:rPr>
      <w:rFonts w:ascii="Times New Roman" w:hAnsi="Times New Roman" w:eastAsia="宋体"/>
      <w:b w:val="0"/>
      <w:sz w:val="24"/>
      <w:szCs w:val="24"/>
    </w:rPr>
  </w:style>
  <w:style w:type="paragraph" w:customStyle="1" w:styleId="144">
    <w:name w:val="li_正文"/>
    <w:basedOn w:val="1"/>
    <w:qFormat/>
    <w:uiPriority w:val="0"/>
    <w:pPr>
      <w:tabs>
        <w:tab w:val="left" w:pos="2340"/>
        <w:tab w:val="left" w:pos="4320"/>
      </w:tabs>
      <w:ind w:firstLine="530" w:firstLineChars="200"/>
      <w:jc w:val="left"/>
    </w:pPr>
    <w:rPr>
      <w:sz w:val="28"/>
      <w:szCs w:val="28"/>
    </w:rPr>
  </w:style>
  <w:style w:type="character" w:customStyle="1" w:styleId="145">
    <w:name w:val="unnamed11"/>
    <w:qFormat/>
    <w:uiPriority w:val="0"/>
    <w:rPr>
      <w:sz w:val="21"/>
      <w:szCs w:val="21"/>
    </w:rPr>
  </w:style>
  <w:style w:type="paragraph" w:customStyle="1" w:styleId="146">
    <w:name w:val="！ 正文"/>
    <w:basedOn w:val="1"/>
    <w:qFormat/>
    <w:uiPriority w:val="0"/>
    <w:pPr>
      <w:adjustRightInd w:val="0"/>
      <w:snapToGrid w:val="0"/>
      <w:spacing w:line="360" w:lineRule="auto"/>
      <w:ind w:firstLine="200" w:firstLineChars="200"/>
    </w:pPr>
    <w:rPr>
      <w:sz w:val="24"/>
      <w:szCs w:val="24"/>
    </w:rPr>
  </w:style>
  <w:style w:type="paragraph" w:customStyle="1" w:styleId="147">
    <w:name w:val="表文"/>
    <w:qFormat/>
    <w:uiPriority w:val="99"/>
    <w:pPr>
      <w:widowControl w:val="0"/>
      <w:adjustRightInd w:val="0"/>
      <w:jc w:val="center"/>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2.png"/><Relationship Id="rId4" Type="http://schemas.openxmlformats.org/officeDocument/2006/relationships/footer" Target="foot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7.bin"/><Relationship Id="rId27" Type="http://schemas.openxmlformats.org/officeDocument/2006/relationships/image" Target="media/image11.wmf"/><Relationship Id="rId26" Type="http://schemas.openxmlformats.org/officeDocument/2006/relationships/oleObject" Target="embeddings/oleObject6.bin"/><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oleObject" Target="embeddings/oleObject4.bin"/><Relationship Id="rId16" Type="http://schemas.openxmlformats.org/officeDocument/2006/relationships/image" Target="media/image3.w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生态环境部制</Company>
  <Pages>57</Pages>
  <Words>9351</Words>
  <Characters>9841</Characters>
  <Lines>598</Lines>
  <Paragraphs>168</Paragraphs>
  <TotalTime>56</TotalTime>
  <ScaleCrop>false</ScaleCrop>
  <LinksUpToDate>false</LinksUpToDate>
  <CharactersWithSpaces>9946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2023-10-27T07:59:00Z</dcterms:created>
  <dc:creator>Administrator</dc:creator>
  <cp:lastModifiedBy>段梦梦</cp:lastModifiedBy>
  <cp:lastPrinted>2022-06-17T05:55:00Z</cp:lastPrinted>
  <dcterms:modified xsi:type="dcterms:W3CDTF">2025-09-05T02:48:34Z</dcterms:modified>
  <dc:title>建设项目环境影响报告表（污染影响类）模板(V1.00)</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3D4BE1458F864B1CA135DCC3A0F79AC9_13</vt:lpwstr>
  </property>
  <property fmtid="{D5CDD505-2E9C-101B-9397-08002B2CF9AE}" pid="4" name="KSOTemplateDocerSaveRecord">
    <vt:lpwstr>eyJoZGlkIjoiYjk1MjlkOGJiYzlmYjcwMDNmOWU4YTZjMGRhODZiZmMiLCJ1c2VySWQiOiI0MjM3NjA2MjEifQ==</vt:lpwstr>
  </property>
</Properties>
</file>