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E35550">
      <w:pPr>
        <w:pStyle w:val="12"/>
        <w:rPr>
          <w:kern w:val="2"/>
          <w:sz w:val="21"/>
          <w:szCs w:val="24"/>
        </w:rPr>
      </w:pPr>
    </w:p>
    <w:p w14:paraId="1D4CA326"/>
    <w:p w14:paraId="0F542AFD">
      <w:pPr>
        <w:spacing w:line="360" w:lineRule="auto"/>
        <w:jc w:val="center"/>
        <w:outlineLvl w:val="0"/>
        <w:rPr>
          <w:sz w:val="32"/>
          <w:szCs w:val="36"/>
        </w:rPr>
      </w:pPr>
    </w:p>
    <w:p w14:paraId="2B01D319">
      <w:pPr>
        <w:adjustRightInd w:val="0"/>
        <w:snapToGrid w:val="0"/>
        <w:jc w:val="center"/>
        <w:outlineLvl w:val="0"/>
        <w:rPr>
          <w:bCs/>
          <w:sz w:val="72"/>
          <w:szCs w:val="72"/>
        </w:rPr>
      </w:pPr>
      <w:r>
        <w:rPr>
          <w:bCs/>
          <w:sz w:val="72"/>
          <w:szCs w:val="72"/>
        </w:rPr>
        <w:t>建设项目环境影响报告表</w:t>
      </w:r>
    </w:p>
    <w:p w14:paraId="000C3FDA">
      <w:pPr>
        <w:adjustRightInd w:val="0"/>
        <w:snapToGrid w:val="0"/>
        <w:spacing w:before="192" w:beforeLines="80"/>
        <w:jc w:val="center"/>
        <w:rPr>
          <w:bCs/>
          <w:sz w:val="48"/>
          <w:szCs w:val="48"/>
        </w:rPr>
      </w:pPr>
      <w:r>
        <w:rPr>
          <w:bCs/>
          <w:sz w:val="48"/>
          <w:szCs w:val="48"/>
        </w:rPr>
        <w:t>（污染影响类）</w:t>
      </w:r>
    </w:p>
    <w:p w14:paraId="70FA3288">
      <w:pPr>
        <w:adjustRightInd w:val="0"/>
        <w:snapToGrid w:val="0"/>
        <w:spacing w:line="288" w:lineRule="auto"/>
        <w:jc w:val="center"/>
        <w:outlineLvl w:val="0"/>
        <w:rPr>
          <w:color w:val="000000"/>
          <w:kern w:val="44"/>
          <w:sz w:val="44"/>
          <w:szCs w:val="44"/>
        </w:rPr>
      </w:pPr>
    </w:p>
    <w:p w14:paraId="49718F48">
      <w:pPr>
        <w:spacing w:line="360" w:lineRule="auto"/>
        <w:jc w:val="center"/>
        <w:outlineLvl w:val="0"/>
        <w:rPr>
          <w:sz w:val="32"/>
          <w:szCs w:val="44"/>
        </w:rPr>
      </w:pPr>
    </w:p>
    <w:p w14:paraId="249298CC">
      <w:pPr>
        <w:spacing w:line="360" w:lineRule="auto"/>
        <w:jc w:val="center"/>
        <w:outlineLvl w:val="0"/>
        <w:rPr>
          <w:sz w:val="32"/>
          <w:szCs w:val="44"/>
        </w:rPr>
      </w:pPr>
    </w:p>
    <w:p w14:paraId="26FC8335">
      <w:pPr>
        <w:jc w:val="center"/>
        <w:outlineLvl w:val="0"/>
        <w:rPr>
          <w:sz w:val="32"/>
          <w:szCs w:val="44"/>
        </w:rPr>
      </w:pPr>
    </w:p>
    <w:p w14:paraId="40424B77">
      <w:pPr>
        <w:adjustRightInd w:val="0"/>
        <w:snapToGrid w:val="0"/>
        <w:ind w:left="2877" w:leftChars="513" w:hanging="1800" w:hangingChars="500"/>
        <w:rPr>
          <w:sz w:val="36"/>
          <w:szCs w:val="36"/>
          <w:u w:val="single"/>
        </w:rPr>
      </w:pPr>
      <w:r>
        <w:rPr>
          <w:sz w:val="36"/>
          <w:szCs w:val="36"/>
        </w:rPr>
        <w:t>项目名称：</w:t>
      </w:r>
      <w:r>
        <w:rPr>
          <w:sz w:val="36"/>
          <w:szCs w:val="36"/>
          <w:u w:val="single"/>
        </w:rPr>
        <w:t xml:space="preserve">宿州市博众塑业有限公司年产3万张电竞椅生产项目                      </w:t>
      </w:r>
    </w:p>
    <w:p w14:paraId="4A55EB72">
      <w:pPr>
        <w:adjustRightInd w:val="0"/>
        <w:snapToGrid w:val="0"/>
        <w:ind w:firstLine="1080" w:firstLineChars="300"/>
        <w:rPr>
          <w:sz w:val="36"/>
          <w:szCs w:val="36"/>
          <w:u w:val="single"/>
        </w:rPr>
      </w:pPr>
      <w:r>
        <w:rPr>
          <w:sz w:val="36"/>
          <w:szCs w:val="36"/>
        </w:rPr>
        <w:t>建设单位（盖章）：</w:t>
      </w:r>
      <w:r>
        <w:rPr>
          <w:sz w:val="36"/>
          <w:szCs w:val="36"/>
          <w:u w:val="single"/>
        </w:rPr>
        <w:t xml:space="preserve">宿州市博众塑业有限公司    </w:t>
      </w:r>
    </w:p>
    <w:p w14:paraId="5D365EBC">
      <w:pPr>
        <w:adjustRightInd w:val="0"/>
        <w:snapToGrid w:val="0"/>
        <w:ind w:firstLine="1040"/>
        <w:rPr>
          <w:sz w:val="36"/>
          <w:szCs w:val="36"/>
          <w:u w:val="single"/>
        </w:rPr>
      </w:pPr>
      <w:r>
        <w:rPr>
          <w:sz w:val="36"/>
          <w:szCs w:val="36"/>
        </w:rPr>
        <w:t>编制日期：</w:t>
      </w:r>
      <w:r>
        <w:rPr>
          <w:sz w:val="36"/>
          <w:szCs w:val="36"/>
          <w:u w:val="single"/>
        </w:rPr>
        <w:t xml:space="preserve">    2025年</w:t>
      </w:r>
      <w:r>
        <w:rPr>
          <w:rFonts w:hint="eastAsia"/>
          <w:sz w:val="36"/>
          <w:szCs w:val="36"/>
          <w:u w:val="single"/>
          <w:lang w:val="en-US" w:eastAsia="zh-CN"/>
        </w:rPr>
        <w:t>七</w:t>
      </w:r>
      <w:r>
        <w:rPr>
          <w:sz w:val="36"/>
          <w:szCs w:val="36"/>
          <w:u w:val="single"/>
        </w:rPr>
        <w:t xml:space="preserve">月                    </w:t>
      </w:r>
    </w:p>
    <w:p w14:paraId="09DD48D6">
      <w:pPr>
        <w:adjustRightInd w:val="0"/>
        <w:snapToGrid w:val="0"/>
        <w:ind w:firstLine="1040"/>
        <w:rPr>
          <w:sz w:val="36"/>
          <w:szCs w:val="36"/>
        </w:rPr>
      </w:pPr>
    </w:p>
    <w:p w14:paraId="093FFADC">
      <w:pPr>
        <w:adjustRightInd w:val="0"/>
        <w:snapToGrid w:val="0"/>
        <w:spacing w:line="288" w:lineRule="auto"/>
        <w:ind w:firstLine="1040"/>
        <w:rPr>
          <w:sz w:val="36"/>
          <w:szCs w:val="36"/>
        </w:rPr>
      </w:pPr>
    </w:p>
    <w:p w14:paraId="7687777A">
      <w:pPr>
        <w:adjustRightInd w:val="0"/>
        <w:snapToGrid w:val="0"/>
        <w:spacing w:line="288" w:lineRule="auto"/>
        <w:ind w:firstLine="1040"/>
        <w:rPr>
          <w:sz w:val="36"/>
          <w:szCs w:val="36"/>
        </w:rPr>
      </w:pPr>
    </w:p>
    <w:p w14:paraId="45FF6DF1">
      <w:pPr>
        <w:pStyle w:val="12"/>
      </w:pPr>
    </w:p>
    <w:p w14:paraId="7329A2AB"/>
    <w:p w14:paraId="1F527E72">
      <w:pPr>
        <w:adjustRightInd w:val="0"/>
        <w:snapToGrid w:val="0"/>
        <w:spacing w:line="288" w:lineRule="auto"/>
        <w:ind w:firstLine="1040"/>
        <w:rPr>
          <w:sz w:val="36"/>
          <w:szCs w:val="36"/>
        </w:rPr>
      </w:pPr>
    </w:p>
    <w:p w14:paraId="3AC9ACDD">
      <w:pPr>
        <w:adjustRightInd w:val="0"/>
        <w:snapToGrid w:val="0"/>
        <w:spacing w:line="288" w:lineRule="auto"/>
        <w:jc w:val="center"/>
        <w:rPr>
          <w:sz w:val="36"/>
          <w:szCs w:val="36"/>
        </w:rPr>
      </w:pPr>
      <w:r>
        <w:rPr>
          <w:sz w:val="36"/>
          <w:szCs w:val="36"/>
        </w:rPr>
        <w:t>中华人民共和国生态环境部制</w:t>
      </w:r>
    </w:p>
    <w:p w14:paraId="2EB52361">
      <w:pPr>
        <w:pStyle w:val="12"/>
        <w:sectPr>
          <w:footerReference r:id="rId3" w:type="default"/>
          <w:pgSz w:w="11906" w:h="16838"/>
          <w:pgMar w:top="1440" w:right="1418" w:bottom="1440" w:left="1418" w:header="851" w:footer="1077" w:gutter="0"/>
          <w:cols w:space="720" w:num="1"/>
          <w:docGrid w:linePitch="312" w:charSpace="0"/>
        </w:sectPr>
      </w:pPr>
    </w:p>
    <w:p w14:paraId="71E7F2D4">
      <w:pPr>
        <w:pStyle w:val="26"/>
        <w:snapToGrid w:val="0"/>
        <w:spacing w:before="0" w:beforeAutospacing="0" w:after="0" w:afterAutospacing="0" w:line="360" w:lineRule="auto"/>
        <w:jc w:val="center"/>
        <w:outlineLvl w:val="0"/>
        <w:rPr>
          <w:rFonts w:ascii="Times New Roman" w:hAnsi="Times New Roman"/>
          <w:b/>
          <w:bCs/>
          <w:snapToGrid w:val="0"/>
          <w:sz w:val="30"/>
          <w:szCs w:val="30"/>
        </w:rPr>
      </w:pPr>
      <w:r>
        <w:rPr>
          <w:rFonts w:ascii="Times New Roman" w:hAnsi="Times New Roman"/>
          <w:b/>
          <w:bCs/>
          <w:snapToGrid w:val="0"/>
          <w:sz w:val="30"/>
          <w:szCs w:val="30"/>
        </w:rPr>
        <w:t>一、建设项目基本情况</w:t>
      </w:r>
    </w:p>
    <w:tbl>
      <w:tblPr>
        <w:tblStyle w:val="28"/>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292"/>
        <w:gridCol w:w="2830"/>
        <w:gridCol w:w="1999"/>
        <w:gridCol w:w="2980"/>
      </w:tblGrid>
      <w:tr w14:paraId="37A168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710" w:type="pct"/>
            <w:tcBorders>
              <w:tl2br w:val="nil"/>
              <w:tr2bl w:val="nil"/>
            </w:tcBorders>
            <w:tcMar>
              <w:top w:w="16" w:type="dxa"/>
              <w:left w:w="16" w:type="dxa"/>
              <w:right w:w="16" w:type="dxa"/>
            </w:tcMar>
            <w:vAlign w:val="center"/>
          </w:tcPr>
          <w:p w14:paraId="6A5BAA7F">
            <w:pPr>
              <w:adjustRightInd w:val="0"/>
              <w:snapToGrid w:val="0"/>
              <w:jc w:val="center"/>
            </w:pPr>
            <w:r>
              <w:t>建设项目名称</w:t>
            </w:r>
          </w:p>
        </w:tc>
        <w:tc>
          <w:tcPr>
            <w:tcW w:w="4290" w:type="pct"/>
            <w:gridSpan w:val="3"/>
            <w:tcBorders>
              <w:tl2br w:val="nil"/>
              <w:tr2bl w:val="nil"/>
            </w:tcBorders>
            <w:vAlign w:val="center"/>
          </w:tcPr>
          <w:p w14:paraId="59A8B129">
            <w:pPr>
              <w:adjustRightInd w:val="0"/>
              <w:snapToGrid w:val="0"/>
              <w:jc w:val="center"/>
            </w:pPr>
            <w:r>
              <w:t>宿州市博众塑业有限公司年产3万张电竞椅生产项目</w:t>
            </w:r>
          </w:p>
        </w:tc>
      </w:tr>
      <w:tr w14:paraId="27CFD4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710" w:type="pct"/>
            <w:tcBorders>
              <w:tl2br w:val="nil"/>
              <w:tr2bl w:val="nil"/>
            </w:tcBorders>
            <w:tcMar>
              <w:top w:w="16" w:type="dxa"/>
              <w:left w:w="16" w:type="dxa"/>
              <w:right w:w="16" w:type="dxa"/>
            </w:tcMar>
            <w:vAlign w:val="center"/>
          </w:tcPr>
          <w:p w14:paraId="463BAAEB">
            <w:pPr>
              <w:adjustRightInd w:val="0"/>
              <w:snapToGrid w:val="0"/>
              <w:jc w:val="center"/>
            </w:pPr>
            <w:r>
              <w:t>项目代码</w:t>
            </w:r>
          </w:p>
        </w:tc>
        <w:tc>
          <w:tcPr>
            <w:tcW w:w="4290" w:type="pct"/>
            <w:gridSpan w:val="3"/>
            <w:tcBorders>
              <w:tl2br w:val="nil"/>
              <w:tr2bl w:val="nil"/>
            </w:tcBorders>
            <w:vAlign w:val="center"/>
          </w:tcPr>
          <w:p w14:paraId="7A18E32B">
            <w:pPr>
              <w:adjustRightInd w:val="0"/>
              <w:snapToGrid w:val="0"/>
              <w:jc w:val="center"/>
            </w:pPr>
            <w:r>
              <w:t>2307-341302-04-01-495523</w:t>
            </w:r>
          </w:p>
        </w:tc>
      </w:tr>
      <w:tr w14:paraId="525DF4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710" w:type="pct"/>
            <w:tcBorders>
              <w:tl2br w:val="nil"/>
              <w:tr2bl w:val="nil"/>
            </w:tcBorders>
            <w:tcMar>
              <w:top w:w="16" w:type="dxa"/>
              <w:left w:w="16" w:type="dxa"/>
              <w:right w:w="16" w:type="dxa"/>
            </w:tcMar>
            <w:vAlign w:val="center"/>
          </w:tcPr>
          <w:p w14:paraId="6B215B0E">
            <w:pPr>
              <w:adjustRightInd w:val="0"/>
              <w:snapToGrid w:val="0"/>
              <w:jc w:val="center"/>
            </w:pPr>
            <w:r>
              <w:t>建设单位联系人</w:t>
            </w:r>
          </w:p>
        </w:tc>
        <w:tc>
          <w:tcPr>
            <w:tcW w:w="1555" w:type="pct"/>
            <w:tcBorders>
              <w:tl2br w:val="nil"/>
              <w:tr2bl w:val="nil"/>
            </w:tcBorders>
            <w:vAlign w:val="center"/>
          </w:tcPr>
          <w:p w14:paraId="79AF26B6">
            <w:pPr>
              <w:adjustRightInd w:val="0"/>
              <w:snapToGrid w:val="0"/>
              <w:jc w:val="center"/>
            </w:pPr>
          </w:p>
        </w:tc>
        <w:tc>
          <w:tcPr>
            <w:tcW w:w="1098" w:type="pct"/>
            <w:tcBorders>
              <w:tl2br w:val="nil"/>
              <w:tr2bl w:val="nil"/>
            </w:tcBorders>
            <w:vAlign w:val="center"/>
          </w:tcPr>
          <w:p w14:paraId="4F6D136B">
            <w:pPr>
              <w:adjustRightInd w:val="0"/>
              <w:snapToGrid w:val="0"/>
              <w:jc w:val="center"/>
            </w:pPr>
            <w:r>
              <w:t>联系方式</w:t>
            </w:r>
          </w:p>
        </w:tc>
        <w:tc>
          <w:tcPr>
            <w:tcW w:w="1637" w:type="pct"/>
            <w:tcBorders>
              <w:tl2br w:val="nil"/>
              <w:tr2bl w:val="nil"/>
            </w:tcBorders>
            <w:vAlign w:val="center"/>
          </w:tcPr>
          <w:p w14:paraId="268EE117">
            <w:pPr>
              <w:adjustRightInd w:val="0"/>
              <w:snapToGrid w:val="0"/>
              <w:jc w:val="center"/>
            </w:pPr>
          </w:p>
        </w:tc>
      </w:tr>
      <w:tr w14:paraId="43D5B1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710" w:type="pct"/>
            <w:tcBorders>
              <w:tl2br w:val="nil"/>
              <w:tr2bl w:val="nil"/>
            </w:tcBorders>
            <w:tcMar>
              <w:top w:w="16" w:type="dxa"/>
              <w:left w:w="16" w:type="dxa"/>
              <w:right w:w="16" w:type="dxa"/>
            </w:tcMar>
            <w:vAlign w:val="center"/>
          </w:tcPr>
          <w:p w14:paraId="797758A8">
            <w:pPr>
              <w:adjustRightInd w:val="0"/>
              <w:snapToGrid w:val="0"/>
              <w:jc w:val="center"/>
            </w:pPr>
            <w:r>
              <w:t>建设地点</w:t>
            </w:r>
          </w:p>
        </w:tc>
        <w:tc>
          <w:tcPr>
            <w:tcW w:w="4290" w:type="pct"/>
            <w:gridSpan w:val="3"/>
            <w:tcBorders>
              <w:tl2br w:val="nil"/>
              <w:tr2bl w:val="nil"/>
            </w:tcBorders>
            <w:shd w:val="clear" w:color="auto" w:fill="auto"/>
            <w:vAlign w:val="center"/>
          </w:tcPr>
          <w:p w14:paraId="72911B6A">
            <w:pPr>
              <w:adjustRightInd w:val="0"/>
              <w:snapToGrid w:val="0"/>
              <w:jc w:val="center"/>
            </w:pPr>
            <w:r>
              <w:t>安徽省宿州市埇桥区符离镇埇北工业园内</w:t>
            </w:r>
            <w:bookmarkStart w:id="14" w:name="_GoBack"/>
            <w:bookmarkEnd w:id="14"/>
          </w:p>
        </w:tc>
      </w:tr>
      <w:tr w14:paraId="7E470D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1" w:hRule="atLeast"/>
          <w:jc w:val="center"/>
        </w:trPr>
        <w:tc>
          <w:tcPr>
            <w:tcW w:w="710" w:type="pct"/>
            <w:tcBorders>
              <w:tl2br w:val="nil"/>
              <w:tr2bl w:val="nil"/>
            </w:tcBorders>
            <w:tcMar>
              <w:top w:w="16" w:type="dxa"/>
              <w:left w:w="16" w:type="dxa"/>
              <w:right w:w="16" w:type="dxa"/>
            </w:tcMar>
            <w:vAlign w:val="center"/>
          </w:tcPr>
          <w:p w14:paraId="7803E561">
            <w:pPr>
              <w:adjustRightInd w:val="0"/>
              <w:snapToGrid w:val="0"/>
              <w:jc w:val="center"/>
            </w:pPr>
            <w:r>
              <w:t>地理坐标</w:t>
            </w:r>
          </w:p>
        </w:tc>
        <w:tc>
          <w:tcPr>
            <w:tcW w:w="4290" w:type="pct"/>
            <w:gridSpan w:val="3"/>
            <w:tcBorders>
              <w:tl2br w:val="nil"/>
              <w:tr2bl w:val="nil"/>
            </w:tcBorders>
            <w:vAlign w:val="center"/>
          </w:tcPr>
          <w:p w14:paraId="4883AB15">
            <w:pPr>
              <w:adjustRightInd w:val="0"/>
              <w:snapToGrid w:val="0"/>
              <w:jc w:val="center"/>
            </w:pPr>
            <w:r>
              <w:t>经度</w:t>
            </w:r>
            <w:r>
              <w:rPr>
                <w:u w:val="single"/>
              </w:rPr>
              <w:t>116</w:t>
            </w:r>
            <w:r>
              <w:t>度</w:t>
            </w:r>
            <w:r>
              <w:rPr>
                <w:u w:val="single"/>
              </w:rPr>
              <w:t>58</w:t>
            </w:r>
            <w:r>
              <w:t>分</w:t>
            </w:r>
            <w:r>
              <w:rPr>
                <w:u w:val="single"/>
              </w:rPr>
              <w:t>22.156</w:t>
            </w:r>
            <w:r>
              <w:t>秒，纬度</w:t>
            </w:r>
            <w:r>
              <w:rPr>
                <w:u w:val="single"/>
              </w:rPr>
              <w:t>33</w:t>
            </w:r>
            <w:r>
              <w:t>度</w:t>
            </w:r>
            <w:r>
              <w:rPr>
                <w:u w:val="single"/>
              </w:rPr>
              <w:t>44</w:t>
            </w:r>
            <w:r>
              <w:t>分</w:t>
            </w:r>
            <w:r>
              <w:rPr>
                <w:u w:val="single"/>
              </w:rPr>
              <w:t>43.359</w:t>
            </w:r>
            <w:r>
              <w:t>秒</w:t>
            </w:r>
          </w:p>
        </w:tc>
      </w:tr>
      <w:tr w14:paraId="3D9F04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710" w:type="pct"/>
            <w:tcBorders>
              <w:tl2br w:val="nil"/>
              <w:tr2bl w:val="nil"/>
            </w:tcBorders>
            <w:tcMar>
              <w:top w:w="16" w:type="dxa"/>
              <w:left w:w="16" w:type="dxa"/>
              <w:right w:w="16" w:type="dxa"/>
            </w:tcMar>
            <w:vAlign w:val="center"/>
          </w:tcPr>
          <w:p w14:paraId="06D950C1">
            <w:pPr>
              <w:adjustRightInd w:val="0"/>
              <w:snapToGrid w:val="0"/>
              <w:jc w:val="center"/>
            </w:pPr>
            <w:r>
              <w:t>国民经济</w:t>
            </w:r>
          </w:p>
          <w:p w14:paraId="59FBC22C">
            <w:pPr>
              <w:adjustRightInd w:val="0"/>
              <w:snapToGrid w:val="0"/>
              <w:jc w:val="center"/>
            </w:pPr>
            <w:r>
              <w:t>行业类别</w:t>
            </w:r>
          </w:p>
        </w:tc>
        <w:tc>
          <w:tcPr>
            <w:tcW w:w="1555" w:type="pct"/>
            <w:tcBorders>
              <w:tl2br w:val="nil"/>
              <w:tr2bl w:val="nil"/>
            </w:tcBorders>
            <w:vAlign w:val="center"/>
          </w:tcPr>
          <w:p w14:paraId="2A54E575">
            <w:pPr>
              <w:adjustRightInd w:val="0"/>
              <w:snapToGrid w:val="0"/>
              <w:jc w:val="center"/>
            </w:pPr>
            <w:r>
              <w:t>C2190其他家具制造</w:t>
            </w:r>
          </w:p>
        </w:tc>
        <w:tc>
          <w:tcPr>
            <w:tcW w:w="1098" w:type="pct"/>
            <w:tcBorders>
              <w:tl2br w:val="nil"/>
              <w:tr2bl w:val="nil"/>
            </w:tcBorders>
            <w:vAlign w:val="center"/>
          </w:tcPr>
          <w:p w14:paraId="15F37A52">
            <w:pPr>
              <w:adjustRightInd w:val="0"/>
              <w:snapToGrid w:val="0"/>
              <w:jc w:val="center"/>
            </w:pPr>
            <w:bookmarkStart w:id="0" w:name="_Hlk49843745"/>
            <w:r>
              <w:t>建设项目</w:t>
            </w:r>
          </w:p>
          <w:p w14:paraId="38A853D6">
            <w:pPr>
              <w:adjustRightInd w:val="0"/>
              <w:snapToGrid w:val="0"/>
              <w:jc w:val="center"/>
              <w:rPr>
                <w:color w:val="FF0000"/>
              </w:rPr>
            </w:pPr>
            <w:r>
              <w:t>行业类别</w:t>
            </w:r>
            <w:bookmarkEnd w:id="0"/>
          </w:p>
        </w:tc>
        <w:tc>
          <w:tcPr>
            <w:tcW w:w="1637" w:type="pct"/>
            <w:tcBorders>
              <w:tl2br w:val="nil"/>
              <w:tr2bl w:val="nil"/>
            </w:tcBorders>
            <w:vAlign w:val="center"/>
          </w:tcPr>
          <w:p w14:paraId="53033898">
            <w:pPr>
              <w:autoSpaceDE w:val="0"/>
              <w:autoSpaceDN w:val="0"/>
              <w:adjustRightInd w:val="0"/>
              <w:jc w:val="left"/>
              <w:rPr>
                <w:color w:val="FF0000"/>
              </w:rPr>
            </w:pPr>
            <w:r>
              <w:t>18-36其他家具制造-其他（仅分割、焊接、组装的除外；年用非溶剂型低VOCs含量涂料10吨以下的除外）</w:t>
            </w:r>
          </w:p>
        </w:tc>
      </w:tr>
      <w:tr w14:paraId="451983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710" w:type="pct"/>
            <w:tcBorders>
              <w:tl2br w:val="nil"/>
              <w:tr2bl w:val="nil"/>
            </w:tcBorders>
            <w:tcMar>
              <w:top w:w="16" w:type="dxa"/>
              <w:left w:w="16" w:type="dxa"/>
              <w:right w:w="16" w:type="dxa"/>
            </w:tcMar>
            <w:vAlign w:val="center"/>
          </w:tcPr>
          <w:p w14:paraId="1874B2BA">
            <w:pPr>
              <w:adjustRightInd w:val="0"/>
              <w:snapToGrid w:val="0"/>
              <w:jc w:val="center"/>
            </w:pPr>
            <w:r>
              <w:t>建设性质</w:t>
            </w:r>
          </w:p>
        </w:tc>
        <w:tc>
          <w:tcPr>
            <w:tcW w:w="1555" w:type="pct"/>
            <w:tcBorders>
              <w:tl2br w:val="nil"/>
              <w:tr2bl w:val="nil"/>
            </w:tcBorders>
            <w:vAlign w:val="center"/>
          </w:tcPr>
          <w:p w14:paraId="4FF93840">
            <w:pPr>
              <w:adjustRightInd w:val="0"/>
              <w:snapToGrid w:val="0"/>
              <w:jc w:val="left"/>
            </w:pPr>
            <w:r>
              <w:rPr/>
              <w:sym w:font="Wingdings 2" w:char="0052"/>
            </w:r>
            <w:r>
              <w:t>新建（迁建）</w:t>
            </w:r>
          </w:p>
          <w:p w14:paraId="26EFCF4F">
            <w:pPr>
              <w:adjustRightInd w:val="0"/>
              <w:snapToGrid w:val="0"/>
              <w:jc w:val="left"/>
            </w:pPr>
            <w:r>
              <w:rPr/>
              <w:sym w:font="Wingdings 2" w:char="00A3"/>
            </w:r>
            <w:r>
              <w:t>改建</w:t>
            </w:r>
          </w:p>
          <w:p w14:paraId="58F0DE4B">
            <w:pPr>
              <w:adjustRightInd w:val="0"/>
              <w:snapToGrid w:val="0"/>
              <w:jc w:val="left"/>
            </w:pPr>
            <w:r>
              <w:rPr/>
              <w:sym w:font="Wingdings 2" w:char="00A3"/>
            </w:r>
            <w:r>
              <w:t>扩建</w:t>
            </w:r>
          </w:p>
          <w:p w14:paraId="2B8CBFDC">
            <w:pPr>
              <w:adjustRightInd w:val="0"/>
              <w:snapToGrid w:val="0"/>
              <w:jc w:val="left"/>
            </w:pPr>
            <w:r>
              <w:rPr/>
              <w:sym w:font="Wingdings 2" w:char="00A3"/>
            </w:r>
            <w:r>
              <w:t>技术改造</w:t>
            </w:r>
          </w:p>
        </w:tc>
        <w:tc>
          <w:tcPr>
            <w:tcW w:w="1098" w:type="pct"/>
            <w:tcBorders>
              <w:tl2br w:val="nil"/>
              <w:tr2bl w:val="nil"/>
            </w:tcBorders>
            <w:vAlign w:val="center"/>
          </w:tcPr>
          <w:p w14:paraId="51A921E1">
            <w:pPr>
              <w:adjustRightInd w:val="0"/>
              <w:snapToGrid w:val="0"/>
              <w:jc w:val="center"/>
            </w:pPr>
            <w:r>
              <w:t>建设项目</w:t>
            </w:r>
          </w:p>
          <w:p w14:paraId="60858F1A">
            <w:pPr>
              <w:adjustRightInd w:val="0"/>
              <w:snapToGrid w:val="0"/>
              <w:jc w:val="center"/>
            </w:pPr>
            <w:r>
              <w:t>申报情形</w:t>
            </w:r>
          </w:p>
        </w:tc>
        <w:tc>
          <w:tcPr>
            <w:tcW w:w="1637" w:type="pct"/>
            <w:tcBorders>
              <w:tl2br w:val="nil"/>
              <w:tr2bl w:val="nil"/>
            </w:tcBorders>
            <w:vAlign w:val="center"/>
          </w:tcPr>
          <w:p w14:paraId="7ECFB487">
            <w:pPr>
              <w:adjustRightInd w:val="0"/>
              <w:snapToGrid w:val="0"/>
              <w:jc w:val="left"/>
            </w:pPr>
            <w:r>
              <w:rPr/>
              <w:sym w:font="Wingdings 2" w:char="0052"/>
            </w:r>
            <w:r>
              <w:t>首次申报项目</w:t>
            </w:r>
          </w:p>
          <w:p w14:paraId="014DA851">
            <w:pPr>
              <w:adjustRightInd w:val="0"/>
              <w:snapToGrid w:val="0"/>
              <w:jc w:val="left"/>
            </w:pPr>
            <w:r>
              <w:rPr/>
              <w:sym w:font="Wingdings 2" w:char="00A3"/>
            </w:r>
            <w:r>
              <w:t>不予批准后再次申报项目</w:t>
            </w:r>
          </w:p>
          <w:p w14:paraId="1B3ED5EA">
            <w:pPr>
              <w:adjustRightInd w:val="0"/>
              <w:snapToGrid w:val="0"/>
              <w:jc w:val="left"/>
            </w:pPr>
            <w:r>
              <w:rPr/>
              <w:sym w:font="Wingdings 2" w:char="00A3"/>
            </w:r>
            <w:r>
              <w:t xml:space="preserve">超五年重新审核项目     </w:t>
            </w:r>
          </w:p>
          <w:p w14:paraId="54A1251C">
            <w:pPr>
              <w:adjustRightInd w:val="0"/>
              <w:snapToGrid w:val="0"/>
              <w:jc w:val="left"/>
            </w:pPr>
            <w:r>
              <w:rPr/>
              <w:sym w:font="Wingdings 2" w:char="00A3"/>
            </w:r>
            <w:r>
              <w:t>重大变动重新报批项目</w:t>
            </w:r>
          </w:p>
        </w:tc>
      </w:tr>
      <w:tr w14:paraId="1CE18D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710" w:type="pct"/>
            <w:tcBorders>
              <w:tl2br w:val="nil"/>
              <w:tr2bl w:val="nil"/>
            </w:tcBorders>
            <w:tcMar>
              <w:top w:w="16" w:type="dxa"/>
              <w:left w:w="16" w:type="dxa"/>
              <w:right w:w="16" w:type="dxa"/>
            </w:tcMar>
            <w:vAlign w:val="center"/>
          </w:tcPr>
          <w:p w14:paraId="7EE4B1F6">
            <w:pPr>
              <w:adjustRightInd w:val="0"/>
              <w:snapToGrid w:val="0"/>
              <w:jc w:val="center"/>
            </w:pPr>
            <w:r>
              <w:t>项目审批（核准/备案）部门（选填）</w:t>
            </w:r>
          </w:p>
        </w:tc>
        <w:tc>
          <w:tcPr>
            <w:tcW w:w="1555" w:type="pct"/>
            <w:tcBorders>
              <w:tl2br w:val="nil"/>
              <w:tr2bl w:val="nil"/>
            </w:tcBorders>
            <w:vAlign w:val="center"/>
          </w:tcPr>
          <w:p w14:paraId="268C342A">
            <w:pPr>
              <w:adjustRightInd w:val="0"/>
              <w:snapToGrid w:val="0"/>
              <w:jc w:val="center"/>
              <w:rPr>
                <w:color w:val="FF0000"/>
              </w:rPr>
            </w:pPr>
            <w:r>
              <w:t>埇桥区发展改革委</w:t>
            </w:r>
          </w:p>
        </w:tc>
        <w:tc>
          <w:tcPr>
            <w:tcW w:w="1098" w:type="pct"/>
            <w:tcBorders>
              <w:tl2br w:val="nil"/>
              <w:tr2bl w:val="nil"/>
            </w:tcBorders>
            <w:vAlign w:val="center"/>
          </w:tcPr>
          <w:p w14:paraId="6BB9E43B">
            <w:pPr>
              <w:adjustRightInd w:val="0"/>
              <w:snapToGrid w:val="0"/>
              <w:jc w:val="center"/>
            </w:pPr>
            <w:r>
              <w:t>项目审批（核准/</w:t>
            </w:r>
          </w:p>
          <w:p w14:paraId="55759562">
            <w:pPr>
              <w:adjustRightInd w:val="0"/>
              <w:snapToGrid w:val="0"/>
              <w:jc w:val="center"/>
              <w:rPr>
                <w:color w:val="FF0000"/>
              </w:rPr>
            </w:pPr>
            <w:r>
              <w:t>备案）文号（选填）</w:t>
            </w:r>
          </w:p>
        </w:tc>
        <w:tc>
          <w:tcPr>
            <w:tcW w:w="1637" w:type="pct"/>
            <w:tcBorders>
              <w:tl2br w:val="nil"/>
              <w:tr2bl w:val="nil"/>
            </w:tcBorders>
            <w:vAlign w:val="center"/>
          </w:tcPr>
          <w:p w14:paraId="1AF0A473">
            <w:pPr>
              <w:adjustRightInd w:val="0"/>
              <w:snapToGrid w:val="0"/>
              <w:jc w:val="center"/>
              <w:rPr>
                <w:color w:val="FF0000"/>
              </w:rPr>
            </w:pPr>
            <w:r>
              <w:t>/</w:t>
            </w:r>
          </w:p>
        </w:tc>
      </w:tr>
      <w:tr w14:paraId="7A0871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9" w:hRule="atLeast"/>
          <w:jc w:val="center"/>
        </w:trPr>
        <w:tc>
          <w:tcPr>
            <w:tcW w:w="710" w:type="pct"/>
            <w:tcBorders>
              <w:tl2br w:val="nil"/>
              <w:tr2bl w:val="nil"/>
            </w:tcBorders>
            <w:tcMar>
              <w:top w:w="16" w:type="dxa"/>
              <w:left w:w="16" w:type="dxa"/>
              <w:right w:w="16" w:type="dxa"/>
            </w:tcMar>
            <w:vAlign w:val="center"/>
          </w:tcPr>
          <w:p w14:paraId="13EDB559">
            <w:pPr>
              <w:adjustRightInd w:val="0"/>
              <w:snapToGrid w:val="0"/>
              <w:jc w:val="center"/>
            </w:pPr>
            <w:r>
              <w:t>总投资（万元）</w:t>
            </w:r>
          </w:p>
        </w:tc>
        <w:tc>
          <w:tcPr>
            <w:tcW w:w="1555" w:type="pct"/>
            <w:tcBorders>
              <w:tl2br w:val="nil"/>
              <w:tr2bl w:val="nil"/>
            </w:tcBorders>
            <w:vAlign w:val="center"/>
          </w:tcPr>
          <w:p w14:paraId="2152C797">
            <w:pPr>
              <w:adjustRightInd w:val="0"/>
              <w:snapToGrid w:val="0"/>
              <w:jc w:val="center"/>
            </w:pPr>
            <w:r>
              <w:t>2500</w:t>
            </w:r>
          </w:p>
        </w:tc>
        <w:tc>
          <w:tcPr>
            <w:tcW w:w="1098" w:type="pct"/>
            <w:tcBorders>
              <w:tl2br w:val="nil"/>
              <w:tr2bl w:val="nil"/>
            </w:tcBorders>
            <w:tcMar>
              <w:top w:w="16" w:type="dxa"/>
              <w:left w:w="16" w:type="dxa"/>
              <w:right w:w="16" w:type="dxa"/>
            </w:tcMar>
            <w:vAlign w:val="center"/>
          </w:tcPr>
          <w:p w14:paraId="7FBF9E6E">
            <w:pPr>
              <w:adjustRightInd w:val="0"/>
              <w:snapToGrid w:val="0"/>
              <w:jc w:val="center"/>
            </w:pPr>
            <w:r>
              <w:t>环保投资（万元）</w:t>
            </w:r>
          </w:p>
        </w:tc>
        <w:tc>
          <w:tcPr>
            <w:tcW w:w="1637" w:type="pct"/>
            <w:tcBorders>
              <w:tl2br w:val="nil"/>
              <w:tr2bl w:val="nil"/>
            </w:tcBorders>
            <w:vAlign w:val="center"/>
          </w:tcPr>
          <w:p w14:paraId="752DD31A">
            <w:pPr>
              <w:adjustRightInd w:val="0"/>
              <w:snapToGrid w:val="0"/>
              <w:jc w:val="center"/>
            </w:pPr>
            <w:r>
              <w:t>70</w:t>
            </w:r>
          </w:p>
        </w:tc>
      </w:tr>
      <w:tr w14:paraId="54510C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710" w:type="pct"/>
            <w:tcBorders>
              <w:tl2br w:val="nil"/>
              <w:tr2bl w:val="nil"/>
            </w:tcBorders>
            <w:tcMar>
              <w:top w:w="16" w:type="dxa"/>
              <w:left w:w="16" w:type="dxa"/>
              <w:right w:w="16" w:type="dxa"/>
            </w:tcMar>
            <w:vAlign w:val="center"/>
          </w:tcPr>
          <w:p w14:paraId="30E6BDA5">
            <w:pPr>
              <w:adjustRightInd w:val="0"/>
              <w:snapToGrid w:val="0"/>
              <w:jc w:val="center"/>
            </w:pPr>
            <w:r>
              <w:t>环保投资占比（%）</w:t>
            </w:r>
          </w:p>
        </w:tc>
        <w:tc>
          <w:tcPr>
            <w:tcW w:w="1555" w:type="pct"/>
            <w:tcBorders>
              <w:tl2br w:val="nil"/>
              <w:tr2bl w:val="nil"/>
            </w:tcBorders>
            <w:vAlign w:val="center"/>
          </w:tcPr>
          <w:p w14:paraId="1F063165">
            <w:pPr>
              <w:adjustRightInd w:val="0"/>
              <w:snapToGrid w:val="0"/>
              <w:jc w:val="center"/>
            </w:pPr>
            <w:r>
              <w:t>2.8</w:t>
            </w:r>
          </w:p>
        </w:tc>
        <w:tc>
          <w:tcPr>
            <w:tcW w:w="1098" w:type="pct"/>
            <w:tcBorders>
              <w:tl2br w:val="nil"/>
              <w:tr2bl w:val="nil"/>
            </w:tcBorders>
            <w:tcMar>
              <w:top w:w="16" w:type="dxa"/>
              <w:left w:w="16" w:type="dxa"/>
              <w:right w:w="16" w:type="dxa"/>
            </w:tcMar>
            <w:vAlign w:val="center"/>
          </w:tcPr>
          <w:p w14:paraId="4BA1A9FC">
            <w:pPr>
              <w:adjustRightInd w:val="0"/>
              <w:snapToGrid w:val="0"/>
              <w:jc w:val="center"/>
            </w:pPr>
            <w:r>
              <w:t>施工工期</w:t>
            </w:r>
          </w:p>
        </w:tc>
        <w:tc>
          <w:tcPr>
            <w:tcW w:w="1637" w:type="pct"/>
            <w:tcBorders>
              <w:tl2br w:val="nil"/>
              <w:tr2bl w:val="nil"/>
            </w:tcBorders>
            <w:vAlign w:val="center"/>
          </w:tcPr>
          <w:p w14:paraId="14030E87">
            <w:pPr>
              <w:adjustRightInd w:val="0"/>
              <w:snapToGrid w:val="0"/>
              <w:jc w:val="center"/>
            </w:pPr>
            <w:r>
              <w:t>/</w:t>
            </w:r>
          </w:p>
        </w:tc>
      </w:tr>
      <w:tr w14:paraId="4A2737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710" w:type="pct"/>
            <w:tcBorders>
              <w:tl2br w:val="nil"/>
              <w:tr2bl w:val="nil"/>
            </w:tcBorders>
            <w:tcMar>
              <w:top w:w="16" w:type="dxa"/>
              <w:left w:w="16" w:type="dxa"/>
              <w:right w:w="16" w:type="dxa"/>
            </w:tcMar>
            <w:vAlign w:val="center"/>
          </w:tcPr>
          <w:p w14:paraId="446085E4">
            <w:pPr>
              <w:adjustRightInd w:val="0"/>
              <w:snapToGrid w:val="0"/>
              <w:jc w:val="center"/>
            </w:pPr>
            <w:r>
              <w:t>是否开工建设</w:t>
            </w:r>
          </w:p>
        </w:tc>
        <w:tc>
          <w:tcPr>
            <w:tcW w:w="1555" w:type="pct"/>
            <w:tcBorders>
              <w:tl2br w:val="nil"/>
              <w:tr2bl w:val="nil"/>
            </w:tcBorders>
            <w:vAlign w:val="center"/>
          </w:tcPr>
          <w:p w14:paraId="45FD6062">
            <w:pPr>
              <w:adjustRightInd w:val="0"/>
              <w:snapToGrid w:val="0"/>
            </w:pPr>
            <w:r>
              <w:rPr/>
              <w:sym w:font="Wingdings 2" w:char="F030"/>
            </w:r>
            <w:r>
              <w:t>否</w:t>
            </w:r>
          </w:p>
          <w:p w14:paraId="2467604D">
            <w:pPr>
              <w:adjustRightInd w:val="0"/>
              <w:snapToGrid w:val="0"/>
              <w:rPr>
                <w:rFonts w:hint="default" w:eastAsia="宋体"/>
                <w:lang w:val="en-US" w:eastAsia="zh-CN"/>
              </w:rPr>
            </w:pPr>
            <w:r>
              <w:rPr/>
              <w:sym w:font="Wingdings 2" w:char="F052"/>
            </w:r>
            <w:r>
              <w:t>是</w:t>
            </w:r>
            <w:r>
              <w:rPr>
                <w:color w:val="FF0000"/>
              </w:rPr>
              <w:t>：</w:t>
            </w:r>
            <w:r>
              <w:rPr>
                <w:color w:val="000000" w:themeColor="text1"/>
                <w:u w:val="single"/>
                <w14:textFill>
                  <w14:solidFill>
                    <w14:schemeClr w14:val="tx1"/>
                  </w14:solidFill>
                </w14:textFill>
              </w:rPr>
              <w:t>未批先建，</w:t>
            </w:r>
            <w:r>
              <w:rPr>
                <w:rFonts w:hint="eastAsia"/>
                <w:color w:val="000000" w:themeColor="text1"/>
                <w:u w:val="single"/>
                <w:lang w:val="en-US" w:eastAsia="zh-CN"/>
                <w14:textFill>
                  <w14:solidFill>
                    <w14:schemeClr w14:val="tx1"/>
                  </w14:solidFill>
                </w14:textFill>
              </w:rPr>
              <w:t>已受处罚</w:t>
            </w:r>
          </w:p>
        </w:tc>
        <w:tc>
          <w:tcPr>
            <w:tcW w:w="1098" w:type="pct"/>
            <w:tcBorders>
              <w:tl2br w:val="nil"/>
              <w:tr2bl w:val="nil"/>
            </w:tcBorders>
            <w:tcMar>
              <w:top w:w="16" w:type="dxa"/>
              <w:left w:w="16" w:type="dxa"/>
              <w:right w:w="16" w:type="dxa"/>
            </w:tcMar>
            <w:vAlign w:val="center"/>
          </w:tcPr>
          <w:p w14:paraId="2CE63580">
            <w:pPr>
              <w:adjustRightInd w:val="0"/>
              <w:snapToGrid w:val="0"/>
              <w:jc w:val="center"/>
              <w:rPr>
                <w:spacing w:val="-6"/>
              </w:rPr>
            </w:pPr>
            <w:r>
              <w:rPr>
                <w:spacing w:val="-6"/>
              </w:rPr>
              <w:t>用地（用海）</w:t>
            </w:r>
          </w:p>
          <w:p w14:paraId="169F4CF0">
            <w:pPr>
              <w:adjustRightInd w:val="0"/>
              <w:snapToGrid w:val="0"/>
              <w:jc w:val="center"/>
            </w:pPr>
            <w:r>
              <w:rPr>
                <w:spacing w:val="-6"/>
              </w:rPr>
              <w:t>面积（m</w:t>
            </w:r>
            <w:r>
              <w:rPr>
                <w:spacing w:val="-6"/>
                <w:vertAlign w:val="superscript"/>
              </w:rPr>
              <w:t>2</w:t>
            </w:r>
            <w:r>
              <w:rPr>
                <w:spacing w:val="-6"/>
              </w:rPr>
              <w:t>）</w:t>
            </w:r>
          </w:p>
        </w:tc>
        <w:tc>
          <w:tcPr>
            <w:tcW w:w="1637" w:type="pct"/>
            <w:tcBorders>
              <w:tl2br w:val="nil"/>
              <w:tr2bl w:val="nil"/>
            </w:tcBorders>
            <w:vAlign w:val="center"/>
          </w:tcPr>
          <w:p w14:paraId="78575A11">
            <w:pPr>
              <w:adjustRightInd w:val="0"/>
              <w:snapToGrid w:val="0"/>
              <w:jc w:val="center"/>
            </w:pPr>
            <w:r>
              <w:rPr>
                <w:spacing w:val="-6"/>
              </w:rPr>
              <w:t>13340</w:t>
            </w:r>
          </w:p>
        </w:tc>
      </w:tr>
      <w:tr w14:paraId="3A43B3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10" w:type="pct"/>
            <w:tcBorders>
              <w:tl2br w:val="nil"/>
              <w:tr2bl w:val="nil"/>
            </w:tcBorders>
            <w:vAlign w:val="center"/>
          </w:tcPr>
          <w:p w14:paraId="5D99AC1B">
            <w:pPr>
              <w:autoSpaceDE w:val="0"/>
              <w:autoSpaceDN w:val="0"/>
              <w:adjustRightInd w:val="0"/>
              <w:snapToGrid w:val="0"/>
              <w:jc w:val="center"/>
              <w:rPr>
                <w:kern w:val="0"/>
              </w:rPr>
            </w:pPr>
            <w:r>
              <w:rPr>
                <w:kern w:val="0"/>
              </w:rPr>
              <w:t>专项评价设置情况</w:t>
            </w:r>
          </w:p>
        </w:tc>
        <w:tc>
          <w:tcPr>
            <w:tcW w:w="4290" w:type="pct"/>
            <w:gridSpan w:val="3"/>
            <w:tcBorders>
              <w:tl2br w:val="nil"/>
              <w:tr2bl w:val="nil"/>
            </w:tcBorders>
            <w:vAlign w:val="center"/>
          </w:tcPr>
          <w:p w14:paraId="21D59B8D">
            <w:pPr>
              <w:autoSpaceDE w:val="0"/>
              <w:autoSpaceDN w:val="0"/>
              <w:adjustRightInd w:val="0"/>
              <w:snapToGrid w:val="0"/>
              <w:jc w:val="center"/>
              <w:rPr>
                <w:kern w:val="0"/>
              </w:rPr>
            </w:pPr>
          </w:p>
          <w:tbl>
            <w:tblPr>
              <w:tblStyle w:val="28"/>
              <w:tblpPr w:leftFromText="180" w:rightFromText="180" w:vertAnchor="text" w:horzAnchor="page" w:tblpX="109" w:tblpY="126"/>
              <w:tblOverlap w:val="never"/>
              <w:tblW w:w="0" w:type="auto"/>
              <w:tblInd w:w="0" w:type="dxa"/>
              <w:tblBorders>
                <w:top w:val="single" w:color="auto" w:sz="12" w:space="0"/>
                <w:left w:val="single" w:color="FFFFFF" w:sz="12" w:space="0"/>
                <w:bottom w:val="single" w:color="auto" w:sz="12" w:space="0"/>
                <w:right w:val="single" w:color="FFFFFF" w:sz="12" w:space="0"/>
                <w:insideH w:val="single" w:color="auto" w:sz="4" w:space="0"/>
                <w:insideV w:val="single" w:color="auto" w:sz="4" w:space="0"/>
              </w:tblBorders>
              <w:tblLayout w:type="fixed"/>
              <w:tblCellMar>
                <w:top w:w="0" w:type="dxa"/>
                <w:left w:w="28" w:type="dxa"/>
                <w:bottom w:w="0" w:type="dxa"/>
                <w:right w:w="28" w:type="dxa"/>
              </w:tblCellMar>
            </w:tblPr>
            <w:tblGrid>
              <w:gridCol w:w="632"/>
              <w:gridCol w:w="4256"/>
              <w:gridCol w:w="2271"/>
              <w:gridCol w:w="404"/>
            </w:tblGrid>
            <w:tr w14:paraId="1C361126">
              <w:tblPrEx>
                <w:tblBorders>
                  <w:top w:val="single" w:color="auto" w:sz="12" w:space="0"/>
                  <w:left w:val="single" w:color="FFFFFF" w:sz="12" w:space="0"/>
                  <w:bottom w:val="single" w:color="auto" w:sz="12" w:space="0"/>
                  <w:right w:val="single" w:color="FFFFFF" w:sz="12" w:space="0"/>
                  <w:insideH w:val="single" w:color="auto" w:sz="4" w:space="0"/>
                  <w:insideV w:val="single" w:color="auto" w:sz="4" w:space="0"/>
                </w:tblBorders>
                <w:tblCellMar>
                  <w:top w:w="0" w:type="dxa"/>
                  <w:left w:w="28" w:type="dxa"/>
                  <w:bottom w:w="0" w:type="dxa"/>
                  <w:right w:w="28" w:type="dxa"/>
                </w:tblCellMar>
              </w:tblPrEx>
              <w:tc>
                <w:tcPr>
                  <w:tcW w:w="632" w:type="dxa"/>
                  <w:tcBorders>
                    <w:top w:val="single" w:color="auto" w:sz="12" w:space="0"/>
                    <w:left w:val="single" w:color="FFFFFF" w:sz="12" w:space="0"/>
                    <w:bottom w:val="single" w:color="auto" w:sz="4" w:space="0"/>
                    <w:right w:val="single" w:color="auto" w:sz="4" w:space="0"/>
                  </w:tcBorders>
                  <w:vAlign w:val="center"/>
                </w:tcPr>
                <w:p w14:paraId="672043E7">
                  <w:pPr>
                    <w:pStyle w:val="46"/>
                    <w:snapToGrid w:val="0"/>
                    <w:jc w:val="center"/>
                    <w:rPr>
                      <w:rFonts w:ascii="Times New Roman" w:hAnsi="Times New Roman" w:cs="Times New Roman"/>
                      <w:b/>
                      <w:kern w:val="0"/>
                      <w:sz w:val="20"/>
                      <w:szCs w:val="21"/>
                    </w:rPr>
                  </w:pPr>
                  <w:r>
                    <w:rPr>
                      <w:rFonts w:ascii="Times New Roman" w:hAnsi="Times New Roman" w:cs="Times New Roman"/>
                      <w:b/>
                      <w:sz w:val="20"/>
                      <w:szCs w:val="21"/>
                    </w:rPr>
                    <w:t>专项评价类别</w:t>
                  </w:r>
                </w:p>
              </w:tc>
              <w:tc>
                <w:tcPr>
                  <w:tcW w:w="4256" w:type="dxa"/>
                  <w:tcBorders>
                    <w:top w:val="single" w:color="auto" w:sz="12" w:space="0"/>
                    <w:left w:val="single" w:color="auto" w:sz="4" w:space="0"/>
                    <w:bottom w:val="single" w:color="auto" w:sz="4" w:space="0"/>
                    <w:right w:val="single" w:color="auto" w:sz="4" w:space="0"/>
                  </w:tcBorders>
                  <w:vAlign w:val="center"/>
                </w:tcPr>
                <w:p w14:paraId="5BD9D74C">
                  <w:pPr>
                    <w:pStyle w:val="46"/>
                    <w:snapToGrid w:val="0"/>
                    <w:jc w:val="center"/>
                    <w:rPr>
                      <w:rFonts w:ascii="Times New Roman" w:hAnsi="Times New Roman" w:cs="Times New Roman"/>
                      <w:b/>
                      <w:sz w:val="20"/>
                      <w:szCs w:val="21"/>
                    </w:rPr>
                  </w:pPr>
                  <w:r>
                    <w:rPr>
                      <w:rFonts w:ascii="Times New Roman" w:hAnsi="Times New Roman" w:cs="Times New Roman"/>
                      <w:b/>
                      <w:sz w:val="20"/>
                      <w:szCs w:val="21"/>
                    </w:rPr>
                    <w:t>设置原则</w:t>
                  </w:r>
                </w:p>
              </w:tc>
              <w:tc>
                <w:tcPr>
                  <w:tcW w:w="2271" w:type="dxa"/>
                  <w:tcBorders>
                    <w:top w:val="single" w:color="auto" w:sz="12" w:space="0"/>
                    <w:left w:val="single" w:color="auto" w:sz="4" w:space="0"/>
                    <w:bottom w:val="single" w:color="auto" w:sz="4" w:space="0"/>
                    <w:right w:val="single" w:color="auto" w:sz="4" w:space="0"/>
                  </w:tcBorders>
                  <w:vAlign w:val="center"/>
                </w:tcPr>
                <w:p w14:paraId="4F256B68">
                  <w:pPr>
                    <w:pStyle w:val="46"/>
                    <w:snapToGrid w:val="0"/>
                    <w:jc w:val="center"/>
                    <w:rPr>
                      <w:rFonts w:ascii="Times New Roman" w:hAnsi="Times New Roman" w:cs="Times New Roman"/>
                      <w:b/>
                      <w:sz w:val="20"/>
                      <w:szCs w:val="21"/>
                      <w:lang w:val="en-US"/>
                    </w:rPr>
                  </w:pPr>
                  <w:r>
                    <w:rPr>
                      <w:rFonts w:ascii="Times New Roman" w:hAnsi="Times New Roman" w:cs="Times New Roman"/>
                      <w:b/>
                      <w:sz w:val="20"/>
                      <w:szCs w:val="21"/>
                    </w:rPr>
                    <w:t>项目情况</w:t>
                  </w:r>
                </w:p>
              </w:tc>
              <w:tc>
                <w:tcPr>
                  <w:tcW w:w="404" w:type="dxa"/>
                  <w:tcBorders>
                    <w:top w:val="single" w:color="auto" w:sz="12" w:space="0"/>
                    <w:left w:val="single" w:color="auto" w:sz="4" w:space="0"/>
                    <w:bottom w:val="single" w:color="auto" w:sz="4" w:space="0"/>
                    <w:right w:val="single" w:color="FFFFFF" w:sz="12" w:space="0"/>
                  </w:tcBorders>
                  <w:vAlign w:val="center"/>
                </w:tcPr>
                <w:p w14:paraId="699644BA">
                  <w:pPr>
                    <w:pStyle w:val="46"/>
                    <w:snapToGrid w:val="0"/>
                    <w:jc w:val="center"/>
                    <w:rPr>
                      <w:rFonts w:ascii="Times New Roman" w:hAnsi="Times New Roman" w:cs="Times New Roman"/>
                      <w:b/>
                      <w:sz w:val="20"/>
                      <w:szCs w:val="21"/>
                    </w:rPr>
                  </w:pPr>
                  <w:r>
                    <w:rPr>
                      <w:rFonts w:ascii="Times New Roman" w:hAnsi="Times New Roman" w:cs="Times New Roman"/>
                      <w:b/>
                      <w:sz w:val="20"/>
                      <w:szCs w:val="21"/>
                    </w:rPr>
                    <w:t>设置</w:t>
                  </w:r>
                </w:p>
                <w:p w14:paraId="44D78C81">
                  <w:pPr>
                    <w:pStyle w:val="46"/>
                    <w:snapToGrid w:val="0"/>
                    <w:jc w:val="center"/>
                    <w:rPr>
                      <w:rFonts w:ascii="Times New Roman" w:hAnsi="Times New Roman" w:cs="Times New Roman"/>
                      <w:b/>
                      <w:sz w:val="20"/>
                      <w:szCs w:val="21"/>
                    </w:rPr>
                  </w:pPr>
                  <w:r>
                    <w:rPr>
                      <w:rFonts w:ascii="Times New Roman" w:hAnsi="Times New Roman" w:cs="Times New Roman"/>
                      <w:b/>
                      <w:sz w:val="20"/>
                      <w:szCs w:val="21"/>
                    </w:rPr>
                    <w:t>与否</w:t>
                  </w:r>
                </w:p>
              </w:tc>
            </w:tr>
            <w:tr w14:paraId="77F8476A">
              <w:tblPrEx>
                <w:tblBorders>
                  <w:top w:val="single" w:color="auto" w:sz="12" w:space="0"/>
                  <w:left w:val="single" w:color="FFFFFF" w:sz="12" w:space="0"/>
                  <w:bottom w:val="single" w:color="auto" w:sz="12" w:space="0"/>
                  <w:right w:val="single" w:color="FFFFFF" w:sz="12" w:space="0"/>
                  <w:insideH w:val="single" w:color="auto" w:sz="4" w:space="0"/>
                  <w:insideV w:val="single" w:color="auto" w:sz="4" w:space="0"/>
                </w:tblBorders>
                <w:tblCellMar>
                  <w:top w:w="0" w:type="dxa"/>
                  <w:left w:w="28" w:type="dxa"/>
                  <w:bottom w:w="0" w:type="dxa"/>
                  <w:right w:w="28" w:type="dxa"/>
                </w:tblCellMar>
              </w:tblPrEx>
              <w:tc>
                <w:tcPr>
                  <w:tcW w:w="632" w:type="dxa"/>
                  <w:tcBorders>
                    <w:top w:val="single" w:color="auto" w:sz="4" w:space="0"/>
                    <w:left w:val="single" w:color="FFFFFF" w:sz="12" w:space="0"/>
                    <w:bottom w:val="single" w:color="auto" w:sz="4" w:space="0"/>
                    <w:right w:val="single" w:color="auto" w:sz="4" w:space="0"/>
                  </w:tcBorders>
                  <w:vAlign w:val="center"/>
                </w:tcPr>
                <w:p w14:paraId="613CA1F0">
                  <w:pPr>
                    <w:pStyle w:val="46"/>
                    <w:snapToGrid w:val="0"/>
                    <w:jc w:val="center"/>
                    <w:rPr>
                      <w:rFonts w:ascii="Times New Roman" w:hAnsi="Times New Roman" w:cs="Times New Roman"/>
                      <w:color w:val="000000"/>
                      <w:sz w:val="20"/>
                      <w:szCs w:val="21"/>
                    </w:rPr>
                  </w:pPr>
                  <w:r>
                    <w:rPr>
                      <w:rFonts w:ascii="Times New Roman" w:hAnsi="Times New Roman" w:cs="Times New Roman"/>
                      <w:sz w:val="20"/>
                      <w:szCs w:val="21"/>
                    </w:rPr>
                    <w:t>大气</w:t>
                  </w:r>
                </w:p>
              </w:tc>
              <w:tc>
                <w:tcPr>
                  <w:tcW w:w="4256" w:type="dxa"/>
                  <w:tcBorders>
                    <w:top w:val="single" w:color="auto" w:sz="4" w:space="0"/>
                    <w:left w:val="single" w:color="auto" w:sz="4" w:space="0"/>
                    <w:bottom w:val="single" w:color="auto" w:sz="4" w:space="0"/>
                    <w:right w:val="single" w:color="auto" w:sz="4" w:space="0"/>
                  </w:tcBorders>
                  <w:vAlign w:val="center"/>
                </w:tcPr>
                <w:p w14:paraId="6E1D6ACC">
                  <w:pPr>
                    <w:pStyle w:val="46"/>
                    <w:snapToGrid w:val="0"/>
                    <w:jc w:val="center"/>
                    <w:rPr>
                      <w:rFonts w:ascii="Times New Roman" w:hAnsi="Times New Roman" w:cs="Times New Roman"/>
                      <w:color w:val="000000"/>
                      <w:sz w:val="20"/>
                      <w:szCs w:val="21"/>
                    </w:rPr>
                  </w:pPr>
                  <w:r>
                    <w:rPr>
                      <w:rFonts w:ascii="Times New Roman" w:hAnsi="Times New Roman" w:cs="Times New Roman"/>
                      <w:color w:val="000000"/>
                      <w:sz w:val="20"/>
                      <w:szCs w:val="21"/>
                    </w:rPr>
                    <w:t>排放废气含有毒有害污染物二噁英、苯并[a]芘、氰化物、氯气且厂界外500米范围内有环境空气保护目标的建设项目</w:t>
                  </w:r>
                </w:p>
              </w:tc>
              <w:tc>
                <w:tcPr>
                  <w:tcW w:w="2271" w:type="dxa"/>
                  <w:tcBorders>
                    <w:top w:val="single" w:color="auto" w:sz="4" w:space="0"/>
                    <w:left w:val="single" w:color="auto" w:sz="4" w:space="0"/>
                    <w:bottom w:val="single" w:color="auto" w:sz="4" w:space="0"/>
                    <w:right w:val="single" w:color="auto" w:sz="4" w:space="0"/>
                  </w:tcBorders>
                  <w:vAlign w:val="center"/>
                </w:tcPr>
                <w:p w14:paraId="7997028D">
                  <w:pPr>
                    <w:pStyle w:val="46"/>
                    <w:snapToGrid w:val="0"/>
                    <w:jc w:val="center"/>
                    <w:rPr>
                      <w:rFonts w:ascii="Times New Roman" w:hAnsi="Times New Roman" w:cs="Times New Roman"/>
                      <w:bCs/>
                      <w:color w:val="000000"/>
                      <w:sz w:val="20"/>
                      <w:szCs w:val="21"/>
                      <w:lang w:val="en-US"/>
                    </w:rPr>
                  </w:pPr>
                  <w:r>
                    <w:rPr>
                      <w:rFonts w:ascii="Times New Roman" w:hAnsi="Times New Roman" w:cs="Times New Roman"/>
                      <w:sz w:val="20"/>
                      <w:szCs w:val="21"/>
                    </w:rPr>
                    <w:t>本项目排放废气中</w:t>
                  </w:r>
                  <w:r>
                    <w:rPr>
                      <w:rFonts w:ascii="Times New Roman" w:hAnsi="Times New Roman" w:cs="Times New Roman"/>
                      <w:sz w:val="20"/>
                      <w:szCs w:val="21"/>
                      <w:lang w:val="en-US"/>
                    </w:rPr>
                    <w:t>不</w:t>
                  </w:r>
                  <w:r>
                    <w:rPr>
                      <w:rFonts w:ascii="Times New Roman" w:hAnsi="Times New Roman" w:cs="Times New Roman"/>
                      <w:color w:val="000000"/>
                      <w:sz w:val="20"/>
                      <w:szCs w:val="21"/>
                    </w:rPr>
                    <w:t>含有毒有害污染物二噁英、苯并[a]芘、氰化物、氯气</w:t>
                  </w:r>
                </w:p>
              </w:tc>
              <w:tc>
                <w:tcPr>
                  <w:tcW w:w="404" w:type="dxa"/>
                  <w:tcBorders>
                    <w:top w:val="single" w:color="auto" w:sz="4" w:space="0"/>
                    <w:left w:val="single" w:color="auto" w:sz="4" w:space="0"/>
                    <w:bottom w:val="single" w:color="auto" w:sz="4" w:space="0"/>
                    <w:right w:val="single" w:color="FFFFFF" w:sz="12" w:space="0"/>
                  </w:tcBorders>
                  <w:vAlign w:val="center"/>
                </w:tcPr>
                <w:p w14:paraId="3149D189">
                  <w:pPr>
                    <w:pStyle w:val="46"/>
                    <w:snapToGrid w:val="0"/>
                    <w:jc w:val="center"/>
                    <w:rPr>
                      <w:rFonts w:ascii="Times New Roman" w:hAnsi="Times New Roman" w:cs="Times New Roman"/>
                      <w:color w:val="000000"/>
                      <w:sz w:val="20"/>
                      <w:szCs w:val="21"/>
                      <w:lang w:val="en-US"/>
                    </w:rPr>
                  </w:pPr>
                  <w:r>
                    <w:rPr>
                      <w:rFonts w:ascii="Times New Roman" w:hAnsi="Times New Roman" w:cs="Times New Roman"/>
                      <w:sz w:val="20"/>
                      <w:szCs w:val="21"/>
                      <w:lang w:val="en-US"/>
                    </w:rPr>
                    <w:t>否</w:t>
                  </w:r>
                </w:p>
              </w:tc>
            </w:tr>
            <w:tr w14:paraId="323ED4D1">
              <w:tblPrEx>
                <w:tblBorders>
                  <w:top w:val="single" w:color="auto" w:sz="12" w:space="0"/>
                  <w:left w:val="single" w:color="FFFFFF" w:sz="12" w:space="0"/>
                  <w:bottom w:val="single" w:color="auto" w:sz="12" w:space="0"/>
                  <w:right w:val="single" w:color="FFFFFF" w:sz="12" w:space="0"/>
                  <w:insideH w:val="single" w:color="auto" w:sz="4" w:space="0"/>
                  <w:insideV w:val="single" w:color="auto" w:sz="4" w:space="0"/>
                </w:tblBorders>
                <w:tblCellMar>
                  <w:top w:w="0" w:type="dxa"/>
                  <w:left w:w="28" w:type="dxa"/>
                  <w:bottom w:w="0" w:type="dxa"/>
                  <w:right w:w="28" w:type="dxa"/>
                </w:tblCellMar>
              </w:tblPrEx>
              <w:tc>
                <w:tcPr>
                  <w:tcW w:w="632" w:type="dxa"/>
                  <w:tcBorders>
                    <w:top w:val="single" w:color="auto" w:sz="4" w:space="0"/>
                    <w:left w:val="single" w:color="FFFFFF" w:sz="12" w:space="0"/>
                    <w:bottom w:val="single" w:color="auto" w:sz="4" w:space="0"/>
                    <w:right w:val="single" w:color="auto" w:sz="4" w:space="0"/>
                  </w:tcBorders>
                  <w:vAlign w:val="center"/>
                </w:tcPr>
                <w:p w14:paraId="0AD894C3">
                  <w:pPr>
                    <w:pStyle w:val="46"/>
                    <w:snapToGrid w:val="0"/>
                    <w:jc w:val="center"/>
                    <w:rPr>
                      <w:rFonts w:ascii="Times New Roman" w:hAnsi="Times New Roman" w:cs="Times New Roman"/>
                      <w:color w:val="000000"/>
                      <w:sz w:val="20"/>
                      <w:szCs w:val="21"/>
                    </w:rPr>
                  </w:pPr>
                  <w:r>
                    <w:rPr>
                      <w:rFonts w:ascii="Times New Roman" w:hAnsi="Times New Roman" w:cs="Times New Roman"/>
                      <w:sz w:val="20"/>
                      <w:szCs w:val="21"/>
                    </w:rPr>
                    <w:t>地表水</w:t>
                  </w:r>
                </w:p>
              </w:tc>
              <w:tc>
                <w:tcPr>
                  <w:tcW w:w="4256" w:type="dxa"/>
                  <w:tcBorders>
                    <w:top w:val="single" w:color="auto" w:sz="4" w:space="0"/>
                    <w:left w:val="single" w:color="auto" w:sz="4" w:space="0"/>
                    <w:bottom w:val="single" w:color="auto" w:sz="4" w:space="0"/>
                    <w:right w:val="single" w:color="auto" w:sz="4" w:space="0"/>
                  </w:tcBorders>
                  <w:vAlign w:val="center"/>
                </w:tcPr>
                <w:p w14:paraId="31CFBC01">
                  <w:pPr>
                    <w:pStyle w:val="46"/>
                    <w:snapToGrid w:val="0"/>
                    <w:jc w:val="center"/>
                    <w:rPr>
                      <w:rFonts w:ascii="Times New Roman" w:hAnsi="Times New Roman" w:cs="Times New Roman"/>
                      <w:bCs/>
                      <w:color w:val="000000"/>
                      <w:sz w:val="20"/>
                      <w:szCs w:val="21"/>
                      <w:lang w:val="en-US"/>
                    </w:rPr>
                  </w:pPr>
                  <w:r>
                    <w:rPr>
                      <w:rFonts w:ascii="Times New Roman" w:hAnsi="Times New Roman" w:cs="Times New Roman"/>
                      <w:sz w:val="20"/>
                      <w:szCs w:val="21"/>
                    </w:rPr>
                    <w:t>新增工业废水直排建设项目（槽罐车外送污水处理厂的除外）；新增废水直排的污水集中处理厂</w:t>
                  </w:r>
                </w:p>
              </w:tc>
              <w:tc>
                <w:tcPr>
                  <w:tcW w:w="2271" w:type="dxa"/>
                  <w:tcBorders>
                    <w:top w:val="single" w:color="auto" w:sz="4" w:space="0"/>
                    <w:left w:val="single" w:color="auto" w:sz="4" w:space="0"/>
                    <w:bottom w:val="single" w:color="auto" w:sz="4" w:space="0"/>
                    <w:right w:val="single" w:color="auto" w:sz="4" w:space="0"/>
                  </w:tcBorders>
                  <w:vAlign w:val="center"/>
                </w:tcPr>
                <w:p w14:paraId="096C50ED">
                  <w:pPr>
                    <w:pStyle w:val="46"/>
                    <w:snapToGrid w:val="0"/>
                    <w:jc w:val="center"/>
                    <w:rPr>
                      <w:rFonts w:ascii="Times New Roman" w:hAnsi="Times New Roman" w:cs="Times New Roman"/>
                      <w:bCs/>
                      <w:color w:val="000000"/>
                      <w:sz w:val="20"/>
                      <w:szCs w:val="21"/>
                      <w:lang w:val="en-US"/>
                    </w:rPr>
                  </w:pPr>
                  <w:r>
                    <w:rPr>
                      <w:rFonts w:ascii="Times New Roman" w:hAnsi="Times New Roman" w:cs="Times New Roman"/>
                      <w:bCs/>
                      <w:color w:val="000000"/>
                      <w:sz w:val="20"/>
                      <w:szCs w:val="21"/>
                      <w:lang w:val="en-US"/>
                    </w:rPr>
                    <w:t>项目无工业废水产生及排放，生活污水定期清掏，不外排</w:t>
                  </w:r>
                </w:p>
              </w:tc>
              <w:tc>
                <w:tcPr>
                  <w:tcW w:w="404" w:type="dxa"/>
                  <w:tcBorders>
                    <w:top w:val="single" w:color="auto" w:sz="4" w:space="0"/>
                    <w:left w:val="single" w:color="auto" w:sz="4" w:space="0"/>
                    <w:bottom w:val="single" w:color="auto" w:sz="4" w:space="0"/>
                    <w:right w:val="single" w:color="FFFFFF" w:sz="12" w:space="0"/>
                  </w:tcBorders>
                  <w:vAlign w:val="center"/>
                </w:tcPr>
                <w:p w14:paraId="1B69506B">
                  <w:pPr>
                    <w:pStyle w:val="46"/>
                    <w:snapToGrid w:val="0"/>
                    <w:jc w:val="center"/>
                    <w:rPr>
                      <w:rFonts w:ascii="Times New Roman" w:hAnsi="Times New Roman" w:cs="Times New Roman"/>
                      <w:bCs/>
                      <w:color w:val="000000"/>
                      <w:sz w:val="20"/>
                      <w:szCs w:val="21"/>
                      <w:lang w:val="en-US"/>
                    </w:rPr>
                  </w:pPr>
                  <w:r>
                    <w:rPr>
                      <w:rFonts w:ascii="Times New Roman" w:hAnsi="Times New Roman" w:cs="Times New Roman"/>
                      <w:sz w:val="20"/>
                      <w:szCs w:val="21"/>
                    </w:rPr>
                    <w:t>否</w:t>
                  </w:r>
                </w:p>
              </w:tc>
            </w:tr>
            <w:tr w14:paraId="723207D3">
              <w:tblPrEx>
                <w:tblBorders>
                  <w:top w:val="single" w:color="auto" w:sz="12" w:space="0"/>
                  <w:left w:val="single" w:color="FFFFFF" w:sz="12" w:space="0"/>
                  <w:bottom w:val="single" w:color="auto" w:sz="12" w:space="0"/>
                  <w:right w:val="single" w:color="FFFFFF" w:sz="12" w:space="0"/>
                  <w:insideH w:val="single" w:color="auto" w:sz="4" w:space="0"/>
                  <w:insideV w:val="single" w:color="auto" w:sz="4" w:space="0"/>
                </w:tblBorders>
                <w:tblCellMar>
                  <w:top w:w="0" w:type="dxa"/>
                  <w:left w:w="28" w:type="dxa"/>
                  <w:bottom w:w="0" w:type="dxa"/>
                  <w:right w:w="28" w:type="dxa"/>
                </w:tblCellMar>
              </w:tblPrEx>
              <w:tc>
                <w:tcPr>
                  <w:tcW w:w="632" w:type="dxa"/>
                  <w:tcBorders>
                    <w:top w:val="single" w:color="auto" w:sz="4" w:space="0"/>
                    <w:left w:val="single" w:color="FFFFFF" w:sz="12" w:space="0"/>
                    <w:bottom w:val="single" w:color="auto" w:sz="4" w:space="0"/>
                    <w:right w:val="single" w:color="auto" w:sz="4" w:space="0"/>
                  </w:tcBorders>
                  <w:vAlign w:val="center"/>
                </w:tcPr>
                <w:p w14:paraId="2F771564">
                  <w:pPr>
                    <w:pStyle w:val="46"/>
                    <w:snapToGrid w:val="0"/>
                    <w:jc w:val="center"/>
                    <w:rPr>
                      <w:rFonts w:ascii="Times New Roman" w:hAnsi="Times New Roman" w:cs="Times New Roman"/>
                      <w:color w:val="000000"/>
                      <w:sz w:val="20"/>
                      <w:szCs w:val="21"/>
                    </w:rPr>
                  </w:pPr>
                  <w:r>
                    <w:rPr>
                      <w:rFonts w:ascii="Times New Roman" w:hAnsi="Times New Roman" w:cs="Times New Roman"/>
                      <w:sz w:val="20"/>
                      <w:szCs w:val="21"/>
                    </w:rPr>
                    <w:t>环境风险</w:t>
                  </w:r>
                </w:p>
              </w:tc>
              <w:tc>
                <w:tcPr>
                  <w:tcW w:w="4256" w:type="dxa"/>
                  <w:tcBorders>
                    <w:top w:val="single" w:color="auto" w:sz="4" w:space="0"/>
                    <w:left w:val="single" w:color="auto" w:sz="4" w:space="0"/>
                    <w:bottom w:val="single" w:color="auto" w:sz="4" w:space="0"/>
                    <w:right w:val="single" w:color="auto" w:sz="4" w:space="0"/>
                  </w:tcBorders>
                  <w:vAlign w:val="center"/>
                </w:tcPr>
                <w:p w14:paraId="067C7167">
                  <w:pPr>
                    <w:pStyle w:val="46"/>
                    <w:snapToGrid w:val="0"/>
                    <w:jc w:val="center"/>
                    <w:rPr>
                      <w:rFonts w:ascii="Times New Roman" w:hAnsi="Times New Roman" w:cs="Times New Roman"/>
                      <w:bCs/>
                      <w:color w:val="000000"/>
                      <w:sz w:val="20"/>
                      <w:szCs w:val="21"/>
                      <w:lang w:val="en-US"/>
                    </w:rPr>
                  </w:pPr>
                  <w:r>
                    <w:rPr>
                      <w:rFonts w:ascii="Times New Roman" w:hAnsi="Times New Roman" w:cs="Times New Roman"/>
                      <w:sz w:val="20"/>
                      <w:szCs w:val="21"/>
                    </w:rPr>
                    <w:t>有毒有害和易燃易爆危险物质存储量超过临界量的建设项目</w:t>
                  </w:r>
                </w:p>
              </w:tc>
              <w:tc>
                <w:tcPr>
                  <w:tcW w:w="2271" w:type="dxa"/>
                  <w:tcBorders>
                    <w:top w:val="single" w:color="auto" w:sz="4" w:space="0"/>
                    <w:left w:val="single" w:color="auto" w:sz="4" w:space="0"/>
                    <w:bottom w:val="single" w:color="auto" w:sz="4" w:space="0"/>
                    <w:right w:val="single" w:color="auto" w:sz="4" w:space="0"/>
                  </w:tcBorders>
                  <w:vAlign w:val="center"/>
                </w:tcPr>
                <w:p w14:paraId="6F172840">
                  <w:pPr>
                    <w:pStyle w:val="46"/>
                    <w:snapToGrid w:val="0"/>
                    <w:jc w:val="center"/>
                    <w:rPr>
                      <w:rFonts w:ascii="Times New Roman" w:hAnsi="Times New Roman" w:cs="Times New Roman"/>
                      <w:bCs/>
                      <w:color w:val="000000"/>
                      <w:sz w:val="20"/>
                      <w:szCs w:val="21"/>
                      <w:lang w:val="en-US"/>
                    </w:rPr>
                  </w:pPr>
                  <w:r>
                    <w:rPr>
                      <w:rFonts w:ascii="Times New Roman" w:hAnsi="Times New Roman" w:cs="Times New Roman"/>
                      <w:sz w:val="20"/>
                      <w:szCs w:val="21"/>
                    </w:rPr>
                    <w:t>危险物质未超过临界量</w:t>
                  </w:r>
                </w:p>
              </w:tc>
              <w:tc>
                <w:tcPr>
                  <w:tcW w:w="404" w:type="dxa"/>
                  <w:tcBorders>
                    <w:top w:val="single" w:color="auto" w:sz="4" w:space="0"/>
                    <w:left w:val="single" w:color="auto" w:sz="4" w:space="0"/>
                    <w:bottom w:val="single" w:color="auto" w:sz="4" w:space="0"/>
                    <w:right w:val="single" w:color="FFFFFF" w:sz="12" w:space="0"/>
                  </w:tcBorders>
                  <w:vAlign w:val="center"/>
                </w:tcPr>
                <w:p w14:paraId="6670030D">
                  <w:pPr>
                    <w:pStyle w:val="46"/>
                    <w:snapToGrid w:val="0"/>
                    <w:jc w:val="center"/>
                    <w:rPr>
                      <w:rFonts w:ascii="Times New Roman" w:hAnsi="Times New Roman" w:cs="Times New Roman"/>
                      <w:bCs/>
                      <w:color w:val="000000"/>
                      <w:sz w:val="20"/>
                      <w:szCs w:val="21"/>
                      <w:lang w:val="en-US"/>
                    </w:rPr>
                  </w:pPr>
                  <w:r>
                    <w:rPr>
                      <w:rFonts w:ascii="Times New Roman" w:hAnsi="Times New Roman" w:cs="Times New Roman"/>
                      <w:sz w:val="20"/>
                      <w:szCs w:val="21"/>
                    </w:rPr>
                    <w:t>否</w:t>
                  </w:r>
                </w:p>
              </w:tc>
            </w:tr>
            <w:tr w14:paraId="5C788070">
              <w:tblPrEx>
                <w:tblBorders>
                  <w:top w:val="single" w:color="auto" w:sz="12" w:space="0"/>
                  <w:left w:val="single" w:color="FFFFFF" w:sz="12" w:space="0"/>
                  <w:bottom w:val="single" w:color="auto" w:sz="12" w:space="0"/>
                  <w:right w:val="single" w:color="FFFFFF" w:sz="12" w:space="0"/>
                  <w:insideH w:val="single" w:color="auto" w:sz="4" w:space="0"/>
                  <w:insideV w:val="single" w:color="auto" w:sz="4" w:space="0"/>
                </w:tblBorders>
                <w:tblCellMar>
                  <w:top w:w="0" w:type="dxa"/>
                  <w:left w:w="28" w:type="dxa"/>
                  <w:bottom w:w="0" w:type="dxa"/>
                  <w:right w:w="28" w:type="dxa"/>
                </w:tblCellMar>
              </w:tblPrEx>
              <w:tc>
                <w:tcPr>
                  <w:tcW w:w="632" w:type="dxa"/>
                  <w:tcBorders>
                    <w:top w:val="single" w:color="auto" w:sz="4" w:space="0"/>
                    <w:left w:val="single" w:color="FFFFFF" w:sz="12" w:space="0"/>
                    <w:bottom w:val="single" w:color="auto" w:sz="4" w:space="0"/>
                    <w:right w:val="single" w:color="auto" w:sz="4" w:space="0"/>
                  </w:tcBorders>
                  <w:vAlign w:val="center"/>
                </w:tcPr>
                <w:p w14:paraId="04631E65">
                  <w:pPr>
                    <w:pStyle w:val="46"/>
                    <w:snapToGrid w:val="0"/>
                    <w:jc w:val="center"/>
                    <w:rPr>
                      <w:rFonts w:ascii="Times New Roman" w:hAnsi="Times New Roman" w:cs="Times New Roman"/>
                      <w:color w:val="000000"/>
                      <w:sz w:val="20"/>
                      <w:szCs w:val="21"/>
                    </w:rPr>
                  </w:pPr>
                  <w:r>
                    <w:rPr>
                      <w:rFonts w:ascii="Times New Roman" w:hAnsi="Times New Roman" w:cs="Times New Roman"/>
                      <w:sz w:val="20"/>
                      <w:szCs w:val="21"/>
                    </w:rPr>
                    <w:t>生态</w:t>
                  </w:r>
                </w:p>
              </w:tc>
              <w:tc>
                <w:tcPr>
                  <w:tcW w:w="4256" w:type="dxa"/>
                  <w:tcBorders>
                    <w:top w:val="single" w:color="auto" w:sz="4" w:space="0"/>
                    <w:left w:val="single" w:color="auto" w:sz="4" w:space="0"/>
                    <w:bottom w:val="single" w:color="auto" w:sz="4" w:space="0"/>
                    <w:right w:val="single" w:color="auto" w:sz="4" w:space="0"/>
                  </w:tcBorders>
                  <w:vAlign w:val="center"/>
                </w:tcPr>
                <w:p w14:paraId="6991BC2A">
                  <w:pPr>
                    <w:pStyle w:val="46"/>
                    <w:snapToGrid w:val="0"/>
                    <w:jc w:val="center"/>
                    <w:rPr>
                      <w:rFonts w:ascii="Times New Roman" w:hAnsi="Times New Roman" w:cs="Times New Roman"/>
                      <w:bCs/>
                      <w:color w:val="000000"/>
                      <w:sz w:val="20"/>
                      <w:szCs w:val="21"/>
                      <w:lang w:val="en-US"/>
                    </w:rPr>
                  </w:pPr>
                  <w:r>
                    <w:rPr>
                      <w:rFonts w:ascii="Times New Roman" w:hAnsi="Times New Roman" w:cs="Times New Roman"/>
                      <w:sz w:val="20"/>
                      <w:szCs w:val="21"/>
                    </w:rPr>
                    <w:t>取水口下游500米范围内有重要水水生物的自然产卵场、索饵场、越冬场和洄游通道的新增河道取水的污染类建设项目</w:t>
                  </w:r>
                </w:p>
              </w:tc>
              <w:tc>
                <w:tcPr>
                  <w:tcW w:w="2271" w:type="dxa"/>
                  <w:tcBorders>
                    <w:top w:val="single" w:color="auto" w:sz="4" w:space="0"/>
                    <w:left w:val="single" w:color="auto" w:sz="4" w:space="0"/>
                    <w:bottom w:val="single" w:color="auto" w:sz="4" w:space="0"/>
                    <w:right w:val="single" w:color="auto" w:sz="4" w:space="0"/>
                  </w:tcBorders>
                  <w:vAlign w:val="center"/>
                </w:tcPr>
                <w:p w14:paraId="16EC8F4C">
                  <w:pPr>
                    <w:pStyle w:val="46"/>
                    <w:snapToGrid w:val="0"/>
                    <w:jc w:val="center"/>
                    <w:rPr>
                      <w:rFonts w:ascii="Times New Roman" w:hAnsi="Times New Roman" w:cs="Times New Roman"/>
                      <w:bCs/>
                      <w:color w:val="000000"/>
                      <w:sz w:val="20"/>
                      <w:szCs w:val="21"/>
                      <w:lang w:val="en-US"/>
                    </w:rPr>
                  </w:pPr>
                  <w:r>
                    <w:rPr>
                      <w:rFonts w:ascii="Times New Roman" w:hAnsi="Times New Roman" w:cs="Times New Roman"/>
                      <w:sz w:val="20"/>
                      <w:szCs w:val="21"/>
                    </w:rPr>
                    <w:t>不涉及</w:t>
                  </w:r>
                </w:p>
              </w:tc>
              <w:tc>
                <w:tcPr>
                  <w:tcW w:w="404" w:type="dxa"/>
                  <w:tcBorders>
                    <w:top w:val="single" w:color="auto" w:sz="4" w:space="0"/>
                    <w:left w:val="single" w:color="auto" w:sz="4" w:space="0"/>
                    <w:bottom w:val="single" w:color="auto" w:sz="4" w:space="0"/>
                    <w:right w:val="single" w:color="FFFFFF" w:sz="12" w:space="0"/>
                  </w:tcBorders>
                  <w:vAlign w:val="center"/>
                </w:tcPr>
                <w:p w14:paraId="0C4209A4">
                  <w:pPr>
                    <w:pStyle w:val="46"/>
                    <w:snapToGrid w:val="0"/>
                    <w:jc w:val="center"/>
                    <w:rPr>
                      <w:rFonts w:ascii="Times New Roman" w:hAnsi="Times New Roman" w:cs="Times New Roman"/>
                      <w:bCs/>
                      <w:color w:val="000000"/>
                      <w:sz w:val="20"/>
                      <w:szCs w:val="21"/>
                      <w:lang w:val="en-US"/>
                    </w:rPr>
                  </w:pPr>
                  <w:r>
                    <w:rPr>
                      <w:rFonts w:ascii="Times New Roman" w:hAnsi="Times New Roman" w:cs="Times New Roman"/>
                      <w:sz w:val="20"/>
                      <w:szCs w:val="21"/>
                    </w:rPr>
                    <w:t>否</w:t>
                  </w:r>
                </w:p>
              </w:tc>
            </w:tr>
            <w:tr w14:paraId="696C4356">
              <w:tblPrEx>
                <w:tblBorders>
                  <w:top w:val="single" w:color="auto" w:sz="12" w:space="0"/>
                  <w:left w:val="single" w:color="FFFFFF" w:sz="12" w:space="0"/>
                  <w:bottom w:val="single" w:color="auto" w:sz="12" w:space="0"/>
                  <w:right w:val="single" w:color="FFFFFF" w:sz="12" w:space="0"/>
                  <w:insideH w:val="single" w:color="auto" w:sz="4" w:space="0"/>
                  <w:insideV w:val="single" w:color="auto" w:sz="4" w:space="0"/>
                </w:tblBorders>
                <w:tblCellMar>
                  <w:top w:w="0" w:type="dxa"/>
                  <w:left w:w="28" w:type="dxa"/>
                  <w:bottom w:w="0" w:type="dxa"/>
                  <w:right w:w="28" w:type="dxa"/>
                </w:tblCellMar>
              </w:tblPrEx>
              <w:tc>
                <w:tcPr>
                  <w:tcW w:w="632" w:type="dxa"/>
                  <w:tcBorders>
                    <w:top w:val="single" w:color="auto" w:sz="4" w:space="0"/>
                    <w:left w:val="single" w:color="FFFFFF" w:sz="12" w:space="0"/>
                    <w:bottom w:val="single" w:color="auto" w:sz="12" w:space="0"/>
                    <w:right w:val="single" w:color="auto" w:sz="4" w:space="0"/>
                  </w:tcBorders>
                  <w:vAlign w:val="center"/>
                </w:tcPr>
                <w:p w14:paraId="15E43ACE">
                  <w:pPr>
                    <w:pStyle w:val="46"/>
                    <w:snapToGrid w:val="0"/>
                    <w:jc w:val="center"/>
                    <w:rPr>
                      <w:rFonts w:ascii="Times New Roman" w:hAnsi="Times New Roman" w:cs="Times New Roman"/>
                      <w:color w:val="000000"/>
                      <w:sz w:val="20"/>
                      <w:szCs w:val="21"/>
                    </w:rPr>
                  </w:pPr>
                  <w:r>
                    <w:rPr>
                      <w:rFonts w:ascii="Times New Roman" w:hAnsi="Times New Roman" w:cs="Times New Roman"/>
                      <w:sz w:val="20"/>
                      <w:szCs w:val="21"/>
                    </w:rPr>
                    <w:t>海洋</w:t>
                  </w:r>
                </w:p>
              </w:tc>
              <w:tc>
                <w:tcPr>
                  <w:tcW w:w="4256" w:type="dxa"/>
                  <w:tcBorders>
                    <w:top w:val="single" w:color="auto" w:sz="4" w:space="0"/>
                    <w:left w:val="single" w:color="auto" w:sz="4" w:space="0"/>
                    <w:bottom w:val="single" w:color="auto" w:sz="12" w:space="0"/>
                    <w:right w:val="single" w:color="auto" w:sz="4" w:space="0"/>
                  </w:tcBorders>
                  <w:vAlign w:val="center"/>
                </w:tcPr>
                <w:p w14:paraId="6FB0BCD0">
                  <w:pPr>
                    <w:pStyle w:val="46"/>
                    <w:snapToGrid w:val="0"/>
                    <w:jc w:val="center"/>
                    <w:rPr>
                      <w:rFonts w:ascii="Times New Roman" w:hAnsi="Times New Roman" w:cs="Times New Roman"/>
                      <w:bCs/>
                      <w:color w:val="000000"/>
                      <w:sz w:val="20"/>
                      <w:szCs w:val="21"/>
                      <w:lang w:val="en-US"/>
                    </w:rPr>
                  </w:pPr>
                  <w:r>
                    <w:rPr>
                      <w:rFonts w:ascii="Times New Roman" w:hAnsi="Times New Roman" w:cs="Times New Roman"/>
                      <w:sz w:val="20"/>
                      <w:szCs w:val="21"/>
                    </w:rPr>
                    <w:t>直接向海排放污染物的海洋工程建设项目</w:t>
                  </w:r>
                </w:p>
              </w:tc>
              <w:tc>
                <w:tcPr>
                  <w:tcW w:w="2271" w:type="dxa"/>
                  <w:tcBorders>
                    <w:top w:val="single" w:color="auto" w:sz="4" w:space="0"/>
                    <w:left w:val="single" w:color="auto" w:sz="4" w:space="0"/>
                    <w:bottom w:val="single" w:color="auto" w:sz="12" w:space="0"/>
                    <w:right w:val="single" w:color="auto" w:sz="4" w:space="0"/>
                  </w:tcBorders>
                  <w:vAlign w:val="center"/>
                </w:tcPr>
                <w:p w14:paraId="6A485871">
                  <w:pPr>
                    <w:pStyle w:val="46"/>
                    <w:snapToGrid w:val="0"/>
                    <w:jc w:val="center"/>
                    <w:rPr>
                      <w:rFonts w:ascii="Times New Roman" w:hAnsi="Times New Roman" w:cs="Times New Roman"/>
                      <w:bCs/>
                      <w:color w:val="000000"/>
                      <w:sz w:val="20"/>
                      <w:szCs w:val="21"/>
                      <w:lang w:val="en-US"/>
                    </w:rPr>
                  </w:pPr>
                  <w:r>
                    <w:rPr>
                      <w:rFonts w:ascii="Times New Roman" w:hAnsi="Times New Roman" w:cs="Times New Roman"/>
                      <w:sz w:val="20"/>
                      <w:szCs w:val="21"/>
                    </w:rPr>
                    <w:t>不涉及</w:t>
                  </w:r>
                </w:p>
              </w:tc>
              <w:tc>
                <w:tcPr>
                  <w:tcW w:w="404" w:type="dxa"/>
                  <w:tcBorders>
                    <w:top w:val="single" w:color="auto" w:sz="4" w:space="0"/>
                    <w:left w:val="single" w:color="auto" w:sz="4" w:space="0"/>
                    <w:bottom w:val="single" w:color="auto" w:sz="12" w:space="0"/>
                    <w:right w:val="single" w:color="FFFFFF" w:sz="12" w:space="0"/>
                  </w:tcBorders>
                  <w:vAlign w:val="center"/>
                </w:tcPr>
                <w:p w14:paraId="7475E201">
                  <w:pPr>
                    <w:pStyle w:val="46"/>
                    <w:snapToGrid w:val="0"/>
                    <w:jc w:val="center"/>
                    <w:rPr>
                      <w:rFonts w:ascii="Times New Roman" w:hAnsi="Times New Roman" w:cs="Times New Roman"/>
                      <w:bCs/>
                      <w:color w:val="000000"/>
                      <w:sz w:val="20"/>
                      <w:szCs w:val="21"/>
                      <w:lang w:val="en-US"/>
                    </w:rPr>
                  </w:pPr>
                  <w:r>
                    <w:rPr>
                      <w:rFonts w:ascii="Times New Roman" w:hAnsi="Times New Roman" w:cs="Times New Roman"/>
                      <w:sz w:val="20"/>
                      <w:szCs w:val="21"/>
                    </w:rPr>
                    <w:t>否</w:t>
                  </w:r>
                </w:p>
              </w:tc>
            </w:tr>
          </w:tbl>
          <w:p w14:paraId="6B6C714E"/>
        </w:tc>
      </w:tr>
      <w:tr w14:paraId="3E8F29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10" w:type="pct"/>
            <w:tcBorders>
              <w:tl2br w:val="nil"/>
              <w:tr2bl w:val="nil"/>
            </w:tcBorders>
            <w:vAlign w:val="center"/>
          </w:tcPr>
          <w:p w14:paraId="525B396F">
            <w:pPr>
              <w:autoSpaceDE w:val="0"/>
              <w:autoSpaceDN w:val="0"/>
              <w:adjustRightInd w:val="0"/>
              <w:snapToGrid w:val="0"/>
              <w:spacing w:line="360" w:lineRule="auto"/>
              <w:jc w:val="center"/>
              <w:rPr>
                <w:kern w:val="0"/>
                <w:sz w:val="24"/>
              </w:rPr>
            </w:pPr>
            <w:r>
              <w:rPr>
                <w:sz w:val="24"/>
              </w:rPr>
              <w:t>规划情况</w:t>
            </w:r>
          </w:p>
        </w:tc>
        <w:tc>
          <w:tcPr>
            <w:tcW w:w="4290" w:type="pct"/>
            <w:gridSpan w:val="3"/>
            <w:tcBorders>
              <w:tl2br w:val="nil"/>
              <w:tr2bl w:val="nil"/>
            </w:tcBorders>
            <w:vAlign w:val="center"/>
          </w:tcPr>
          <w:p w14:paraId="0C053356">
            <w:pPr>
              <w:autoSpaceDE w:val="0"/>
              <w:autoSpaceDN w:val="0"/>
              <w:adjustRightInd w:val="0"/>
              <w:snapToGrid w:val="0"/>
              <w:spacing w:line="360" w:lineRule="auto"/>
              <w:jc w:val="center"/>
              <w:rPr>
                <w:kern w:val="0"/>
                <w:sz w:val="24"/>
              </w:rPr>
            </w:pPr>
            <w:r>
              <w:rPr>
                <w:sz w:val="24"/>
              </w:rPr>
              <w:t>无</w:t>
            </w:r>
          </w:p>
        </w:tc>
      </w:tr>
      <w:tr w14:paraId="497552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10" w:type="pct"/>
            <w:tcBorders>
              <w:tl2br w:val="nil"/>
              <w:tr2bl w:val="nil"/>
            </w:tcBorders>
            <w:vAlign w:val="center"/>
          </w:tcPr>
          <w:p w14:paraId="1528D9DC">
            <w:pPr>
              <w:adjustRightInd w:val="0"/>
              <w:snapToGrid w:val="0"/>
              <w:spacing w:line="360" w:lineRule="auto"/>
              <w:jc w:val="center"/>
              <w:rPr>
                <w:kern w:val="0"/>
                <w:sz w:val="24"/>
              </w:rPr>
            </w:pPr>
            <w:r>
              <w:rPr>
                <w:sz w:val="24"/>
              </w:rPr>
              <w:t>规划环境影响评价情况</w:t>
            </w:r>
          </w:p>
        </w:tc>
        <w:tc>
          <w:tcPr>
            <w:tcW w:w="4290" w:type="pct"/>
            <w:gridSpan w:val="3"/>
            <w:tcBorders>
              <w:tl2br w:val="nil"/>
              <w:tr2bl w:val="nil"/>
            </w:tcBorders>
            <w:vAlign w:val="center"/>
          </w:tcPr>
          <w:p w14:paraId="0AA07A02">
            <w:pPr>
              <w:autoSpaceDE w:val="0"/>
              <w:autoSpaceDN w:val="0"/>
              <w:adjustRightInd w:val="0"/>
              <w:snapToGrid w:val="0"/>
              <w:spacing w:line="360" w:lineRule="auto"/>
              <w:jc w:val="center"/>
              <w:rPr>
                <w:kern w:val="0"/>
                <w:sz w:val="24"/>
              </w:rPr>
            </w:pPr>
            <w:r>
              <w:rPr>
                <w:sz w:val="24"/>
              </w:rPr>
              <w:t>无</w:t>
            </w:r>
          </w:p>
        </w:tc>
      </w:tr>
      <w:tr w14:paraId="1E8C76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710" w:type="pct"/>
            <w:tcBorders>
              <w:tl2br w:val="nil"/>
              <w:tr2bl w:val="nil"/>
            </w:tcBorders>
            <w:vAlign w:val="center"/>
          </w:tcPr>
          <w:p w14:paraId="34DF6690">
            <w:pPr>
              <w:autoSpaceDE w:val="0"/>
              <w:autoSpaceDN w:val="0"/>
              <w:adjustRightInd w:val="0"/>
              <w:snapToGrid w:val="0"/>
              <w:jc w:val="center"/>
              <w:rPr>
                <w:kern w:val="0"/>
                <w:sz w:val="24"/>
              </w:rPr>
            </w:pPr>
            <w:r>
              <w:rPr>
                <w:kern w:val="0"/>
                <w:sz w:val="24"/>
              </w:rPr>
              <w:t>规划及规划环境影响评价符合性分析</w:t>
            </w:r>
          </w:p>
        </w:tc>
        <w:tc>
          <w:tcPr>
            <w:tcW w:w="4290" w:type="pct"/>
            <w:gridSpan w:val="3"/>
            <w:tcBorders>
              <w:tl2br w:val="nil"/>
              <w:tr2bl w:val="nil"/>
            </w:tcBorders>
            <w:vAlign w:val="center"/>
          </w:tcPr>
          <w:p w14:paraId="796E7BB3">
            <w:pPr>
              <w:pStyle w:val="45"/>
              <w:adjustRightInd w:val="0"/>
              <w:spacing w:line="520" w:lineRule="exact"/>
              <w:ind w:firstLine="0" w:firstLineChars="0"/>
              <w:jc w:val="center"/>
              <w:rPr>
                <w:sz w:val="24"/>
              </w:rPr>
            </w:pPr>
            <w:r>
              <w:rPr>
                <w:sz w:val="24"/>
              </w:rPr>
              <w:t>无</w:t>
            </w:r>
          </w:p>
        </w:tc>
      </w:tr>
      <w:tr w14:paraId="4E28FA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710" w:type="pct"/>
            <w:tcBorders>
              <w:tl2br w:val="nil"/>
              <w:tr2bl w:val="nil"/>
            </w:tcBorders>
            <w:vAlign w:val="center"/>
          </w:tcPr>
          <w:p w14:paraId="0DAF5728">
            <w:pPr>
              <w:autoSpaceDE w:val="0"/>
              <w:autoSpaceDN w:val="0"/>
              <w:adjustRightInd w:val="0"/>
              <w:snapToGrid w:val="0"/>
              <w:jc w:val="center"/>
              <w:rPr>
                <w:kern w:val="0"/>
                <w:sz w:val="24"/>
              </w:rPr>
            </w:pPr>
            <w:r>
              <w:rPr>
                <w:kern w:val="0"/>
                <w:sz w:val="24"/>
              </w:rPr>
              <w:t>其他符合性分析</w:t>
            </w:r>
          </w:p>
        </w:tc>
        <w:tc>
          <w:tcPr>
            <w:tcW w:w="4290" w:type="pct"/>
            <w:gridSpan w:val="3"/>
            <w:tcBorders>
              <w:tl2br w:val="nil"/>
              <w:tr2bl w:val="nil"/>
            </w:tcBorders>
            <w:vAlign w:val="center"/>
          </w:tcPr>
          <w:p w14:paraId="1E30264F">
            <w:pPr>
              <w:spacing w:line="360" w:lineRule="auto"/>
              <w:ind w:firstLine="482" w:firstLineChars="200"/>
              <w:rPr>
                <w:b/>
                <w:sz w:val="24"/>
              </w:rPr>
            </w:pPr>
            <w:r>
              <w:rPr>
                <w:b/>
                <w:sz w:val="24"/>
              </w:rPr>
              <w:t>1、“三线一单”相符性分析</w:t>
            </w:r>
          </w:p>
          <w:p w14:paraId="383A5B19">
            <w:pPr>
              <w:spacing w:line="360" w:lineRule="auto"/>
              <w:ind w:firstLine="480" w:firstLineChars="200"/>
              <w:rPr>
                <w:sz w:val="24"/>
              </w:rPr>
            </w:pPr>
            <w:r>
              <w:rPr>
                <w:sz w:val="24"/>
              </w:rPr>
              <w:t>根据《关于以改善环境质量为核心加强环境影响评价管理的通知》（环环评[2016]150号）要求，切实加强环境影响评价管理，落实“生态保护红线、环境质量底线、资源利用上线和生态环境准入清单”约束，建立项目环评审批与规划环评、现有项目环境管理、区域环境质量联动机制，更好地发挥环评制度从源头防范环境污染和生态破坏的作用，加快推进改善环境质量。</w:t>
            </w:r>
          </w:p>
          <w:p w14:paraId="31C5A2FA">
            <w:pPr>
              <w:spacing w:line="360" w:lineRule="auto"/>
              <w:ind w:firstLine="480" w:firstLineChars="200"/>
              <w:rPr>
                <w:sz w:val="24"/>
              </w:rPr>
            </w:pPr>
            <w:r>
              <w:rPr>
                <w:sz w:val="24"/>
              </w:rPr>
              <w:t>（1）生态红线</w:t>
            </w:r>
          </w:p>
          <w:p w14:paraId="47AE03E8">
            <w:pPr>
              <w:spacing w:line="360" w:lineRule="auto"/>
              <w:ind w:firstLine="480" w:firstLineChars="200"/>
              <w:rPr>
                <w:bCs/>
                <w:sz w:val="24"/>
              </w:rPr>
            </w:pPr>
            <w:r>
              <w:rPr>
                <w:bCs/>
                <w:sz w:val="24"/>
              </w:rPr>
              <w:t>生态保护红线是生态空间范围内具有特殊重要生态功能必须实行强制性严格保护的区域。</w:t>
            </w:r>
          </w:p>
          <w:p w14:paraId="79D8A8D4">
            <w:pPr>
              <w:spacing w:line="360" w:lineRule="auto"/>
              <w:ind w:firstLine="480" w:firstLineChars="200"/>
              <w:rPr>
                <w:b/>
                <w:bCs/>
                <w:sz w:val="24"/>
              </w:rPr>
            </w:pPr>
            <w:r>
              <w:rPr>
                <w:bCs/>
                <w:sz w:val="24"/>
              </w:rPr>
              <w:t>根据《</w:t>
            </w:r>
            <w:r>
              <w:rPr>
                <w:rFonts w:hint="eastAsia"/>
                <w:bCs/>
                <w:sz w:val="24"/>
              </w:rPr>
              <w:t>宿州市生态环境分区管控编制文本</w:t>
            </w:r>
            <w:r>
              <w:rPr>
                <w:bCs/>
                <w:sz w:val="24"/>
              </w:rPr>
              <w:t>》中“</w:t>
            </w:r>
            <w:r>
              <w:rPr>
                <w:rFonts w:hint="eastAsia"/>
                <w:bCs/>
                <w:sz w:val="24"/>
              </w:rPr>
              <w:t>基于安徽省政府发布的《安徽省生态保护红线》（皖政秘〔2018〕120号），宿州市及分区县的生态保护红线分布面积及占比参见下表。宿州市生态保护红线区面积为349.13 km</w:t>
            </w:r>
            <w:r>
              <w:rPr>
                <w:rFonts w:hint="eastAsia"/>
                <w:bCs/>
                <w:sz w:val="24"/>
                <w:vertAlign w:val="superscript"/>
              </w:rPr>
              <w:t>2</w:t>
            </w:r>
            <w:r>
              <w:rPr>
                <w:rFonts w:hint="eastAsia"/>
                <w:bCs/>
                <w:sz w:val="24"/>
              </w:rPr>
              <w:t>，占全市国土面积的3.51%，宿州市内泗县和灵璧县红线面积比例最低，分别只为县域面积的1.55%和0.39%。砀山县的红线面积最高为9.52%。</w:t>
            </w:r>
            <w:r>
              <w:rPr>
                <w:bCs/>
                <w:sz w:val="24"/>
              </w:rPr>
              <w:t>”</w:t>
            </w:r>
            <w:bookmarkStart w:id="1" w:name="_Ref104288281"/>
          </w:p>
          <w:p w14:paraId="07D1CD26">
            <w:pPr>
              <w:pStyle w:val="10"/>
              <w:ind w:firstLine="482" w:firstLineChars="200"/>
              <w:rPr>
                <w:rFonts w:ascii="Times New Roman" w:hAnsi="Times New Roman"/>
                <w:b w:val="0"/>
                <w:bCs/>
                <w:szCs w:val="24"/>
              </w:rPr>
            </w:pPr>
            <w:r>
              <w:rPr>
                <w:rFonts w:ascii="Times New Roman" w:hAnsi="Times New Roman"/>
                <w:bCs/>
                <w:szCs w:val="24"/>
              </w:rPr>
              <w:t>表</w:t>
            </w:r>
            <w:bookmarkEnd w:id="1"/>
            <w:r>
              <w:rPr>
                <w:rFonts w:ascii="Times New Roman" w:hAnsi="Times New Roman"/>
                <w:bCs/>
                <w:szCs w:val="24"/>
              </w:rPr>
              <w:t>1-</w:t>
            </w:r>
            <w:r>
              <w:rPr>
                <w:rFonts w:hint="eastAsia" w:ascii="Times New Roman" w:hAnsi="Times New Roman"/>
                <w:bCs/>
                <w:szCs w:val="24"/>
                <w:lang w:val="en-US" w:eastAsia="zh-CN"/>
              </w:rPr>
              <w:t>1</w:t>
            </w:r>
            <w:r>
              <w:rPr>
                <w:rFonts w:ascii="Times New Roman" w:hAnsi="Times New Roman"/>
                <w:bCs/>
                <w:szCs w:val="24"/>
              </w:rPr>
              <w:t xml:space="preserve"> 宿州市生态保护红线划定结果</w:t>
            </w:r>
          </w:p>
          <w:tbl>
            <w:tblPr>
              <w:tblStyle w:val="29"/>
              <w:tblW w:w="4793"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59"/>
              <w:gridCol w:w="1859"/>
              <w:gridCol w:w="1860"/>
              <w:gridCol w:w="1860"/>
            </w:tblGrid>
            <w:tr w14:paraId="6F262A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exact"/>
              </w:trPr>
              <w:tc>
                <w:tcPr>
                  <w:tcW w:w="1250" w:type="pct"/>
                  <w:vMerge w:val="restart"/>
                  <w:tcBorders>
                    <w:top w:val="single" w:color="auto" w:sz="4" w:space="0"/>
                    <w:left w:val="single" w:color="auto" w:sz="4" w:space="0"/>
                    <w:bottom w:val="single" w:color="auto" w:sz="4" w:space="0"/>
                    <w:right w:val="single" w:color="auto" w:sz="4" w:space="0"/>
                  </w:tcBorders>
                  <w:vAlign w:val="center"/>
                </w:tcPr>
                <w:p w14:paraId="16B7CF4C">
                  <w:pPr>
                    <w:pStyle w:val="88"/>
                    <w:adjustRightInd w:val="0"/>
                    <w:spacing w:line="240" w:lineRule="auto"/>
                    <w:ind w:firstLine="0" w:firstLineChars="0"/>
                    <w:jc w:val="center"/>
                    <w:rPr>
                      <w:rFonts w:ascii="Times New Roman" w:cs="Times New Roman"/>
                      <w:sz w:val="21"/>
                      <w:szCs w:val="21"/>
                    </w:rPr>
                  </w:pPr>
                  <w:r>
                    <w:rPr>
                      <w:rFonts w:ascii="Times New Roman" w:cs="Times New Roman"/>
                      <w:sz w:val="21"/>
                      <w:szCs w:val="21"/>
                    </w:rPr>
                    <w:t>行政区</w:t>
                  </w:r>
                </w:p>
              </w:tc>
              <w:tc>
                <w:tcPr>
                  <w:tcW w:w="1250" w:type="pct"/>
                  <w:vMerge w:val="restart"/>
                  <w:tcBorders>
                    <w:top w:val="single" w:color="auto" w:sz="4" w:space="0"/>
                    <w:left w:val="single" w:color="auto" w:sz="4" w:space="0"/>
                    <w:bottom w:val="single" w:color="auto" w:sz="4" w:space="0"/>
                    <w:right w:val="single" w:color="auto" w:sz="4" w:space="0"/>
                  </w:tcBorders>
                  <w:vAlign w:val="center"/>
                </w:tcPr>
                <w:p w14:paraId="24985BB2">
                  <w:pPr>
                    <w:pStyle w:val="88"/>
                    <w:adjustRightInd w:val="0"/>
                    <w:spacing w:line="240" w:lineRule="auto"/>
                    <w:ind w:firstLine="0" w:firstLineChars="0"/>
                    <w:jc w:val="center"/>
                    <w:rPr>
                      <w:rFonts w:ascii="Times New Roman" w:cs="Times New Roman"/>
                      <w:sz w:val="21"/>
                      <w:szCs w:val="21"/>
                    </w:rPr>
                  </w:pPr>
                  <w:r>
                    <w:rPr>
                      <w:rFonts w:ascii="Times New Roman" w:cs="Times New Roman"/>
                      <w:sz w:val="21"/>
                      <w:szCs w:val="21"/>
                    </w:rPr>
                    <w:t>辖区面积（km</w:t>
                  </w:r>
                  <w:r>
                    <w:rPr>
                      <w:rFonts w:ascii="Times New Roman" w:cs="Times New Roman"/>
                      <w:sz w:val="21"/>
                      <w:szCs w:val="21"/>
                      <w:vertAlign w:val="superscript"/>
                    </w:rPr>
                    <w:t>2</w:t>
                  </w:r>
                  <w:r>
                    <w:rPr>
                      <w:rFonts w:ascii="Times New Roman" w:cs="Times New Roman"/>
                      <w:sz w:val="21"/>
                      <w:szCs w:val="21"/>
                    </w:rPr>
                    <w:t>）</w:t>
                  </w:r>
                </w:p>
              </w:tc>
              <w:tc>
                <w:tcPr>
                  <w:tcW w:w="2500" w:type="pct"/>
                  <w:gridSpan w:val="2"/>
                  <w:tcBorders>
                    <w:top w:val="single" w:color="auto" w:sz="4" w:space="0"/>
                    <w:left w:val="single" w:color="auto" w:sz="4" w:space="0"/>
                    <w:bottom w:val="single" w:color="auto" w:sz="4" w:space="0"/>
                    <w:right w:val="single" w:color="auto" w:sz="4" w:space="0"/>
                  </w:tcBorders>
                  <w:vAlign w:val="center"/>
                </w:tcPr>
                <w:p w14:paraId="04028147">
                  <w:pPr>
                    <w:pStyle w:val="88"/>
                    <w:adjustRightInd w:val="0"/>
                    <w:spacing w:line="240" w:lineRule="auto"/>
                    <w:ind w:firstLine="0" w:firstLineChars="0"/>
                    <w:jc w:val="center"/>
                    <w:rPr>
                      <w:rFonts w:ascii="Times New Roman" w:cs="Times New Roman"/>
                      <w:sz w:val="21"/>
                      <w:szCs w:val="21"/>
                    </w:rPr>
                  </w:pPr>
                  <w:r>
                    <w:rPr>
                      <w:rFonts w:ascii="Times New Roman" w:cs="Times New Roman"/>
                      <w:sz w:val="21"/>
                      <w:szCs w:val="21"/>
                    </w:rPr>
                    <w:t>生态保护红线</w:t>
                  </w:r>
                </w:p>
              </w:tc>
            </w:tr>
            <w:tr w14:paraId="54FB18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exact"/>
              </w:trPr>
              <w:tc>
                <w:tcPr>
                  <w:tcW w:w="1250" w:type="pct"/>
                  <w:vMerge w:val="continue"/>
                  <w:tcBorders>
                    <w:top w:val="single" w:color="auto" w:sz="4" w:space="0"/>
                    <w:left w:val="single" w:color="auto" w:sz="4" w:space="0"/>
                    <w:bottom w:val="single" w:color="auto" w:sz="4" w:space="0"/>
                    <w:right w:val="single" w:color="auto" w:sz="4" w:space="0"/>
                  </w:tcBorders>
                  <w:vAlign w:val="center"/>
                </w:tcPr>
                <w:p w14:paraId="26377DAF">
                  <w:pPr>
                    <w:pStyle w:val="88"/>
                    <w:adjustRightInd w:val="0"/>
                    <w:spacing w:line="240" w:lineRule="auto"/>
                    <w:ind w:firstLine="0" w:firstLineChars="0"/>
                    <w:jc w:val="center"/>
                    <w:rPr>
                      <w:rFonts w:ascii="Times New Roman" w:cs="Times New Roman"/>
                      <w:sz w:val="21"/>
                      <w:szCs w:val="21"/>
                    </w:rPr>
                  </w:pPr>
                </w:p>
              </w:tc>
              <w:tc>
                <w:tcPr>
                  <w:tcW w:w="1250" w:type="pct"/>
                  <w:vMerge w:val="continue"/>
                  <w:tcBorders>
                    <w:top w:val="single" w:color="auto" w:sz="4" w:space="0"/>
                    <w:left w:val="single" w:color="auto" w:sz="4" w:space="0"/>
                    <w:bottom w:val="single" w:color="auto" w:sz="4" w:space="0"/>
                    <w:right w:val="single" w:color="auto" w:sz="4" w:space="0"/>
                  </w:tcBorders>
                  <w:vAlign w:val="center"/>
                </w:tcPr>
                <w:p w14:paraId="39DD5873">
                  <w:pPr>
                    <w:pStyle w:val="88"/>
                    <w:adjustRightInd w:val="0"/>
                    <w:spacing w:line="240" w:lineRule="auto"/>
                    <w:ind w:firstLine="0" w:firstLineChars="0"/>
                    <w:jc w:val="center"/>
                    <w:rPr>
                      <w:rFonts w:ascii="Times New Roman" w:cs="Times New Roman"/>
                      <w:sz w:val="21"/>
                      <w:szCs w:val="21"/>
                    </w:rPr>
                  </w:pPr>
                </w:p>
              </w:tc>
              <w:tc>
                <w:tcPr>
                  <w:tcW w:w="1250" w:type="pct"/>
                  <w:tcBorders>
                    <w:top w:val="single" w:color="auto" w:sz="4" w:space="0"/>
                    <w:left w:val="single" w:color="auto" w:sz="4" w:space="0"/>
                    <w:bottom w:val="single" w:color="auto" w:sz="4" w:space="0"/>
                    <w:right w:val="single" w:color="auto" w:sz="4" w:space="0"/>
                  </w:tcBorders>
                  <w:vAlign w:val="center"/>
                </w:tcPr>
                <w:p w14:paraId="7B96FE41">
                  <w:pPr>
                    <w:pStyle w:val="88"/>
                    <w:adjustRightInd w:val="0"/>
                    <w:spacing w:line="240" w:lineRule="auto"/>
                    <w:ind w:firstLine="0" w:firstLineChars="0"/>
                    <w:jc w:val="center"/>
                    <w:rPr>
                      <w:rFonts w:ascii="Times New Roman" w:cs="Times New Roman"/>
                      <w:sz w:val="21"/>
                      <w:szCs w:val="21"/>
                    </w:rPr>
                  </w:pPr>
                  <w:r>
                    <w:rPr>
                      <w:rFonts w:ascii="Times New Roman" w:cs="Times New Roman"/>
                      <w:sz w:val="21"/>
                      <w:szCs w:val="21"/>
                    </w:rPr>
                    <w:t>面积（km2）</w:t>
                  </w:r>
                </w:p>
              </w:tc>
              <w:tc>
                <w:tcPr>
                  <w:tcW w:w="1250" w:type="pct"/>
                  <w:tcBorders>
                    <w:top w:val="single" w:color="auto" w:sz="4" w:space="0"/>
                    <w:left w:val="single" w:color="auto" w:sz="4" w:space="0"/>
                    <w:bottom w:val="single" w:color="auto" w:sz="4" w:space="0"/>
                    <w:right w:val="single" w:color="auto" w:sz="4" w:space="0"/>
                  </w:tcBorders>
                  <w:vAlign w:val="center"/>
                </w:tcPr>
                <w:p w14:paraId="6AA4F294">
                  <w:pPr>
                    <w:pStyle w:val="88"/>
                    <w:adjustRightInd w:val="0"/>
                    <w:spacing w:line="240" w:lineRule="auto"/>
                    <w:ind w:firstLine="0" w:firstLineChars="0"/>
                    <w:jc w:val="center"/>
                    <w:rPr>
                      <w:rFonts w:ascii="Times New Roman" w:cs="Times New Roman"/>
                      <w:sz w:val="21"/>
                      <w:szCs w:val="21"/>
                    </w:rPr>
                  </w:pPr>
                  <w:r>
                    <w:rPr>
                      <w:rFonts w:ascii="Times New Roman" w:cs="Times New Roman"/>
                      <w:sz w:val="21"/>
                      <w:szCs w:val="21"/>
                    </w:rPr>
                    <w:t>占比（%）</w:t>
                  </w:r>
                </w:p>
              </w:tc>
            </w:tr>
            <w:tr w14:paraId="6460D7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exact"/>
              </w:trPr>
              <w:tc>
                <w:tcPr>
                  <w:tcW w:w="1250" w:type="pct"/>
                  <w:tcBorders>
                    <w:top w:val="single" w:color="auto" w:sz="4" w:space="0"/>
                    <w:left w:val="single" w:color="auto" w:sz="4" w:space="0"/>
                    <w:bottom w:val="single" w:color="auto" w:sz="4" w:space="0"/>
                    <w:right w:val="single" w:color="auto" w:sz="4" w:space="0"/>
                  </w:tcBorders>
                  <w:vAlign w:val="center"/>
                </w:tcPr>
                <w:p w14:paraId="3FE495FD">
                  <w:pPr>
                    <w:pStyle w:val="88"/>
                    <w:adjustRightInd w:val="0"/>
                    <w:spacing w:line="240" w:lineRule="auto"/>
                    <w:ind w:firstLine="0" w:firstLineChars="0"/>
                    <w:jc w:val="center"/>
                    <w:rPr>
                      <w:rFonts w:ascii="Times New Roman" w:cs="Times New Roman"/>
                      <w:sz w:val="21"/>
                      <w:szCs w:val="21"/>
                    </w:rPr>
                  </w:pPr>
                  <w:r>
                    <w:rPr>
                      <w:rFonts w:hint="eastAsia" w:ascii="Times New Roman" w:cs="Times New Roman"/>
                      <w:sz w:val="21"/>
                      <w:szCs w:val="21"/>
                    </w:rPr>
                    <w:t>埇桥区</w:t>
                  </w:r>
                </w:p>
              </w:tc>
              <w:tc>
                <w:tcPr>
                  <w:tcW w:w="1250" w:type="pct"/>
                  <w:tcBorders>
                    <w:top w:val="single" w:color="auto" w:sz="4" w:space="0"/>
                    <w:left w:val="single" w:color="auto" w:sz="4" w:space="0"/>
                    <w:bottom w:val="single" w:color="auto" w:sz="4" w:space="0"/>
                    <w:right w:val="single" w:color="auto" w:sz="4" w:space="0"/>
                  </w:tcBorders>
                  <w:vAlign w:val="center"/>
                </w:tcPr>
                <w:p w14:paraId="3F5AF1F0">
                  <w:pPr>
                    <w:pStyle w:val="88"/>
                    <w:adjustRightInd w:val="0"/>
                    <w:spacing w:line="240" w:lineRule="auto"/>
                    <w:ind w:firstLine="0" w:firstLineChars="0"/>
                    <w:jc w:val="center"/>
                    <w:rPr>
                      <w:rFonts w:ascii="Times New Roman" w:cs="Times New Roman"/>
                      <w:sz w:val="21"/>
                      <w:szCs w:val="21"/>
                    </w:rPr>
                  </w:pPr>
                  <w:r>
                    <w:rPr>
                      <w:rFonts w:hint="eastAsia" w:ascii="Times New Roman" w:cs="Times New Roman"/>
                      <w:sz w:val="21"/>
                      <w:szCs w:val="21"/>
                    </w:rPr>
                    <w:t>2907.45</w:t>
                  </w:r>
                </w:p>
              </w:tc>
              <w:tc>
                <w:tcPr>
                  <w:tcW w:w="1250" w:type="pct"/>
                  <w:tcBorders>
                    <w:top w:val="single" w:color="auto" w:sz="4" w:space="0"/>
                    <w:left w:val="single" w:color="auto" w:sz="4" w:space="0"/>
                    <w:bottom w:val="single" w:color="auto" w:sz="4" w:space="0"/>
                    <w:right w:val="single" w:color="auto" w:sz="4" w:space="0"/>
                  </w:tcBorders>
                  <w:vAlign w:val="center"/>
                </w:tcPr>
                <w:p w14:paraId="1F0054AA">
                  <w:pPr>
                    <w:pStyle w:val="88"/>
                    <w:adjustRightInd w:val="0"/>
                    <w:spacing w:line="240" w:lineRule="auto"/>
                    <w:ind w:firstLine="0" w:firstLineChars="0"/>
                    <w:jc w:val="center"/>
                    <w:rPr>
                      <w:rFonts w:ascii="Times New Roman" w:cs="Times New Roman"/>
                      <w:sz w:val="21"/>
                      <w:szCs w:val="21"/>
                    </w:rPr>
                  </w:pPr>
                  <w:r>
                    <w:rPr>
                      <w:rFonts w:hint="eastAsia" w:ascii="Times New Roman" w:cs="Times New Roman"/>
                      <w:sz w:val="21"/>
                      <w:szCs w:val="21"/>
                    </w:rPr>
                    <w:t>94.78</w:t>
                  </w:r>
                </w:p>
              </w:tc>
              <w:tc>
                <w:tcPr>
                  <w:tcW w:w="1250" w:type="pct"/>
                  <w:tcBorders>
                    <w:top w:val="single" w:color="auto" w:sz="4" w:space="0"/>
                    <w:left w:val="single" w:color="auto" w:sz="4" w:space="0"/>
                    <w:bottom w:val="single" w:color="auto" w:sz="4" w:space="0"/>
                    <w:right w:val="single" w:color="auto" w:sz="4" w:space="0"/>
                  </w:tcBorders>
                  <w:vAlign w:val="center"/>
                </w:tcPr>
                <w:p w14:paraId="6ABCB461">
                  <w:pPr>
                    <w:pStyle w:val="88"/>
                    <w:adjustRightInd w:val="0"/>
                    <w:spacing w:line="240" w:lineRule="auto"/>
                    <w:ind w:firstLine="0" w:firstLineChars="0"/>
                    <w:jc w:val="center"/>
                    <w:rPr>
                      <w:rFonts w:ascii="Times New Roman" w:cs="Times New Roman"/>
                      <w:sz w:val="21"/>
                      <w:szCs w:val="21"/>
                    </w:rPr>
                  </w:pPr>
                  <w:r>
                    <w:rPr>
                      <w:rFonts w:hint="eastAsia" w:ascii="Times New Roman" w:cs="Times New Roman"/>
                      <w:sz w:val="21"/>
                      <w:szCs w:val="21"/>
                    </w:rPr>
                    <w:t>3.26</w:t>
                  </w:r>
                </w:p>
              </w:tc>
            </w:tr>
            <w:tr w14:paraId="5A6171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exact"/>
              </w:trPr>
              <w:tc>
                <w:tcPr>
                  <w:tcW w:w="1250" w:type="pct"/>
                  <w:tcBorders>
                    <w:top w:val="single" w:color="auto" w:sz="4" w:space="0"/>
                    <w:left w:val="single" w:color="auto" w:sz="4" w:space="0"/>
                    <w:bottom w:val="single" w:color="auto" w:sz="4" w:space="0"/>
                    <w:right w:val="single" w:color="auto" w:sz="4" w:space="0"/>
                  </w:tcBorders>
                  <w:vAlign w:val="center"/>
                </w:tcPr>
                <w:p w14:paraId="72266063">
                  <w:pPr>
                    <w:pStyle w:val="88"/>
                    <w:adjustRightInd w:val="0"/>
                    <w:spacing w:line="240" w:lineRule="auto"/>
                    <w:ind w:firstLine="0" w:firstLineChars="0"/>
                    <w:jc w:val="center"/>
                    <w:rPr>
                      <w:rFonts w:ascii="Times New Roman" w:cs="Times New Roman"/>
                      <w:sz w:val="21"/>
                      <w:szCs w:val="21"/>
                    </w:rPr>
                  </w:pPr>
                  <w:r>
                    <w:rPr>
                      <w:rFonts w:hint="eastAsia" w:ascii="Times New Roman" w:cs="Times New Roman"/>
                      <w:sz w:val="21"/>
                      <w:szCs w:val="21"/>
                    </w:rPr>
                    <w:t>砀山县</w:t>
                  </w:r>
                </w:p>
              </w:tc>
              <w:tc>
                <w:tcPr>
                  <w:tcW w:w="1250" w:type="pct"/>
                  <w:tcBorders>
                    <w:top w:val="single" w:color="auto" w:sz="4" w:space="0"/>
                    <w:left w:val="single" w:color="auto" w:sz="4" w:space="0"/>
                    <w:bottom w:val="single" w:color="auto" w:sz="4" w:space="0"/>
                    <w:right w:val="single" w:color="auto" w:sz="4" w:space="0"/>
                  </w:tcBorders>
                  <w:vAlign w:val="center"/>
                </w:tcPr>
                <w:p w14:paraId="454CBA4A">
                  <w:pPr>
                    <w:pStyle w:val="88"/>
                    <w:adjustRightInd w:val="0"/>
                    <w:spacing w:line="240" w:lineRule="auto"/>
                    <w:ind w:firstLine="0" w:firstLineChars="0"/>
                    <w:jc w:val="center"/>
                    <w:rPr>
                      <w:rFonts w:ascii="Times New Roman" w:cs="Times New Roman"/>
                      <w:sz w:val="21"/>
                      <w:szCs w:val="21"/>
                    </w:rPr>
                  </w:pPr>
                  <w:r>
                    <w:rPr>
                      <w:rFonts w:hint="eastAsia" w:ascii="Times New Roman" w:cs="Times New Roman"/>
                      <w:sz w:val="21"/>
                      <w:szCs w:val="21"/>
                    </w:rPr>
                    <w:t>1196.73</w:t>
                  </w:r>
                </w:p>
              </w:tc>
              <w:tc>
                <w:tcPr>
                  <w:tcW w:w="1250" w:type="pct"/>
                  <w:tcBorders>
                    <w:top w:val="single" w:color="auto" w:sz="4" w:space="0"/>
                    <w:left w:val="single" w:color="auto" w:sz="4" w:space="0"/>
                    <w:bottom w:val="single" w:color="auto" w:sz="4" w:space="0"/>
                    <w:right w:val="single" w:color="auto" w:sz="4" w:space="0"/>
                  </w:tcBorders>
                  <w:vAlign w:val="center"/>
                </w:tcPr>
                <w:p w14:paraId="2B937A55">
                  <w:pPr>
                    <w:pStyle w:val="88"/>
                    <w:adjustRightInd w:val="0"/>
                    <w:spacing w:line="240" w:lineRule="auto"/>
                    <w:ind w:firstLine="0" w:firstLineChars="0"/>
                    <w:jc w:val="center"/>
                    <w:rPr>
                      <w:rFonts w:ascii="Times New Roman" w:cs="Times New Roman"/>
                      <w:sz w:val="21"/>
                      <w:szCs w:val="21"/>
                    </w:rPr>
                  </w:pPr>
                  <w:r>
                    <w:rPr>
                      <w:rFonts w:hint="eastAsia" w:ascii="Times New Roman" w:cs="Times New Roman"/>
                      <w:sz w:val="21"/>
                      <w:szCs w:val="21"/>
                    </w:rPr>
                    <w:t>113.87</w:t>
                  </w:r>
                </w:p>
              </w:tc>
              <w:tc>
                <w:tcPr>
                  <w:tcW w:w="1250" w:type="pct"/>
                  <w:tcBorders>
                    <w:top w:val="single" w:color="auto" w:sz="4" w:space="0"/>
                    <w:left w:val="single" w:color="auto" w:sz="4" w:space="0"/>
                    <w:bottom w:val="single" w:color="auto" w:sz="4" w:space="0"/>
                    <w:right w:val="single" w:color="auto" w:sz="4" w:space="0"/>
                  </w:tcBorders>
                  <w:vAlign w:val="center"/>
                </w:tcPr>
                <w:p w14:paraId="53C8D35D">
                  <w:pPr>
                    <w:pStyle w:val="88"/>
                    <w:adjustRightInd w:val="0"/>
                    <w:spacing w:line="240" w:lineRule="auto"/>
                    <w:ind w:firstLine="0" w:firstLineChars="0"/>
                    <w:jc w:val="center"/>
                    <w:rPr>
                      <w:rFonts w:ascii="Times New Roman" w:cs="Times New Roman"/>
                      <w:sz w:val="21"/>
                      <w:szCs w:val="21"/>
                    </w:rPr>
                  </w:pPr>
                  <w:r>
                    <w:rPr>
                      <w:rFonts w:hint="eastAsia" w:ascii="Times New Roman" w:cs="Times New Roman"/>
                      <w:sz w:val="21"/>
                      <w:szCs w:val="21"/>
                    </w:rPr>
                    <w:t>9.52</w:t>
                  </w:r>
                </w:p>
              </w:tc>
            </w:tr>
            <w:tr w14:paraId="190556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exact"/>
              </w:trPr>
              <w:tc>
                <w:tcPr>
                  <w:tcW w:w="1250" w:type="pct"/>
                  <w:tcBorders>
                    <w:top w:val="single" w:color="auto" w:sz="4" w:space="0"/>
                    <w:left w:val="single" w:color="auto" w:sz="4" w:space="0"/>
                    <w:bottom w:val="single" w:color="auto" w:sz="4" w:space="0"/>
                    <w:right w:val="single" w:color="auto" w:sz="4" w:space="0"/>
                  </w:tcBorders>
                  <w:vAlign w:val="center"/>
                </w:tcPr>
                <w:p w14:paraId="67473A80">
                  <w:pPr>
                    <w:pStyle w:val="88"/>
                    <w:adjustRightInd w:val="0"/>
                    <w:spacing w:line="240" w:lineRule="auto"/>
                    <w:ind w:firstLine="0" w:firstLineChars="0"/>
                    <w:jc w:val="center"/>
                    <w:rPr>
                      <w:rFonts w:ascii="Times New Roman" w:cs="Times New Roman"/>
                      <w:sz w:val="21"/>
                      <w:szCs w:val="21"/>
                    </w:rPr>
                  </w:pPr>
                  <w:r>
                    <w:rPr>
                      <w:rFonts w:ascii="Times New Roman" w:cs="Times New Roman"/>
                      <w:sz w:val="21"/>
                      <w:szCs w:val="21"/>
                    </w:rPr>
                    <w:t>萧县</w:t>
                  </w:r>
                </w:p>
              </w:tc>
              <w:tc>
                <w:tcPr>
                  <w:tcW w:w="1250" w:type="pct"/>
                  <w:tcBorders>
                    <w:top w:val="single" w:color="auto" w:sz="4" w:space="0"/>
                    <w:left w:val="single" w:color="auto" w:sz="4" w:space="0"/>
                    <w:bottom w:val="single" w:color="auto" w:sz="4" w:space="0"/>
                    <w:right w:val="single" w:color="auto" w:sz="4" w:space="0"/>
                  </w:tcBorders>
                  <w:vAlign w:val="center"/>
                </w:tcPr>
                <w:p w14:paraId="329C3D68">
                  <w:pPr>
                    <w:pStyle w:val="88"/>
                    <w:adjustRightInd w:val="0"/>
                    <w:spacing w:line="240" w:lineRule="auto"/>
                    <w:ind w:firstLine="0" w:firstLineChars="0"/>
                    <w:jc w:val="center"/>
                    <w:rPr>
                      <w:rFonts w:ascii="Times New Roman" w:cs="Times New Roman"/>
                      <w:sz w:val="21"/>
                      <w:szCs w:val="21"/>
                    </w:rPr>
                  </w:pPr>
                  <w:r>
                    <w:rPr>
                      <w:rFonts w:hint="eastAsia" w:ascii="Times New Roman" w:cs="Times New Roman"/>
                      <w:sz w:val="21"/>
                      <w:szCs w:val="21"/>
                    </w:rPr>
                    <w:t>1853.61</w:t>
                  </w:r>
                </w:p>
              </w:tc>
              <w:tc>
                <w:tcPr>
                  <w:tcW w:w="1250" w:type="pct"/>
                  <w:tcBorders>
                    <w:top w:val="single" w:color="auto" w:sz="4" w:space="0"/>
                    <w:left w:val="single" w:color="auto" w:sz="4" w:space="0"/>
                    <w:bottom w:val="single" w:color="auto" w:sz="4" w:space="0"/>
                    <w:right w:val="single" w:color="auto" w:sz="4" w:space="0"/>
                  </w:tcBorders>
                  <w:vAlign w:val="center"/>
                </w:tcPr>
                <w:p w14:paraId="2EEC90C1">
                  <w:pPr>
                    <w:pStyle w:val="88"/>
                    <w:adjustRightInd w:val="0"/>
                    <w:spacing w:line="240" w:lineRule="auto"/>
                    <w:ind w:firstLine="0" w:firstLineChars="0"/>
                    <w:jc w:val="center"/>
                    <w:rPr>
                      <w:rFonts w:ascii="Times New Roman" w:cs="Times New Roman"/>
                      <w:sz w:val="21"/>
                      <w:szCs w:val="21"/>
                    </w:rPr>
                  </w:pPr>
                  <w:r>
                    <w:rPr>
                      <w:rFonts w:hint="eastAsia" w:ascii="Times New Roman" w:cs="Times New Roman"/>
                      <w:sz w:val="21"/>
                      <w:szCs w:val="21"/>
                    </w:rPr>
                    <w:t>103.46</w:t>
                  </w:r>
                </w:p>
              </w:tc>
              <w:tc>
                <w:tcPr>
                  <w:tcW w:w="1250" w:type="pct"/>
                  <w:tcBorders>
                    <w:top w:val="single" w:color="auto" w:sz="4" w:space="0"/>
                    <w:left w:val="single" w:color="auto" w:sz="4" w:space="0"/>
                    <w:bottom w:val="single" w:color="auto" w:sz="4" w:space="0"/>
                    <w:right w:val="single" w:color="auto" w:sz="4" w:space="0"/>
                  </w:tcBorders>
                  <w:vAlign w:val="center"/>
                </w:tcPr>
                <w:p w14:paraId="447A0B03">
                  <w:pPr>
                    <w:pStyle w:val="88"/>
                    <w:adjustRightInd w:val="0"/>
                    <w:spacing w:line="240" w:lineRule="auto"/>
                    <w:ind w:firstLine="0" w:firstLineChars="0"/>
                    <w:jc w:val="center"/>
                    <w:rPr>
                      <w:rFonts w:ascii="Times New Roman" w:cs="Times New Roman"/>
                      <w:sz w:val="21"/>
                      <w:szCs w:val="21"/>
                    </w:rPr>
                  </w:pPr>
                  <w:r>
                    <w:rPr>
                      <w:rFonts w:hint="eastAsia" w:ascii="Times New Roman" w:cs="Times New Roman"/>
                      <w:sz w:val="21"/>
                      <w:szCs w:val="21"/>
                    </w:rPr>
                    <w:t>5.58</w:t>
                  </w:r>
                </w:p>
              </w:tc>
            </w:tr>
            <w:tr w14:paraId="1010AA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exact"/>
              </w:trPr>
              <w:tc>
                <w:tcPr>
                  <w:tcW w:w="1250" w:type="pct"/>
                  <w:tcBorders>
                    <w:top w:val="single" w:color="auto" w:sz="4" w:space="0"/>
                    <w:left w:val="single" w:color="auto" w:sz="4" w:space="0"/>
                    <w:bottom w:val="single" w:color="auto" w:sz="4" w:space="0"/>
                    <w:right w:val="single" w:color="auto" w:sz="4" w:space="0"/>
                  </w:tcBorders>
                  <w:vAlign w:val="center"/>
                </w:tcPr>
                <w:p w14:paraId="7CC88969">
                  <w:pPr>
                    <w:pStyle w:val="88"/>
                    <w:adjustRightInd w:val="0"/>
                    <w:spacing w:line="240" w:lineRule="auto"/>
                    <w:ind w:firstLine="0" w:firstLineChars="0"/>
                    <w:jc w:val="center"/>
                    <w:rPr>
                      <w:rFonts w:ascii="Times New Roman" w:cs="Times New Roman"/>
                      <w:sz w:val="21"/>
                      <w:szCs w:val="21"/>
                    </w:rPr>
                  </w:pPr>
                  <w:r>
                    <w:rPr>
                      <w:rFonts w:hint="eastAsia" w:ascii="Times New Roman" w:cs="Times New Roman"/>
                      <w:sz w:val="21"/>
                      <w:szCs w:val="21"/>
                    </w:rPr>
                    <w:t>灵璧县</w:t>
                  </w:r>
                </w:p>
              </w:tc>
              <w:tc>
                <w:tcPr>
                  <w:tcW w:w="1250" w:type="pct"/>
                  <w:tcBorders>
                    <w:top w:val="single" w:color="auto" w:sz="4" w:space="0"/>
                    <w:left w:val="single" w:color="auto" w:sz="4" w:space="0"/>
                    <w:bottom w:val="single" w:color="auto" w:sz="4" w:space="0"/>
                    <w:right w:val="single" w:color="auto" w:sz="4" w:space="0"/>
                  </w:tcBorders>
                  <w:vAlign w:val="center"/>
                </w:tcPr>
                <w:p w14:paraId="344C8BC3">
                  <w:pPr>
                    <w:pStyle w:val="88"/>
                    <w:adjustRightInd w:val="0"/>
                    <w:spacing w:line="240" w:lineRule="auto"/>
                    <w:ind w:firstLine="0" w:firstLineChars="0"/>
                    <w:jc w:val="center"/>
                    <w:rPr>
                      <w:rFonts w:ascii="Times New Roman" w:cs="Times New Roman"/>
                      <w:sz w:val="21"/>
                      <w:szCs w:val="21"/>
                    </w:rPr>
                  </w:pPr>
                  <w:r>
                    <w:rPr>
                      <w:rFonts w:hint="eastAsia" w:ascii="Times New Roman" w:cs="Times New Roman"/>
                      <w:sz w:val="21"/>
                      <w:szCs w:val="21"/>
                    </w:rPr>
                    <w:t>2124.06</w:t>
                  </w:r>
                </w:p>
              </w:tc>
              <w:tc>
                <w:tcPr>
                  <w:tcW w:w="1250" w:type="pct"/>
                  <w:tcBorders>
                    <w:top w:val="single" w:color="auto" w:sz="4" w:space="0"/>
                    <w:left w:val="single" w:color="auto" w:sz="4" w:space="0"/>
                    <w:bottom w:val="single" w:color="auto" w:sz="4" w:space="0"/>
                    <w:right w:val="single" w:color="auto" w:sz="4" w:space="0"/>
                  </w:tcBorders>
                  <w:vAlign w:val="center"/>
                </w:tcPr>
                <w:p w14:paraId="779A932D">
                  <w:pPr>
                    <w:pStyle w:val="88"/>
                    <w:adjustRightInd w:val="0"/>
                    <w:spacing w:line="240" w:lineRule="auto"/>
                    <w:ind w:firstLine="0" w:firstLineChars="0"/>
                    <w:jc w:val="center"/>
                    <w:rPr>
                      <w:rFonts w:ascii="Times New Roman" w:cs="Times New Roman"/>
                      <w:sz w:val="21"/>
                      <w:szCs w:val="21"/>
                    </w:rPr>
                  </w:pPr>
                  <w:r>
                    <w:rPr>
                      <w:rFonts w:hint="eastAsia" w:ascii="Times New Roman" w:cs="Times New Roman"/>
                      <w:sz w:val="21"/>
                      <w:szCs w:val="21"/>
                    </w:rPr>
                    <w:t>8.20</w:t>
                  </w:r>
                </w:p>
              </w:tc>
              <w:tc>
                <w:tcPr>
                  <w:tcW w:w="1250" w:type="pct"/>
                  <w:tcBorders>
                    <w:top w:val="single" w:color="auto" w:sz="4" w:space="0"/>
                    <w:left w:val="single" w:color="auto" w:sz="4" w:space="0"/>
                    <w:bottom w:val="single" w:color="auto" w:sz="4" w:space="0"/>
                    <w:right w:val="single" w:color="auto" w:sz="4" w:space="0"/>
                  </w:tcBorders>
                  <w:vAlign w:val="center"/>
                </w:tcPr>
                <w:p w14:paraId="000D0F4D">
                  <w:pPr>
                    <w:pStyle w:val="88"/>
                    <w:adjustRightInd w:val="0"/>
                    <w:spacing w:line="240" w:lineRule="auto"/>
                    <w:ind w:firstLine="0" w:firstLineChars="0"/>
                    <w:jc w:val="center"/>
                    <w:rPr>
                      <w:rFonts w:ascii="Times New Roman" w:cs="Times New Roman"/>
                      <w:sz w:val="21"/>
                      <w:szCs w:val="21"/>
                    </w:rPr>
                  </w:pPr>
                  <w:r>
                    <w:rPr>
                      <w:rFonts w:hint="eastAsia" w:ascii="Times New Roman" w:cs="Times New Roman"/>
                      <w:sz w:val="21"/>
                      <w:szCs w:val="21"/>
                    </w:rPr>
                    <w:t>0.39</w:t>
                  </w:r>
                </w:p>
              </w:tc>
            </w:tr>
            <w:tr w14:paraId="5D1B59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exact"/>
              </w:trPr>
              <w:tc>
                <w:tcPr>
                  <w:tcW w:w="1250" w:type="pct"/>
                  <w:tcBorders>
                    <w:top w:val="single" w:color="auto" w:sz="4" w:space="0"/>
                    <w:left w:val="single" w:color="auto" w:sz="4" w:space="0"/>
                    <w:bottom w:val="single" w:color="auto" w:sz="4" w:space="0"/>
                    <w:right w:val="single" w:color="auto" w:sz="4" w:space="0"/>
                  </w:tcBorders>
                  <w:vAlign w:val="center"/>
                </w:tcPr>
                <w:p w14:paraId="6A6807CB">
                  <w:pPr>
                    <w:pStyle w:val="88"/>
                    <w:adjustRightInd w:val="0"/>
                    <w:spacing w:line="240" w:lineRule="auto"/>
                    <w:ind w:firstLine="0" w:firstLineChars="0"/>
                    <w:jc w:val="center"/>
                    <w:rPr>
                      <w:rFonts w:ascii="Times New Roman" w:cs="Times New Roman"/>
                      <w:sz w:val="21"/>
                      <w:szCs w:val="21"/>
                    </w:rPr>
                  </w:pPr>
                  <w:r>
                    <w:rPr>
                      <w:rFonts w:ascii="Times New Roman" w:cs="Times New Roman"/>
                      <w:sz w:val="21"/>
                      <w:szCs w:val="21"/>
                    </w:rPr>
                    <w:t>泗县</w:t>
                  </w:r>
                </w:p>
              </w:tc>
              <w:tc>
                <w:tcPr>
                  <w:tcW w:w="1250" w:type="pct"/>
                  <w:tcBorders>
                    <w:top w:val="single" w:color="auto" w:sz="4" w:space="0"/>
                    <w:left w:val="single" w:color="auto" w:sz="4" w:space="0"/>
                    <w:bottom w:val="single" w:color="auto" w:sz="4" w:space="0"/>
                    <w:right w:val="single" w:color="auto" w:sz="4" w:space="0"/>
                  </w:tcBorders>
                  <w:vAlign w:val="center"/>
                </w:tcPr>
                <w:p w14:paraId="33FFF492">
                  <w:pPr>
                    <w:pStyle w:val="88"/>
                    <w:adjustRightInd w:val="0"/>
                    <w:spacing w:line="240" w:lineRule="auto"/>
                    <w:ind w:firstLine="0" w:firstLineChars="0"/>
                    <w:jc w:val="center"/>
                    <w:rPr>
                      <w:rFonts w:ascii="Times New Roman" w:cs="Times New Roman"/>
                      <w:sz w:val="21"/>
                      <w:szCs w:val="21"/>
                    </w:rPr>
                  </w:pPr>
                  <w:r>
                    <w:rPr>
                      <w:rFonts w:hint="eastAsia" w:ascii="Times New Roman" w:cs="Times New Roman"/>
                      <w:sz w:val="21"/>
                      <w:szCs w:val="21"/>
                    </w:rPr>
                    <w:t>1856.97</w:t>
                  </w:r>
                </w:p>
              </w:tc>
              <w:tc>
                <w:tcPr>
                  <w:tcW w:w="1250" w:type="pct"/>
                  <w:tcBorders>
                    <w:top w:val="single" w:color="auto" w:sz="4" w:space="0"/>
                    <w:left w:val="single" w:color="auto" w:sz="4" w:space="0"/>
                    <w:bottom w:val="single" w:color="auto" w:sz="4" w:space="0"/>
                    <w:right w:val="single" w:color="auto" w:sz="4" w:space="0"/>
                  </w:tcBorders>
                  <w:vAlign w:val="center"/>
                </w:tcPr>
                <w:p w14:paraId="7D565608">
                  <w:pPr>
                    <w:pStyle w:val="88"/>
                    <w:adjustRightInd w:val="0"/>
                    <w:spacing w:line="240" w:lineRule="auto"/>
                    <w:ind w:firstLine="0" w:firstLineChars="0"/>
                    <w:jc w:val="center"/>
                    <w:rPr>
                      <w:rFonts w:ascii="Times New Roman" w:cs="Times New Roman"/>
                      <w:sz w:val="21"/>
                      <w:szCs w:val="21"/>
                    </w:rPr>
                  </w:pPr>
                  <w:r>
                    <w:rPr>
                      <w:rFonts w:hint="eastAsia" w:ascii="Times New Roman" w:cs="Times New Roman"/>
                      <w:sz w:val="21"/>
                      <w:szCs w:val="21"/>
                    </w:rPr>
                    <w:t>28.82</w:t>
                  </w:r>
                </w:p>
              </w:tc>
              <w:tc>
                <w:tcPr>
                  <w:tcW w:w="1250" w:type="pct"/>
                  <w:tcBorders>
                    <w:top w:val="single" w:color="auto" w:sz="4" w:space="0"/>
                    <w:left w:val="single" w:color="auto" w:sz="4" w:space="0"/>
                    <w:bottom w:val="single" w:color="auto" w:sz="4" w:space="0"/>
                    <w:right w:val="single" w:color="auto" w:sz="4" w:space="0"/>
                  </w:tcBorders>
                  <w:vAlign w:val="center"/>
                </w:tcPr>
                <w:p w14:paraId="742F7EAB">
                  <w:pPr>
                    <w:pStyle w:val="88"/>
                    <w:adjustRightInd w:val="0"/>
                    <w:spacing w:line="240" w:lineRule="auto"/>
                    <w:ind w:firstLine="0" w:firstLineChars="0"/>
                    <w:jc w:val="center"/>
                    <w:rPr>
                      <w:rFonts w:ascii="Times New Roman" w:cs="Times New Roman"/>
                      <w:sz w:val="21"/>
                      <w:szCs w:val="21"/>
                    </w:rPr>
                  </w:pPr>
                  <w:r>
                    <w:rPr>
                      <w:rFonts w:hint="eastAsia" w:ascii="Times New Roman" w:cs="Times New Roman"/>
                      <w:sz w:val="21"/>
                      <w:szCs w:val="21"/>
                    </w:rPr>
                    <w:t>1.55</w:t>
                  </w:r>
                </w:p>
              </w:tc>
            </w:tr>
            <w:tr w14:paraId="0CC15B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exact"/>
              </w:trPr>
              <w:tc>
                <w:tcPr>
                  <w:tcW w:w="1250" w:type="pct"/>
                  <w:tcBorders>
                    <w:top w:val="single" w:color="auto" w:sz="4" w:space="0"/>
                    <w:left w:val="single" w:color="auto" w:sz="4" w:space="0"/>
                    <w:bottom w:val="single" w:color="auto" w:sz="4" w:space="0"/>
                    <w:right w:val="single" w:color="auto" w:sz="4" w:space="0"/>
                  </w:tcBorders>
                  <w:vAlign w:val="center"/>
                </w:tcPr>
                <w:p w14:paraId="7D42E624">
                  <w:pPr>
                    <w:pStyle w:val="88"/>
                    <w:adjustRightInd w:val="0"/>
                    <w:spacing w:line="240" w:lineRule="auto"/>
                    <w:ind w:firstLine="0" w:firstLineChars="0"/>
                    <w:jc w:val="center"/>
                    <w:rPr>
                      <w:rFonts w:ascii="Times New Roman" w:cs="Times New Roman"/>
                      <w:sz w:val="21"/>
                      <w:szCs w:val="21"/>
                    </w:rPr>
                  </w:pPr>
                  <w:r>
                    <w:rPr>
                      <w:rFonts w:hint="eastAsia" w:ascii="Times New Roman" w:cs="Times New Roman"/>
                      <w:sz w:val="21"/>
                      <w:szCs w:val="21"/>
                    </w:rPr>
                    <w:t>宿州市</w:t>
                  </w:r>
                </w:p>
              </w:tc>
              <w:tc>
                <w:tcPr>
                  <w:tcW w:w="1250" w:type="pct"/>
                  <w:tcBorders>
                    <w:top w:val="single" w:color="auto" w:sz="4" w:space="0"/>
                    <w:left w:val="single" w:color="auto" w:sz="4" w:space="0"/>
                    <w:bottom w:val="single" w:color="auto" w:sz="4" w:space="0"/>
                    <w:right w:val="single" w:color="auto" w:sz="4" w:space="0"/>
                  </w:tcBorders>
                  <w:vAlign w:val="center"/>
                </w:tcPr>
                <w:p w14:paraId="0A83E5B9">
                  <w:pPr>
                    <w:pStyle w:val="88"/>
                    <w:adjustRightInd w:val="0"/>
                    <w:spacing w:line="240" w:lineRule="auto"/>
                    <w:ind w:firstLine="0" w:firstLineChars="0"/>
                    <w:jc w:val="center"/>
                    <w:rPr>
                      <w:rFonts w:ascii="Times New Roman" w:cs="Times New Roman"/>
                      <w:sz w:val="21"/>
                      <w:szCs w:val="21"/>
                    </w:rPr>
                  </w:pPr>
                  <w:r>
                    <w:rPr>
                      <w:rFonts w:hint="eastAsia" w:ascii="Times New Roman" w:cs="Times New Roman"/>
                      <w:sz w:val="21"/>
                      <w:szCs w:val="21"/>
                    </w:rPr>
                    <w:t>9938.82</w:t>
                  </w:r>
                </w:p>
              </w:tc>
              <w:tc>
                <w:tcPr>
                  <w:tcW w:w="1250" w:type="pct"/>
                  <w:tcBorders>
                    <w:top w:val="single" w:color="auto" w:sz="4" w:space="0"/>
                    <w:left w:val="single" w:color="auto" w:sz="4" w:space="0"/>
                    <w:bottom w:val="single" w:color="auto" w:sz="4" w:space="0"/>
                    <w:right w:val="single" w:color="auto" w:sz="4" w:space="0"/>
                  </w:tcBorders>
                  <w:vAlign w:val="center"/>
                </w:tcPr>
                <w:p w14:paraId="01109A64">
                  <w:pPr>
                    <w:pStyle w:val="88"/>
                    <w:adjustRightInd w:val="0"/>
                    <w:spacing w:line="240" w:lineRule="auto"/>
                    <w:ind w:firstLine="0" w:firstLineChars="0"/>
                    <w:jc w:val="center"/>
                    <w:rPr>
                      <w:rFonts w:ascii="Times New Roman" w:cs="Times New Roman"/>
                      <w:sz w:val="21"/>
                      <w:szCs w:val="21"/>
                    </w:rPr>
                  </w:pPr>
                  <w:r>
                    <w:rPr>
                      <w:rFonts w:hint="eastAsia" w:ascii="Times New Roman" w:cs="Times New Roman"/>
                      <w:sz w:val="21"/>
                      <w:szCs w:val="21"/>
                    </w:rPr>
                    <w:t>349.13</w:t>
                  </w:r>
                </w:p>
              </w:tc>
              <w:tc>
                <w:tcPr>
                  <w:tcW w:w="1250" w:type="pct"/>
                  <w:tcBorders>
                    <w:top w:val="single" w:color="auto" w:sz="4" w:space="0"/>
                    <w:left w:val="single" w:color="auto" w:sz="4" w:space="0"/>
                    <w:bottom w:val="single" w:color="auto" w:sz="4" w:space="0"/>
                    <w:right w:val="single" w:color="auto" w:sz="4" w:space="0"/>
                  </w:tcBorders>
                  <w:vAlign w:val="center"/>
                </w:tcPr>
                <w:p w14:paraId="74FF99EF">
                  <w:pPr>
                    <w:pStyle w:val="88"/>
                    <w:adjustRightInd w:val="0"/>
                    <w:spacing w:line="240" w:lineRule="auto"/>
                    <w:ind w:firstLine="0" w:firstLineChars="0"/>
                    <w:jc w:val="center"/>
                    <w:rPr>
                      <w:rFonts w:ascii="Times New Roman" w:cs="Times New Roman"/>
                      <w:sz w:val="21"/>
                      <w:szCs w:val="21"/>
                    </w:rPr>
                  </w:pPr>
                  <w:r>
                    <w:rPr>
                      <w:rFonts w:hint="eastAsia" w:ascii="Times New Roman" w:cs="Times New Roman"/>
                      <w:sz w:val="21"/>
                      <w:szCs w:val="21"/>
                    </w:rPr>
                    <w:t>3.51</w:t>
                  </w:r>
                </w:p>
              </w:tc>
            </w:tr>
          </w:tbl>
          <w:p w14:paraId="70D04AB5">
            <w:pPr>
              <w:bidi/>
              <w:spacing w:line="360" w:lineRule="auto"/>
              <w:ind w:firstLine="480" w:firstLineChars="200"/>
              <w:jc w:val="right"/>
              <w:rPr>
                <w:rFonts w:ascii="宋体" w:hAnsi="宋体" w:cs="宋体"/>
              </w:rPr>
            </w:pPr>
            <w:r>
              <w:rPr>
                <w:rFonts w:hint="eastAsia" w:ascii="宋体" w:hAnsi="宋体" w:cs="宋体"/>
                <w:sz w:val="24"/>
              </w:rPr>
              <w:t>宿州市的生态保护红线主要分布在以下片区见下表。</w:t>
            </w:r>
          </w:p>
          <w:p w14:paraId="01CEFB4B">
            <w:pPr>
              <w:pStyle w:val="10"/>
              <w:rPr>
                <w:rFonts w:ascii="Times New Roman" w:hAnsi="Times New Roman"/>
                <w:b w:val="0"/>
                <w:bCs/>
                <w:szCs w:val="24"/>
              </w:rPr>
            </w:pPr>
            <w:bookmarkStart w:id="2" w:name="_Ref104288322"/>
            <w:r>
              <w:rPr>
                <w:rFonts w:ascii="Times New Roman" w:hAnsi="Times New Roman"/>
                <w:bCs/>
                <w:szCs w:val="24"/>
              </w:rPr>
              <w:t>表1</w:t>
            </w:r>
            <w:r>
              <w:rPr>
                <w:rFonts w:ascii="Times New Roman" w:hAnsi="Times New Roman"/>
                <w:bCs/>
                <w:szCs w:val="24"/>
              </w:rPr>
              <w:noBreakHyphen/>
            </w:r>
            <w:bookmarkEnd w:id="2"/>
            <w:r>
              <w:rPr>
                <w:rFonts w:hint="eastAsia" w:ascii="Times New Roman" w:hAnsi="Times New Roman"/>
                <w:bCs/>
                <w:szCs w:val="24"/>
                <w:lang w:val="en-US" w:eastAsia="zh-CN"/>
              </w:rPr>
              <w:t>2</w:t>
            </w:r>
            <w:r>
              <w:rPr>
                <w:rFonts w:ascii="Times New Roman" w:hAnsi="Times New Roman"/>
                <w:bCs/>
                <w:szCs w:val="24"/>
              </w:rPr>
              <w:t xml:space="preserve"> 宿州市生态保护红线登记表</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2"/>
              <w:gridCol w:w="1218"/>
              <w:gridCol w:w="1093"/>
              <w:gridCol w:w="3026"/>
              <w:gridCol w:w="862"/>
              <w:gridCol w:w="828"/>
            </w:tblGrid>
            <w:tr w14:paraId="2A55A8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51" w:type="dxa"/>
                  <w:tcBorders>
                    <w:top w:val="single" w:color="auto" w:sz="4" w:space="0"/>
                    <w:left w:val="single" w:color="auto" w:sz="4" w:space="0"/>
                    <w:bottom w:val="single" w:color="auto" w:sz="4" w:space="0"/>
                    <w:right w:val="single" w:color="auto" w:sz="4" w:space="0"/>
                  </w:tcBorders>
                  <w:vAlign w:val="center"/>
                </w:tcPr>
                <w:p w14:paraId="7C8B1155">
                  <w:pPr>
                    <w:rPr>
                      <w:b/>
                    </w:rPr>
                  </w:pPr>
                  <w:r>
                    <w:rPr>
                      <w:b/>
                    </w:rPr>
                    <w:t>类型</w:t>
                  </w:r>
                </w:p>
              </w:tc>
              <w:tc>
                <w:tcPr>
                  <w:tcW w:w="1255" w:type="dxa"/>
                  <w:tcBorders>
                    <w:top w:val="single" w:color="auto" w:sz="4" w:space="0"/>
                    <w:left w:val="single" w:color="auto" w:sz="4" w:space="0"/>
                    <w:bottom w:val="single" w:color="auto" w:sz="4" w:space="0"/>
                    <w:right w:val="single" w:color="auto" w:sz="4" w:space="0"/>
                  </w:tcBorders>
                  <w:vAlign w:val="center"/>
                </w:tcPr>
                <w:p w14:paraId="7E24E6B5">
                  <w:pPr>
                    <w:rPr>
                      <w:b/>
                    </w:rPr>
                  </w:pPr>
                  <w:r>
                    <w:rPr>
                      <w:b/>
                    </w:rPr>
                    <w:t>名称</w:t>
                  </w:r>
                </w:p>
              </w:tc>
              <w:tc>
                <w:tcPr>
                  <w:tcW w:w="1125" w:type="dxa"/>
                  <w:tcBorders>
                    <w:top w:val="single" w:color="auto" w:sz="4" w:space="0"/>
                    <w:left w:val="single" w:color="auto" w:sz="4" w:space="0"/>
                    <w:bottom w:val="single" w:color="auto" w:sz="4" w:space="0"/>
                    <w:right w:val="single" w:color="auto" w:sz="4" w:space="0"/>
                  </w:tcBorders>
                  <w:vAlign w:val="center"/>
                </w:tcPr>
                <w:p w14:paraId="68B3B632">
                  <w:pPr>
                    <w:rPr>
                      <w:b/>
                    </w:rPr>
                  </w:pPr>
                  <w:r>
                    <w:rPr>
                      <w:b/>
                    </w:rPr>
                    <w:t>生态系统特征</w:t>
                  </w:r>
                </w:p>
              </w:tc>
              <w:tc>
                <w:tcPr>
                  <w:tcW w:w="3129" w:type="dxa"/>
                  <w:tcBorders>
                    <w:top w:val="single" w:color="auto" w:sz="4" w:space="0"/>
                    <w:left w:val="single" w:color="auto" w:sz="4" w:space="0"/>
                    <w:bottom w:val="single" w:color="auto" w:sz="4" w:space="0"/>
                    <w:right w:val="single" w:color="auto" w:sz="4" w:space="0"/>
                  </w:tcBorders>
                  <w:vAlign w:val="center"/>
                </w:tcPr>
                <w:p w14:paraId="51619386">
                  <w:pPr>
                    <w:rPr>
                      <w:b/>
                    </w:rPr>
                  </w:pPr>
                  <w:r>
                    <w:rPr>
                      <w:b/>
                    </w:rPr>
                    <w:t>保护地名录</w:t>
                  </w:r>
                </w:p>
              </w:tc>
              <w:tc>
                <w:tcPr>
                  <w:tcW w:w="885" w:type="dxa"/>
                  <w:tcBorders>
                    <w:top w:val="single" w:color="auto" w:sz="4" w:space="0"/>
                    <w:left w:val="single" w:color="auto" w:sz="4" w:space="0"/>
                    <w:bottom w:val="single" w:color="auto" w:sz="4" w:space="0"/>
                    <w:right w:val="single" w:color="auto" w:sz="4" w:space="0"/>
                  </w:tcBorders>
                  <w:vAlign w:val="center"/>
                </w:tcPr>
                <w:p w14:paraId="7796E994">
                  <w:pPr>
                    <w:rPr>
                      <w:b/>
                    </w:rPr>
                  </w:pPr>
                  <w:r>
                    <w:rPr>
                      <w:b/>
                    </w:rPr>
                    <w:t>所属行政区</w:t>
                  </w:r>
                </w:p>
              </w:tc>
              <w:tc>
                <w:tcPr>
                  <w:tcW w:w="850" w:type="dxa"/>
                  <w:tcBorders>
                    <w:top w:val="single" w:color="auto" w:sz="4" w:space="0"/>
                    <w:left w:val="single" w:color="auto" w:sz="4" w:space="0"/>
                    <w:bottom w:val="single" w:color="auto" w:sz="4" w:space="0"/>
                    <w:right w:val="single" w:color="auto" w:sz="4" w:space="0"/>
                  </w:tcBorders>
                  <w:vAlign w:val="center"/>
                </w:tcPr>
                <w:p w14:paraId="738BC182">
                  <w:pPr>
                    <w:jc w:val="both"/>
                    <w:rPr>
                      <w:b/>
                    </w:rPr>
                  </w:pPr>
                  <w:r>
                    <w:rPr>
                      <w:b/>
                    </w:rPr>
                    <w:t>面积</w:t>
                  </w:r>
                </w:p>
                <w:p w14:paraId="538B840C">
                  <w:pPr>
                    <w:jc w:val="both"/>
                    <w:rPr>
                      <w:b/>
                    </w:rPr>
                  </w:pPr>
                  <w:r>
                    <w:rPr>
                      <w:b/>
                    </w:rPr>
                    <w:t>/km</w:t>
                  </w:r>
                  <w:r>
                    <w:rPr>
                      <w:b/>
                      <w:vertAlign w:val="superscript"/>
                    </w:rPr>
                    <w:t>2</w:t>
                  </w:r>
                </w:p>
              </w:tc>
            </w:tr>
            <w:tr w14:paraId="7A0BF5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51" w:type="dxa"/>
                  <w:vMerge w:val="restart"/>
                  <w:tcBorders>
                    <w:top w:val="single" w:color="auto" w:sz="4" w:space="0"/>
                    <w:left w:val="single" w:color="auto" w:sz="4" w:space="0"/>
                    <w:bottom w:val="single" w:color="auto" w:sz="4" w:space="0"/>
                    <w:right w:val="single" w:color="auto" w:sz="4" w:space="0"/>
                  </w:tcBorders>
                  <w:vAlign w:val="center"/>
                </w:tcPr>
                <w:p w14:paraId="333CCEDA">
                  <w:pPr>
                    <w:jc w:val="both"/>
                  </w:pPr>
                  <w:r>
                    <w:rPr>
                      <w:rFonts w:hint="eastAsia"/>
                    </w:rPr>
                    <w:t>Ⅱ水土保持生态保护红线</w:t>
                  </w:r>
                </w:p>
              </w:tc>
              <w:tc>
                <w:tcPr>
                  <w:tcW w:w="1255" w:type="dxa"/>
                  <w:vMerge w:val="restart"/>
                  <w:tcBorders>
                    <w:top w:val="single" w:color="auto" w:sz="4" w:space="0"/>
                    <w:left w:val="single" w:color="auto" w:sz="4" w:space="0"/>
                    <w:bottom w:val="single" w:color="auto" w:sz="4" w:space="0"/>
                    <w:right w:val="single" w:color="auto" w:sz="4" w:space="0"/>
                  </w:tcBorders>
                  <w:vAlign w:val="center"/>
                </w:tcPr>
                <w:p w14:paraId="3ED8587D">
                  <w:pPr>
                    <w:jc w:val="both"/>
                  </w:pPr>
                  <w:r>
                    <w:t>Ⅱ-1淮北河间平原农产品提供及水土保持生态保护红线</w:t>
                  </w:r>
                </w:p>
              </w:tc>
              <w:tc>
                <w:tcPr>
                  <w:tcW w:w="1125" w:type="dxa"/>
                  <w:vMerge w:val="restart"/>
                  <w:tcBorders>
                    <w:top w:val="single" w:color="auto" w:sz="4" w:space="0"/>
                    <w:left w:val="single" w:color="auto" w:sz="4" w:space="0"/>
                    <w:bottom w:val="single" w:color="auto" w:sz="4" w:space="0"/>
                    <w:right w:val="single" w:color="auto" w:sz="4" w:space="0"/>
                  </w:tcBorders>
                  <w:vAlign w:val="center"/>
                </w:tcPr>
                <w:p w14:paraId="0CC77E58">
                  <w:pPr>
                    <w:jc w:val="both"/>
                  </w:pPr>
                  <w:r>
                    <w:t>暖温带落叶阔叶林带</w:t>
                  </w:r>
                </w:p>
              </w:tc>
              <w:tc>
                <w:tcPr>
                  <w:tcW w:w="3129" w:type="dxa"/>
                  <w:vMerge w:val="restart"/>
                  <w:tcBorders>
                    <w:top w:val="single" w:color="auto" w:sz="4" w:space="0"/>
                    <w:left w:val="single" w:color="auto" w:sz="4" w:space="0"/>
                    <w:bottom w:val="single" w:color="auto" w:sz="4" w:space="0"/>
                    <w:right w:val="single" w:color="auto" w:sz="4" w:space="0"/>
                  </w:tcBorders>
                  <w:vAlign w:val="center"/>
                </w:tcPr>
                <w:p w14:paraId="5C469BA8">
                  <w:pPr>
                    <w:ind w:firstLine="420"/>
                    <w:jc w:val="center"/>
                  </w:pPr>
                  <w:r>
                    <w:rPr>
                      <w:rFonts w:hint="eastAsia"/>
                    </w:rPr>
                    <w:t>宿州大方寺省级自然保护区、泗县沱河省级自然保护区、泗县新汴河省级湿地自然公园、安徽灵璧磬云山国家地质自然公园、泗县沱河省级自然保护区、安徽泗县石龙湖国家湿地公园</w:t>
                  </w:r>
                </w:p>
              </w:tc>
              <w:tc>
                <w:tcPr>
                  <w:tcW w:w="885" w:type="dxa"/>
                  <w:tcBorders>
                    <w:top w:val="single" w:color="auto" w:sz="4" w:space="0"/>
                    <w:left w:val="single" w:color="auto" w:sz="4" w:space="0"/>
                    <w:bottom w:val="single" w:color="auto" w:sz="4" w:space="0"/>
                    <w:right w:val="single" w:color="auto" w:sz="4" w:space="0"/>
                  </w:tcBorders>
                  <w:vAlign w:val="center"/>
                </w:tcPr>
                <w:p w14:paraId="1BCE63E2">
                  <w:pPr>
                    <w:jc w:val="both"/>
                  </w:pPr>
                  <w:r>
                    <w:t>灵璧县</w:t>
                  </w:r>
                </w:p>
              </w:tc>
              <w:tc>
                <w:tcPr>
                  <w:tcW w:w="850" w:type="dxa"/>
                  <w:tcBorders>
                    <w:top w:val="single" w:color="auto" w:sz="4" w:space="0"/>
                    <w:left w:val="single" w:color="auto" w:sz="4" w:space="0"/>
                    <w:bottom w:val="single" w:color="auto" w:sz="4" w:space="0"/>
                    <w:right w:val="single" w:color="auto" w:sz="4" w:space="0"/>
                  </w:tcBorders>
                  <w:vAlign w:val="center"/>
                </w:tcPr>
                <w:p w14:paraId="57DAA580">
                  <w:pPr>
                    <w:jc w:val="both"/>
                  </w:pPr>
                  <w:r>
                    <w:rPr>
                      <w:rFonts w:hint="eastAsia"/>
                    </w:rPr>
                    <w:t>8.2</w:t>
                  </w:r>
                </w:p>
              </w:tc>
            </w:tr>
            <w:tr w14:paraId="0116C2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51" w:type="dxa"/>
                  <w:vMerge w:val="continue"/>
                  <w:tcBorders>
                    <w:top w:val="single" w:color="auto" w:sz="4" w:space="0"/>
                    <w:left w:val="single" w:color="auto" w:sz="4" w:space="0"/>
                    <w:bottom w:val="single" w:color="auto" w:sz="4" w:space="0"/>
                    <w:right w:val="single" w:color="auto" w:sz="4" w:space="0"/>
                  </w:tcBorders>
                  <w:vAlign w:val="center"/>
                </w:tcPr>
                <w:p w14:paraId="37D6B6E0">
                  <w:pPr>
                    <w:ind w:firstLine="420"/>
                    <w:jc w:val="center"/>
                  </w:pPr>
                </w:p>
              </w:tc>
              <w:tc>
                <w:tcPr>
                  <w:tcW w:w="1255" w:type="dxa"/>
                  <w:vMerge w:val="continue"/>
                  <w:tcBorders>
                    <w:top w:val="single" w:color="auto" w:sz="4" w:space="0"/>
                    <w:left w:val="single" w:color="auto" w:sz="4" w:space="0"/>
                    <w:bottom w:val="single" w:color="auto" w:sz="4" w:space="0"/>
                    <w:right w:val="single" w:color="auto" w:sz="4" w:space="0"/>
                  </w:tcBorders>
                  <w:vAlign w:val="center"/>
                </w:tcPr>
                <w:p w14:paraId="433274D5">
                  <w:pPr>
                    <w:ind w:firstLine="420"/>
                    <w:jc w:val="center"/>
                  </w:pPr>
                </w:p>
              </w:tc>
              <w:tc>
                <w:tcPr>
                  <w:tcW w:w="1125" w:type="dxa"/>
                  <w:vMerge w:val="continue"/>
                  <w:tcBorders>
                    <w:top w:val="single" w:color="auto" w:sz="4" w:space="0"/>
                    <w:left w:val="single" w:color="auto" w:sz="4" w:space="0"/>
                    <w:bottom w:val="single" w:color="auto" w:sz="4" w:space="0"/>
                    <w:right w:val="single" w:color="auto" w:sz="4" w:space="0"/>
                  </w:tcBorders>
                  <w:vAlign w:val="center"/>
                </w:tcPr>
                <w:p w14:paraId="01B8F7D5">
                  <w:pPr>
                    <w:ind w:firstLine="420"/>
                    <w:jc w:val="center"/>
                  </w:pPr>
                </w:p>
              </w:tc>
              <w:tc>
                <w:tcPr>
                  <w:tcW w:w="3129" w:type="dxa"/>
                  <w:vMerge w:val="continue"/>
                  <w:tcBorders>
                    <w:top w:val="single" w:color="auto" w:sz="4" w:space="0"/>
                    <w:left w:val="single" w:color="auto" w:sz="4" w:space="0"/>
                    <w:bottom w:val="single" w:color="auto" w:sz="4" w:space="0"/>
                    <w:right w:val="single" w:color="auto" w:sz="4" w:space="0"/>
                  </w:tcBorders>
                  <w:vAlign w:val="center"/>
                </w:tcPr>
                <w:p w14:paraId="300861CC">
                  <w:pPr>
                    <w:ind w:firstLine="420"/>
                    <w:jc w:val="center"/>
                  </w:pPr>
                </w:p>
              </w:tc>
              <w:tc>
                <w:tcPr>
                  <w:tcW w:w="885" w:type="dxa"/>
                  <w:tcBorders>
                    <w:top w:val="single" w:color="auto" w:sz="4" w:space="0"/>
                    <w:left w:val="single" w:color="auto" w:sz="4" w:space="0"/>
                    <w:bottom w:val="single" w:color="auto" w:sz="4" w:space="0"/>
                    <w:right w:val="single" w:color="auto" w:sz="4" w:space="0"/>
                  </w:tcBorders>
                  <w:vAlign w:val="center"/>
                </w:tcPr>
                <w:p w14:paraId="4C9CAA86">
                  <w:pPr>
                    <w:jc w:val="both"/>
                  </w:pPr>
                  <w:r>
                    <w:t>泗县</w:t>
                  </w:r>
                </w:p>
              </w:tc>
              <w:tc>
                <w:tcPr>
                  <w:tcW w:w="850" w:type="dxa"/>
                  <w:tcBorders>
                    <w:top w:val="single" w:color="auto" w:sz="4" w:space="0"/>
                    <w:left w:val="single" w:color="auto" w:sz="4" w:space="0"/>
                    <w:bottom w:val="single" w:color="auto" w:sz="4" w:space="0"/>
                    <w:right w:val="single" w:color="auto" w:sz="4" w:space="0"/>
                  </w:tcBorders>
                  <w:vAlign w:val="center"/>
                </w:tcPr>
                <w:p w14:paraId="3146B83D">
                  <w:pPr>
                    <w:jc w:val="both"/>
                  </w:pPr>
                  <w:r>
                    <w:rPr>
                      <w:rFonts w:hint="eastAsia"/>
                    </w:rPr>
                    <w:t>28.82</w:t>
                  </w:r>
                </w:p>
              </w:tc>
            </w:tr>
            <w:tr w14:paraId="4D2E2C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1" w:type="dxa"/>
                  <w:vMerge w:val="continue"/>
                  <w:tcBorders>
                    <w:top w:val="single" w:color="auto" w:sz="4" w:space="0"/>
                    <w:left w:val="single" w:color="auto" w:sz="4" w:space="0"/>
                    <w:bottom w:val="single" w:color="auto" w:sz="4" w:space="0"/>
                    <w:right w:val="single" w:color="auto" w:sz="4" w:space="0"/>
                  </w:tcBorders>
                  <w:vAlign w:val="center"/>
                </w:tcPr>
                <w:p w14:paraId="6136F109">
                  <w:pPr>
                    <w:ind w:firstLine="420"/>
                    <w:jc w:val="center"/>
                  </w:pPr>
                </w:p>
              </w:tc>
              <w:tc>
                <w:tcPr>
                  <w:tcW w:w="1255" w:type="dxa"/>
                  <w:vMerge w:val="continue"/>
                  <w:tcBorders>
                    <w:top w:val="single" w:color="auto" w:sz="4" w:space="0"/>
                    <w:left w:val="single" w:color="auto" w:sz="4" w:space="0"/>
                    <w:bottom w:val="single" w:color="auto" w:sz="4" w:space="0"/>
                    <w:right w:val="single" w:color="auto" w:sz="4" w:space="0"/>
                  </w:tcBorders>
                  <w:vAlign w:val="center"/>
                </w:tcPr>
                <w:p w14:paraId="13C9DB16">
                  <w:pPr>
                    <w:ind w:firstLine="420"/>
                    <w:jc w:val="center"/>
                  </w:pPr>
                </w:p>
              </w:tc>
              <w:tc>
                <w:tcPr>
                  <w:tcW w:w="1125" w:type="dxa"/>
                  <w:vMerge w:val="continue"/>
                  <w:tcBorders>
                    <w:top w:val="single" w:color="auto" w:sz="4" w:space="0"/>
                    <w:left w:val="single" w:color="auto" w:sz="4" w:space="0"/>
                    <w:bottom w:val="single" w:color="auto" w:sz="4" w:space="0"/>
                    <w:right w:val="single" w:color="auto" w:sz="4" w:space="0"/>
                  </w:tcBorders>
                  <w:vAlign w:val="center"/>
                </w:tcPr>
                <w:p w14:paraId="41E6A0C0">
                  <w:pPr>
                    <w:ind w:firstLine="420"/>
                    <w:jc w:val="center"/>
                  </w:pPr>
                </w:p>
              </w:tc>
              <w:tc>
                <w:tcPr>
                  <w:tcW w:w="3129" w:type="dxa"/>
                  <w:vMerge w:val="continue"/>
                  <w:tcBorders>
                    <w:top w:val="single" w:color="auto" w:sz="4" w:space="0"/>
                    <w:left w:val="single" w:color="auto" w:sz="4" w:space="0"/>
                    <w:bottom w:val="single" w:color="auto" w:sz="4" w:space="0"/>
                    <w:right w:val="single" w:color="auto" w:sz="4" w:space="0"/>
                  </w:tcBorders>
                  <w:vAlign w:val="center"/>
                </w:tcPr>
                <w:p w14:paraId="47B1C3B6">
                  <w:pPr>
                    <w:ind w:firstLine="420"/>
                    <w:jc w:val="center"/>
                  </w:pPr>
                </w:p>
              </w:tc>
              <w:tc>
                <w:tcPr>
                  <w:tcW w:w="885" w:type="dxa"/>
                  <w:tcBorders>
                    <w:top w:val="single" w:color="auto" w:sz="4" w:space="0"/>
                    <w:left w:val="single" w:color="auto" w:sz="4" w:space="0"/>
                    <w:bottom w:val="single" w:color="auto" w:sz="4" w:space="0"/>
                    <w:right w:val="single" w:color="auto" w:sz="4" w:space="0"/>
                  </w:tcBorders>
                  <w:vAlign w:val="center"/>
                </w:tcPr>
                <w:p w14:paraId="09ADEE6B">
                  <w:pPr>
                    <w:jc w:val="both"/>
                  </w:pPr>
                  <w:r>
                    <w:t>埇桥区</w:t>
                  </w:r>
                </w:p>
              </w:tc>
              <w:tc>
                <w:tcPr>
                  <w:tcW w:w="850" w:type="dxa"/>
                  <w:tcBorders>
                    <w:top w:val="single" w:color="auto" w:sz="4" w:space="0"/>
                    <w:left w:val="single" w:color="auto" w:sz="4" w:space="0"/>
                    <w:bottom w:val="single" w:color="auto" w:sz="4" w:space="0"/>
                    <w:right w:val="single" w:color="auto" w:sz="4" w:space="0"/>
                  </w:tcBorders>
                  <w:vAlign w:val="center"/>
                </w:tcPr>
                <w:p w14:paraId="70A0356B">
                  <w:pPr>
                    <w:jc w:val="both"/>
                  </w:pPr>
                  <w:r>
                    <w:rPr>
                      <w:rFonts w:hint="eastAsia"/>
                    </w:rPr>
                    <w:t>65.24</w:t>
                  </w:r>
                </w:p>
              </w:tc>
            </w:tr>
            <w:tr w14:paraId="246DC3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751" w:type="dxa"/>
                  <w:vMerge w:val="restart"/>
                  <w:tcBorders>
                    <w:top w:val="single" w:color="auto" w:sz="4" w:space="0"/>
                    <w:left w:val="single" w:color="auto" w:sz="4" w:space="0"/>
                    <w:bottom w:val="single" w:color="auto" w:sz="4" w:space="0"/>
                    <w:right w:val="single" w:color="auto" w:sz="4" w:space="0"/>
                  </w:tcBorders>
                  <w:vAlign w:val="center"/>
                </w:tcPr>
                <w:p w14:paraId="7F75BF57">
                  <w:pPr>
                    <w:jc w:val="both"/>
                  </w:pPr>
                  <w:r>
                    <w:t>Ⅲ生物多样性维护生态保护红线</w:t>
                  </w:r>
                </w:p>
              </w:tc>
              <w:tc>
                <w:tcPr>
                  <w:tcW w:w="1255" w:type="dxa"/>
                  <w:vMerge w:val="restart"/>
                  <w:tcBorders>
                    <w:top w:val="single" w:color="auto" w:sz="4" w:space="0"/>
                    <w:left w:val="single" w:color="auto" w:sz="4" w:space="0"/>
                    <w:bottom w:val="single" w:color="auto" w:sz="4" w:space="0"/>
                    <w:right w:val="single" w:color="auto" w:sz="4" w:space="0"/>
                  </w:tcBorders>
                  <w:vAlign w:val="center"/>
                </w:tcPr>
                <w:p w14:paraId="633A7785">
                  <w:pPr>
                    <w:jc w:val="both"/>
                  </w:pPr>
                  <w:r>
                    <w:t>Ⅲ-1淮北平原北部生物多样性维护及水土保持生态保护红线</w:t>
                  </w:r>
                </w:p>
              </w:tc>
              <w:tc>
                <w:tcPr>
                  <w:tcW w:w="1125" w:type="dxa"/>
                  <w:vMerge w:val="restart"/>
                  <w:tcBorders>
                    <w:top w:val="single" w:color="auto" w:sz="4" w:space="0"/>
                    <w:left w:val="single" w:color="auto" w:sz="4" w:space="0"/>
                    <w:bottom w:val="single" w:color="auto" w:sz="4" w:space="0"/>
                    <w:right w:val="single" w:color="auto" w:sz="4" w:space="0"/>
                  </w:tcBorders>
                  <w:vAlign w:val="center"/>
                </w:tcPr>
                <w:p w14:paraId="55082087">
                  <w:pPr>
                    <w:jc w:val="both"/>
                  </w:pPr>
                  <w:r>
                    <w:t>暖温带落叶阔叶林带</w:t>
                  </w:r>
                </w:p>
              </w:tc>
              <w:tc>
                <w:tcPr>
                  <w:tcW w:w="3129" w:type="dxa"/>
                  <w:vMerge w:val="restart"/>
                  <w:tcBorders>
                    <w:top w:val="single" w:color="auto" w:sz="4" w:space="0"/>
                    <w:left w:val="single" w:color="auto" w:sz="4" w:space="0"/>
                    <w:bottom w:val="single" w:color="auto" w:sz="4" w:space="0"/>
                    <w:right w:val="single" w:color="auto" w:sz="4" w:space="0"/>
                  </w:tcBorders>
                  <w:vAlign w:val="center"/>
                </w:tcPr>
                <w:p w14:paraId="33D4B482">
                  <w:pPr>
                    <w:ind w:firstLine="420"/>
                    <w:jc w:val="center"/>
                  </w:pPr>
                  <w:r>
                    <w:rPr>
                      <w:rFonts w:hint="eastAsia"/>
                    </w:rPr>
                    <w:t>安徽砀山酥梨种质资源森林公园、砀山县黄河故道省级自然保护区、安徽相山国家森林自然公园、安徽萧县皇藏峪省级自然保护区、安徽萧县黄河故道省级自然保护区、梅山省级森林自然公园、宿州大方寺省级自然保护区、萧县凤山省级森林自然公园、萧县永堌省级森林自然公园</w:t>
                  </w:r>
                </w:p>
              </w:tc>
              <w:tc>
                <w:tcPr>
                  <w:tcW w:w="885" w:type="dxa"/>
                  <w:tcBorders>
                    <w:top w:val="single" w:color="auto" w:sz="4" w:space="0"/>
                    <w:left w:val="single" w:color="auto" w:sz="4" w:space="0"/>
                    <w:bottom w:val="single" w:color="auto" w:sz="4" w:space="0"/>
                    <w:right w:val="single" w:color="auto" w:sz="4" w:space="0"/>
                  </w:tcBorders>
                  <w:vAlign w:val="center"/>
                </w:tcPr>
                <w:p w14:paraId="021DB46D">
                  <w:pPr>
                    <w:jc w:val="both"/>
                  </w:pPr>
                  <w:r>
                    <w:t>砀山县</w:t>
                  </w:r>
                </w:p>
              </w:tc>
              <w:tc>
                <w:tcPr>
                  <w:tcW w:w="850" w:type="dxa"/>
                  <w:tcBorders>
                    <w:top w:val="single" w:color="auto" w:sz="4" w:space="0"/>
                    <w:left w:val="single" w:color="auto" w:sz="4" w:space="0"/>
                    <w:bottom w:val="single" w:color="auto" w:sz="4" w:space="0"/>
                    <w:right w:val="single" w:color="auto" w:sz="4" w:space="0"/>
                  </w:tcBorders>
                  <w:vAlign w:val="center"/>
                </w:tcPr>
                <w:p w14:paraId="489F5ADE">
                  <w:pPr>
                    <w:jc w:val="both"/>
                  </w:pPr>
                  <w:r>
                    <w:rPr>
                      <w:rFonts w:hint="eastAsia"/>
                    </w:rPr>
                    <w:t>113.87</w:t>
                  </w:r>
                </w:p>
              </w:tc>
            </w:tr>
            <w:tr w14:paraId="42386E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8" w:hRule="atLeast"/>
                <w:jc w:val="center"/>
              </w:trPr>
              <w:tc>
                <w:tcPr>
                  <w:tcW w:w="751" w:type="dxa"/>
                  <w:vMerge w:val="continue"/>
                  <w:tcBorders>
                    <w:top w:val="single" w:color="auto" w:sz="4" w:space="0"/>
                    <w:left w:val="single" w:color="auto" w:sz="4" w:space="0"/>
                    <w:bottom w:val="single" w:color="auto" w:sz="4" w:space="0"/>
                    <w:right w:val="single" w:color="auto" w:sz="4" w:space="0"/>
                  </w:tcBorders>
                  <w:vAlign w:val="center"/>
                </w:tcPr>
                <w:p w14:paraId="21DECB5E">
                  <w:pPr>
                    <w:ind w:firstLine="420"/>
                    <w:jc w:val="center"/>
                  </w:pPr>
                </w:p>
              </w:tc>
              <w:tc>
                <w:tcPr>
                  <w:tcW w:w="1255" w:type="dxa"/>
                  <w:vMerge w:val="continue"/>
                  <w:tcBorders>
                    <w:top w:val="single" w:color="auto" w:sz="4" w:space="0"/>
                    <w:left w:val="single" w:color="auto" w:sz="4" w:space="0"/>
                    <w:bottom w:val="single" w:color="auto" w:sz="4" w:space="0"/>
                    <w:right w:val="single" w:color="auto" w:sz="4" w:space="0"/>
                  </w:tcBorders>
                  <w:vAlign w:val="center"/>
                </w:tcPr>
                <w:p w14:paraId="7B2C8BFE">
                  <w:pPr>
                    <w:ind w:firstLine="420"/>
                    <w:jc w:val="center"/>
                  </w:pPr>
                </w:p>
              </w:tc>
              <w:tc>
                <w:tcPr>
                  <w:tcW w:w="1125" w:type="dxa"/>
                  <w:vMerge w:val="continue"/>
                  <w:tcBorders>
                    <w:top w:val="single" w:color="auto" w:sz="4" w:space="0"/>
                    <w:left w:val="single" w:color="auto" w:sz="4" w:space="0"/>
                    <w:bottom w:val="single" w:color="auto" w:sz="4" w:space="0"/>
                    <w:right w:val="single" w:color="auto" w:sz="4" w:space="0"/>
                  </w:tcBorders>
                  <w:vAlign w:val="center"/>
                </w:tcPr>
                <w:p w14:paraId="77038DF9">
                  <w:pPr>
                    <w:ind w:firstLine="420"/>
                    <w:jc w:val="center"/>
                  </w:pPr>
                </w:p>
              </w:tc>
              <w:tc>
                <w:tcPr>
                  <w:tcW w:w="3129" w:type="dxa"/>
                  <w:vMerge w:val="continue"/>
                  <w:tcBorders>
                    <w:top w:val="single" w:color="auto" w:sz="4" w:space="0"/>
                    <w:left w:val="single" w:color="auto" w:sz="4" w:space="0"/>
                    <w:bottom w:val="single" w:color="auto" w:sz="4" w:space="0"/>
                    <w:right w:val="single" w:color="auto" w:sz="4" w:space="0"/>
                  </w:tcBorders>
                  <w:vAlign w:val="center"/>
                </w:tcPr>
                <w:p w14:paraId="5E6A8FA7">
                  <w:pPr>
                    <w:ind w:firstLine="420"/>
                    <w:jc w:val="center"/>
                  </w:pPr>
                </w:p>
              </w:tc>
              <w:tc>
                <w:tcPr>
                  <w:tcW w:w="885" w:type="dxa"/>
                  <w:tcBorders>
                    <w:top w:val="single" w:color="auto" w:sz="4" w:space="0"/>
                    <w:left w:val="single" w:color="auto" w:sz="4" w:space="0"/>
                    <w:bottom w:val="single" w:color="auto" w:sz="4" w:space="0"/>
                    <w:right w:val="single" w:color="auto" w:sz="4" w:space="0"/>
                  </w:tcBorders>
                  <w:vAlign w:val="center"/>
                </w:tcPr>
                <w:p w14:paraId="3915DFCC">
                  <w:pPr>
                    <w:jc w:val="both"/>
                  </w:pPr>
                  <w:r>
                    <w:t>萧县</w:t>
                  </w:r>
                </w:p>
              </w:tc>
              <w:tc>
                <w:tcPr>
                  <w:tcW w:w="850" w:type="dxa"/>
                  <w:tcBorders>
                    <w:top w:val="single" w:color="auto" w:sz="4" w:space="0"/>
                    <w:left w:val="single" w:color="auto" w:sz="4" w:space="0"/>
                    <w:bottom w:val="single" w:color="auto" w:sz="4" w:space="0"/>
                    <w:right w:val="single" w:color="auto" w:sz="4" w:space="0"/>
                  </w:tcBorders>
                  <w:vAlign w:val="center"/>
                </w:tcPr>
                <w:p w14:paraId="17375EB1">
                  <w:pPr>
                    <w:jc w:val="both"/>
                  </w:pPr>
                  <w:r>
                    <w:rPr>
                      <w:rFonts w:hint="eastAsia"/>
                    </w:rPr>
                    <w:t>103.45</w:t>
                  </w:r>
                </w:p>
              </w:tc>
            </w:tr>
          </w:tbl>
          <w:p w14:paraId="126B356B">
            <w:pPr>
              <w:spacing w:line="360" w:lineRule="auto"/>
              <w:ind w:firstLine="480" w:firstLineChars="200"/>
              <w:rPr>
                <w:sz w:val="24"/>
              </w:rPr>
            </w:pPr>
            <w:r>
              <w:rPr>
                <w:sz w:val="24"/>
              </w:rPr>
              <w:t>本项目选址</w:t>
            </w:r>
            <w:r>
              <w:rPr>
                <w:rFonts w:hint="eastAsia"/>
                <w:sz w:val="24"/>
              </w:rPr>
              <w:t>位于宿州市埇桥区符离镇埇北工业园内</w:t>
            </w:r>
            <w:r>
              <w:rPr>
                <w:sz w:val="24"/>
              </w:rPr>
              <w:t>，根据《安徽省人民政府关于发布安徽省生态保护红线的通知》（皖政秘[2018]120号）、《安徽省生态保护红线划定技术指南》和《</w:t>
            </w:r>
            <w:r>
              <w:rPr>
                <w:rFonts w:hint="eastAsia"/>
                <w:bCs/>
                <w:sz w:val="24"/>
              </w:rPr>
              <w:t>宿州市生态环境分区管控编制文本</w:t>
            </w:r>
            <w:r>
              <w:rPr>
                <w:sz w:val="24"/>
              </w:rPr>
              <w:t>》，宿州市辖区生态红线主要位于皇藏峪及周边；其中生物多样性维护生态保护红线位于砀山县、萧县；水土保持生态红线区域位于宿州市的东</w:t>
            </w:r>
            <w:r>
              <w:rPr>
                <w:rFonts w:hint="eastAsia"/>
                <w:sz w:val="24"/>
              </w:rPr>
              <w:t>南部</w:t>
            </w:r>
            <w:r>
              <w:rPr>
                <w:sz w:val="24"/>
              </w:rPr>
              <w:t>，本项目所在区域不在生态保护红线区域内，详见附图。</w:t>
            </w:r>
          </w:p>
          <w:p w14:paraId="2C6AAA73">
            <w:pPr>
              <w:pStyle w:val="89"/>
              <w:rPr>
                <w:color w:val="000000" w:themeColor="text1"/>
                <w14:textFill>
                  <w14:solidFill>
                    <w14:schemeClr w14:val="tx1"/>
                  </w14:solidFill>
                </w14:textFill>
              </w:rPr>
            </w:pPr>
            <w:r>
              <w:rPr>
                <w:color w:val="000000" w:themeColor="text1"/>
                <w14:textFill>
                  <w14:solidFill>
                    <w14:schemeClr w14:val="tx1"/>
                  </w14:solidFill>
                </w14:textFill>
              </w:rPr>
              <w:t>（2）环境质量底线及分区管控</w:t>
            </w:r>
          </w:p>
          <w:p w14:paraId="67EDF003">
            <w:pPr>
              <w:spacing w:line="360" w:lineRule="auto"/>
              <w:ind w:firstLine="480"/>
              <w:rPr>
                <w:color w:val="000000" w:themeColor="text1"/>
                <w14:textFill>
                  <w14:solidFill>
                    <w14:schemeClr w14:val="tx1"/>
                  </w14:solidFill>
                </w14:textFill>
              </w:rPr>
            </w:pPr>
            <w:r>
              <w:rPr>
                <w:color w:val="000000" w:themeColor="text1"/>
                <w:sz w:val="24"/>
                <w:szCs w:val="24"/>
                <w14:textFill>
                  <w14:solidFill>
                    <w14:schemeClr w14:val="tx1"/>
                  </w14:solidFill>
                </w14:textFill>
              </w:rPr>
              <w:t>根据《宿州市“三线一单”》技术文本中内容，宿州市共划定57个综合环境管控单元，其中优先保护单元30个，面积为1071.69平方公里，占全市国土面积的10.78%，主要分布在宿州市东北部平原地区以及中东部山地平原地区；重点管控单元22个，面积为1641.71平方公里，占全市国土面积的16.52%,主要分布在宿州市各区县建设区；一般管控单元5个，面积为7225.23平方公里，占全市国土面积的72.7%</w:t>
            </w:r>
            <w:r>
              <w:rPr>
                <w:rFonts w:hint="eastAsia"/>
                <w:color w:val="000000" w:themeColor="text1"/>
                <w:sz w:val="24"/>
                <w:szCs w:val="24"/>
                <w:lang w:eastAsia="zh-CN"/>
                <w14:textFill>
                  <w14:solidFill>
                    <w14:schemeClr w14:val="tx1"/>
                  </w14:solidFill>
                </w14:textFill>
              </w:rPr>
              <w:t>。</w:t>
            </w:r>
          </w:p>
          <w:p w14:paraId="77E212A4">
            <w:pPr>
              <w:pStyle w:val="89"/>
              <w:rPr>
                <w:color w:val="000000" w:themeColor="text1"/>
                <w14:textFill>
                  <w14:solidFill>
                    <w14:schemeClr w14:val="tx1"/>
                  </w14:solidFill>
                </w14:textFill>
              </w:rPr>
            </w:pPr>
            <w:r>
              <w:rPr>
                <w:color w:val="000000" w:themeColor="text1"/>
                <w14:textFill>
                  <w14:solidFill>
                    <w14:schemeClr w14:val="tx1"/>
                  </w14:solidFill>
                </w14:textFill>
              </w:rPr>
              <w:t>1）水环境质量底线与分区管控</w:t>
            </w:r>
          </w:p>
          <w:p w14:paraId="2A0BE7A3">
            <w:pPr>
              <w:pStyle w:val="89"/>
              <w:rPr>
                <w:color w:val="000000" w:themeColor="text1"/>
                <w14:textFill>
                  <w14:solidFill>
                    <w14:schemeClr w14:val="tx1"/>
                  </w14:solidFill>
                </w14:textFill>
              </w:rPr>
            </w:pPr>
            <w:r>
              <w:rPr>
                <w:color w:val="000000" w:themeColor="text1"/>
                <w14:textFill>
                  <w14:solidFill>
                    <w14:schemeClr w14:val="tx1"/>
                  </w14:solidFill>
                </w14:textFill>
              </w:rPr>
              <w:t>《文本》中，根据水环境控制单元划分成果，以及控制单元水环境系统重要性、敏感性、环境功能、水环境问题严重性的分析，完成水环境管控分区，筛选优先保护区、重点管控区域。其他区域作为水环境一般管控区。对照宿州市水环境分区管控图，本项目属于</w:t>
            </w:r>
            <w:r>
              <w:rPr>
                <w:rFonts w:hint="eastAsia"/>
                <w:color w:val="000000" w:themeColor="text1"/>
                <w:lang w:val="en-US" w:eastAsia="zh-CN"/>
                <w14:textFill>
                  <w14:solidFill>
                    <w14:schemeClr w14:val="tx1"/>
                  </w14:solidFill>
                </w14:textFill>
              </w:rPr>
              <w:t>水环境城镇生活污染重点管控区</w:t>
            </w:r>
            <w:r>
              <w:rPr>
                <w:color w:val="000000" w:themeColor="text1"/>
                <w14:textFill>
                  <w14:solidFill>
                    <w14:schemeClr w14:val="tx1"/>
                  </w14:solidFill>
                </w14:textFill>
              </w:rPr>
              <w:t>。</w:t>
            </w:r>
          </w:p>
          <w:p w14:paraId="1DFF86F5">
            <w:pPr>
              <w:pStyle w:val="89"/>
              <w:rPr>
                <w:color w:val="000000" w:themeColor="text1"/>
                <w14:textFill>
                  <w14:solidFill>
                    <w14:schemeClr w14:val="tx1"/>
                  </w14:solidFill>
                </w14:textFill>
              </w:rPr>
            </w:pPr>
          </w:p>
          <w:p w14:paraId="034FDC8B">
            <w:pPr>
              <w:spacing w:line="360" w:lineRule="auto"/>
              <w:jc w:val="center"/>
              <w:rPr>
                <w:color w:val="000000" w:themeColor="text1"/>
                <w:kern w:val="0"/>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2018030</wp:posOffset>
                      </wp:positionH>
                      <wp:positionV relativeFrom="paragraph">
                        <wp:posOffset>1407160</wp:posOffset>
                      </wp:positionV>
                      <wp:extent cx="932815" cy="247650"/>
                      <wp:effectExtent l="163830" t="4445" r="8255" b="376555"/>
                      <wp:wrapNone/>
                      <wp:docPr id="24" name="矩形标注 24"/>
                      <wp:cNvGraphicFramePr/>
                      <a:graphic xmlns:a="http://schemas.openxmlformats.org/drawingml/2006/main">
                        <a:graphicData uri="http://schemas.microsoft.com/office/word/2010/wordprocessingShape">
                          <wps:wsp>
                            <wps:cNvSpPr/>
                            <wps:spPr>
                              <a:xfrm>
                                <a:off x="3270885" y="2896235"/>
                                <a:ext cx="932815" cy="247650"/>
                              </a:xfrm>
                              <a:prstGeom prst="wedgeRectCallout">
                                <a:avLst>
                                  <a:gd name="adj1" fmla="val -67083"/>
                                  <a:gd name="adj2" fmla="val 200000"/>
                                </a:avLst>
                              </a:prstGeom>
                              <a:noFill/>
                              <a:ln w="3175" cap="flat" cmpd="sng" algn="ctr">
                                <a:solidFill>
                                  <a:srgbClr val="FF0000"/>
                                </a:solidFill>
                                <a:prstDash val="solid"/>
                              </a:ln>
                              <a:effectLst/>
                            </wps:spPr>
                            <wps:txbx>
                              <w:txbxContent>
                                <w:p w14:paraId="27B5DF2B">
                                  <w:pPr>
                                    <w:jc w:val="center"/>
                                    <w:rPr>
                                      <w:color w:val="0000FF"/>
                                    </w:rPr>
                                  </w:pPr>
                                  <w:r>
                                    <w:rPr>
                                      <w:rFonts w:hint="eastAsia"/>
                                      <w:color w:val="0000FF"/>
                                    </w:rPr>
                                    <w:t>本项目位置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58.9pt;margin-top:110.8pt;height:19.5pt;width:73.45pt;z-index:251660288;v-text-anchor:middle;mso-width-relative:page;mso-height-relative:page;" filled="f" stroked="t" coordsize="21600,21600" o:gfxdata="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AyGA8q2wAAAAsBAAAPAAAAAAAAAAEAIAAAACIAAABkcnMv&#10;ZG93bnJldi54bWxQSwECFAAUAAAACACHTuJAJQKm7asCAAA+BQAADgAAAAAAAAABACAAAAAqAQAA&#10;ZHJzL2Uyb0RvYy54bWxQSwUGAAAAAAYABgBZAQAARwYAAAAA&#10;" adj="-3690,54000">
                      <v:fill on="f" focussize="0,0"/>
                      <v:stroke weight="0.25pt" color="#FF0000" joinstyle="round"/>
                      <v:imagedata o:title=""/>
                      <o:lock v:ext="edit" aspectratio="f"/>
                      <v:textbox>
                        <w:txbxContent>
                          <w:p w14:paraId="27B5DF2B">
                            <w:pPr>
                              <w:jc w:val="center"/>
                              <w:rPr>
                                <w:color w:val="0000FF"/>
                              </w:rPr>
                            </w:pPr>
                            <w:r>
                              <w:rPr>
                                <w:rFonts w:hint="eastAsia"/>
                                <w:color w:val="0000FF"/>
                              </w:rPr>
                              <w:t>本项目位置</w:t>
                            </w:r>
                          </w:p>
                        </w:txbxContent>
                      </v:textbox>
                    </v:shape>
                  </w:pict>
                </mc:Fallback>
              </mc:AlternateContent>
            </w:r>
            <w:r>
              <w:rPr>
                <w:color w:val="000000" w:themeColor="text1"/>
                <w14:textFill>
                  <w14:solidFill>
                    <w14:schemeClr w14:val="tx1"/>
                  </w14:solidFill>
                </w14:textFill>
              </w:rPr>
              <w:drawing>
                <wp:inline distT="0" distB="0" distL="114300" distR="114300">
                  <wp:extent cx="4337685" cy="3098165"/>
                  <wp:effectExtent l="0" t="0" r="5715" b="698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6"/>
                          <a:stretch>
                            <a:fillRect/>
                          </a:stretch>
                        </pic:blipFill>
                        <pic:spPr>
                          <a:xfrm>
                            <a:off x="0" y="0"/>
                            <a:ext cx="4337685" cy="3098165"/>
                          </a:xfrm>
                          <a:prstGeom prst="rect">
                            <a:avLst/>
                          </a:prstGeom>
                          <a:noFill/>
                          <a:ln>
                            <a:noFill/>
                          </a:ln>
                        </pic:spPr>
                      </pic:pic>
                    </a:graphicData>
                  </a:graphic>
                </wp:inline>
              </w:drawing>
            </w:r>
          </w:p>
          <w:p w14:paraId="0D24AB55">
            <w:pPr>
              <w:spacing w:line="360" w:lineRule="auto"/>
              <w:jc w:val="center"/>
              <w:rPr>
                <w:color w:val="000000" w:themeColor="text1"/>
                <w14:textFill>
                  <w14:solidFill>
                    <w14:schemeClr w14:val="tx1"/>
                  </w14:solidFill>
                </w14:textFill>
              </w:rPr>
            </w:pPr>
            <w:r>
              <w:rPr>
                <w:bCs/>
                <w:color w:val="000000" w:themeColor="text1"/>
                <w:sz w:val="24"/>
                <w:szCs w:val="24"/>
                <w14:textFill>
                  <w14:solidFill>
                    <w14:schemeClr w14:val="tx1"/>
                  </w14:solidFill>
                </w14:textFill>
              </w:rPr>
              <w:t>图1-1  宿州市水环境分区管控图</w:t>
            </w:r>
          </w:p>
          <w:p w14:paraId="29AD7AD9">
            <w:pPr>
              <w:pStyle w:val="89"/>
              <w:rPr>
                <w:color w:val="000000" w:themeColor="text1"/>
                <w14:textFill>
                  <w14:solidFill>
                    <w14:schemeClr w14:val="tx1"/>
                  </w14:solidFill>
                </w14:textFill>
              </w:rPr>
            </w:pPr>
            <w:r>
              <w:rPr>
                <w:color w:val="000000" w:themeColor="text1"/>
                <w14:textFill>
                  <w14:solidFill>
                    <w14:schemeClr w14:val="tx1"/>
                  </w14:solidFill>
                </w14:textFill>
              </w:rPr>
              <w:t>2）大气环境质量底线及分区管控</w:t>
            </w:r>
          </w:p>
          <w:p w14:paraId="73F60EDA">
            <w:pPr>
              <w:pStyle w:val="89"/>
              <w:rPr>
                <w:color w:val="000000" w:themeColor="text1"/>
                <w14:textFill>
                  <w14:solidFill>
                    <w14:schemeClr w14:val="tx1"/>
                  </w14:solidFill>
                </w14:textFill>
              </w:rPr>
            </w:pPr>
            <w:r>
              <w:rPr>
                <w:color w:val="000000" w:themeColor="text1"/>
                <w14:textFill>
                  <w14:solidFill>
                    <w14:schemeClr w14:val="tx1"/>
                  </w14:solidFill>
                </w14:textFill>
              </w:rPr>
              <w:t>《文本》中，将大气环境分为：优先保护区、重点管控区和一般管控区。其中，优先保护区面积267平方公里，占全市面积的2.69%；重点管控区面积1552.12平方公里，占全市面积的15.62%；一般管控区8119.5平方公里，占全市面积的81.7%。对照宿州市大气环境分区管控图，本项目属于大气环境</w:t>
            </w:r>
            <w:r>
              <w:rPr>
                <w:rFonts w:hint="eastAsia"/>
                <w:color w:val="000000" w:themeColor="text1"/>
                <w:lang w:val="en-US" w:eastAsia="zh-CN"/>
                <w14:textFill>
                  <w14:solidFill>
                    <w14:schemeClr w14:val="tx1"/>
                  </w14:solidFill>
                </w14:textFill>
              </w:rPr>
              <w:t>受体敏感重点</w:t>
            </w:r>
            <w:r>
              <w:rPr>
                <w:color w:val="000000" w:themeColor="text1"/>
                <w14:textFill>
                  <w14:solidFill>
                    <w14:schemeClr w14:val="tx1"/>
                  </w14:solidFill>
                </w14:textFill>
              </w:rPr>
              <w:t>管控区</w:t>
            </w:r>
            <w:r>
              <w:rPr>
                <w:rFonts w:hint="eastAsia"/>
                <w:color w:val="000000" w:themeColor="text1"/>
                <w14:textFill>
                  <w14:solidFill>
                    <w14:schemeClr w14:val="tx1"/>
                  </w14:solidFill>
                </w14:textFill>
              </w:rPr>
              <w:t>。</w:t>
            </w:r>
          </w:p>
          <w:p w14:paraId="3427A57A">
            <w:pPr>
              <w:pStyle w:val="89"/>
              <w:rPr>
                <w:color w:val="000000" w:themeColor="text1"/>
                <w14:textFill>
                  <w14:solidFill>
                    <w14:schemeClr w14:val="tx1"/>
                  </w14:solidFill>
                </w14:textFill>
              </w:rPr>
            </w:pPr>
          </w:p>
          <w:p w14:paraId="3CFBD6DA">
            <w:pPr>
              <w:pStyle w:val="89"/>
              <w:rPr>
                <w:color w:val="000000" w:themeColor="text1"/>
                <w14:textFill>
                  <w14:solidFill>
                    <w14:schemeClr w14:val="tx1"/>
                  </w14:solidFill>
                </w14:textFill>
              </w:rPr>
            </w:pPr>
          </w:p>
          <w:p w14:paraId="29724217">
            <w:pPr>
              <w:pStyle w:val="89"/>
              <w:rPr>
                <w:color w:val="000000" w:themeColor="text1"/>
                <w14:textFill>
                  <w14:solidFill>
                    <w14:schemeClr w14:val="tx1"/>
                  </w14:solidFill>
                </w14:textFill>
              </w:rPr>
            </w:pPr>
          </w:p>
          <w:p w14:paraId="0847C230">
            <w:pPr>
              <w:pStyle w:val="89"/>
              <w:rPr>
                <w:color w:val="000000" w:themeColor="text1"/>
                <w14:textFill>
                  <w14:solidFill>
                    <w14:schemeClr w14:val="tx1"/>
                  </w14:solidFill>
                </w14:textFill>
              </w:rPr>
            </w:pPr>
          </w:p>
          <w:p w14:paraId="3E9F8141">
            <w:pPr>
              <w:pStyle w:val="89"/>
              <w:rPr>
                <w:color w:val="000000" w:themeColor="text1"/>
                <w14:textFill>
                  <w14:solidFill>
                    <w14:schemeClr w14:val="tx1"/>
                  </w14:solidFill>
                </w14:textFill>
              </w:rPr>
            </w:pPr>
          </w:p>
          <w:p w14:paraId="10226F8F">
            <w:pPr>
              <w:pStyle w:val="89"/>
              <w:rPr>
                <w:color w:val="000000" w:themeColor="text1"/>
                <w14:textFill>
                  <w14:solidFill>
                    <w14:schemeClr w14:val="tx1"/>
                  </w14:solidFill>
                </w14:textFill>
              </w:rPr>
            </w:pPr>
          </w:p>
          <w:p w14:paraId="56A938A8">
            <w:pPr>
              <w:widowControl/>
              <w:jc w:val="center"/>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1972945</wp:posOffset>
                      </wp:positionH>
                      <wp:positionV relativeFrom="paragraph">
                        <wp:posOffset>1438275</wp:posOffset>
                      </wp:positionV>
                      <wp:extent cx="932815" cy="247650"/>
                      <wp:effectExtent l="163830" t="4445" r="8255" b="376555"/>
                      <wp:wrapNone/>
                      <wp:docPr id="23" name="矩形标注 23"/>
                      <wp:cNvGraphicFramePr/>
                      <a:graphic xmlns:a="http://schemas.openxmlformats.org/drawingml/2006/main">
                        <a:graphicData uri="http://schemas.microsoft.com/office/word/2010/wordprocessingShape">
                          <wps:wsp>
                            <wps:cNvSpPr/>
                            <wps:spPr>
                              <a:xfrm>
                                <a:off x="0" y="0"/>
                                <a:ext cx="932815" cy="247650"/>
                              </a:xfrm>
                              <a:prstGeom prst="wedgeRectCallout">
                                <a:avLst>
                                  <a:gd name="adj1" fmla="val -67083"/>
                                  <a:gd name="adj2" fmla="val 200000"/>
                                </a:avLst>
                              </a:prstGeom>
                              <a:noFill/>
                              <a:ln w="3175" cap="flat" cmpd="sng" algn="ctr">
                                <a:solidFill>
                                  <a:srgbClr val="FF0000"/>
                                </a:solidFill>
                                <a:prstDash val="solid"/>
                              </a:ln>
                              <a:effectLst/>
                            </wps:spPr>
                            <wps:txbx>
                              <w:txbxContent>
                                <w:p w14:paraId="6BA7DB14">
                                  <w:pPr>
                                    <w:jc w:val="center"/>
                                    <w:rPr>
                                      <w:color w:val="0000FF"/>
                                    </w:rPr>
                                  </w:pPr>
                                  <w:r>
                                    <w:rPr>
                                      <w:rFonts w:hint="eastAsia"/>
                                      <w:color w:val="0000FF"/>
                                    </w:rPr>
                                    <w:t>本项目位置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55.35pt;margin-top:113.25pt;height:19.5pt;width:73.45pt;z-index:251661312;v-text-anchor:middle;mso-width-relative:page;mso-height-relative:page;" filled="f" stroked="t" coordsize="21600,21600" o:gfxdata="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HkdSyfcAAAACwEAAA8AAAAAAAAAAQAgAAAAIgAAAGRycy9kb3ducmV2Lnht&#10;bFBLAQIUABQAAAAIAIdO4kBBol5BoAIAADIFAAAOAAAAAAAAAAEAIAAAACsBAABkcnMvZTJvRG9j&#10;LnhtbFBLBQYAAAAABgAGAFkBAAA9BgAAAAA=&#10;" adj="-3690,54000">
                      <v:fill on="f" focussize="0,0"/>
                      <v:stroke weight="0.25pt" color="#FF0000" joinstyle="round"/>
                      <v:imagedata o:title=""/>
                      <o:lock v:ext="edit" aspectratio="f"/>
                      <v:textbox>
                        <w:txbxContent>
                          <w:p w14:paraId="6BA7DB14">
                            <w:pPr>
                              <w:jc w:val="center"/>
                              <w:rPr>
                                <w:color w:val="0000FF"/>
                              </w:rPr>
                            </w:pPr>
                            <w:r>
                              <w:rPr>
                                <w:rFonts w:hint="eastAsia"/>
                                <w:color w:val="0000FF"/>
                              </w:rPr>
                              <w:t>本项目位置</w:t>
                            </w:r>
                          </w:p>
                        </w:txbxContent>
                      </v:textbox>
                    </v:shape>
                  </w:pict>
                </mc:Fallback>
              </mc:AlternateContent>
            </w:r>
            <w:r>
              <w:rPr>
                <w:color w:val="000000" w:themeColor="text1"/>
                <w:kern w:val="0"/>
                <w14:textFill>
                  <w14:solidFill>
                    <w14:schemeClr w14:val="tx1"/>
                  </w14:solidFill>
                </w14:textFill>
              </w:rPr>
              <w:fldChar w:fldCharType="begin"/>
            </w:r>
            <w:r>
              <w:rPr>
                <w:color w:val="000000" w:themeColor="text1"/>
                <w:kern w:val="0"/>
                <w14:textFill>
                  <w14:solidFill>
                    <w14:schemeClr w14:val="tx1"/>
                  </w14:solidFill>
                </w14:textFill>
              </w:rPr>
              <w:instrText xml:space="preserve">INCLUDEPICTURE \d "C:\\Users\\环保工作者\\AppData\\Roaming\\Tencent\\Users\\2662799207\\QQ\\WinTemp\\RichOle\\G6LMV7G(@I$0Y$IGCB4ETQY.png" \* MERGEFORMATINET </w:instrText>
            </w:r>
            <w:r>
              <w:rPr>
                <w:color w:val="000000" w:themeColor="text1"/>
                <w:kern w:val="0"/>
                <w14:textFill>
                  <w14:solidFill>
                    <w14:schemeClr w14:val="tx1"/>
                  </w14:solidFill>
                </w14:textFill>
              </w:rPr>
              <w:fldChar w:fldCharType="separate"/>
            </w:r>
            <w:r>
              <w:rPr>
                <w:color w:val="000000" w:themeColor="text1"/>
                <w:kern w:val="0"/>
                <w14:textFill>
                  <w14:solidFill>
                    <w14:schemeClr w14:val="tx1"/>
                  </w14:solidFill>
                </w14:textFill>
              </w:rPr>
              <w:drawing>
                <wp:inline distT="0" distB="0" distL="114300" distR="114300">
                  <wp:extent cx="4324985" cy="3074670"/>
                  <wp:effectExtent l="0" t="0" r="18415" b="11430"/>
                  <wp:docPr id="22"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56"/>
                          <pic:cNvPicPr>
                            <a:picLocks noChangeAspect="1"/>
                          </pic:cNvPicPr>
                        </pic:nvPicPr>
                        <pic:blipFill>
                          <a:blip r:embed="rId7"/>
                          <a:stretch>
                            <a:fillRect/>
                          </a:stretch>
                        </pic:blipFill>
                        <pic:spPr>
                          <a:xfrm>
                            <a:off x="0" y="0"/>
                            <a:ext cx="4324985" cy="3074670"/>
                          </a:xfrm>
                          <a:prstGeom prst="rect">
                            <a:avLst/>
                          </a:prstGeom>
                          <a:noFill/>
                          <a:ln>
                            <a:noFill/>
                          </a:ln>
                        </pic:spPr>
                      </pic:pic>
                    </a:graphicData>
                  </a:graphic>
                </wp:inline>
              </w:drawing>
            </w:r>
            <w:r>
              <w:rPr>
                <w:color w:val="000000" w:themeColor="text1"/>
                <w:kern w:val="0"/>
                <w14:textFill>
                  <w14:solidFill>
                    <w14:schemeClr w14:val="tx1"/>
                  </w14:solidFill>
                </w14:textFill>
              </w:rPr>
              <w:fldChar w:fldCharType="end"/>
            </w:r>
          </w:p>
          <w:p w14:paraId="022D315B">
            <w:pPr>
              <w:spacing w:line="360" w:lineRule="auto"/>
              <w:jc w:val="center"/>
              <w:rPr>
                <w:bCs/>
                <w:color w:val="000000" w:themeColor="text1"/>
                <w:sz w:val="24"/>
                <w:szCs w:val="32"/>
                <w14:textFill>
                  <w14:solidFill>
                    <w14:schemeClr w14:val="tx1"/>
                  </w14:solidFill>
                </w14:textFill>
              </w:rPr>
            </w:pPr>
            <w:r>
              <w:rPr>
                <w:bCs/>
                <w:color w:val="000000" w:themeColor="text1"/>
                <w:sz w:val="24"/>
                <w:szCs w:val="32"/>
                <w14:textFill>
                  <w14:solidFill>
                    <w14:schemeClr w14:val="tx1"/>
                  </w14:solidFill>
                </w14:textFill>
              </w:rPr>
              <w:t>图1-2  宿州市大气环境分区管控图</w:t>
            </w:r>
          </w:p>
          <w:p w14:paraId="5801E1F8">
            <w:pPr>
              <w:autoSpaceDE w:val="0"/>
              <w:autoSpaceDN w:val="0"/>
              <w:spacing w:line="360" w:lineRule="auto"/>
              <w:ind w:firstLine="480" w:firstLineChars="200"/>
              <w:rPr>
                <w:sz w:val="24"/>
              </w:rPr>
            </w:pPr>
          </w:p>
          <w:p w14:paraId="6132E342">
            <w:pPr>
              <w:spacing w:line="360" w:lineRule="auto"/>
              <w:ind w:firstLine="480" w:firstLineChars="200"/>
              <w:jc w:val="left"/>
              <w:rPr>
                <w:color w:val="000000" w:themeColor="text1"/>
                <w14:textFill>
                  <w14:solidFill>
                    <w14:schemeClr w14:val="tx1"/>
                  </w14:solidFill>
                </w14:textFill>
              </w:rPr>
            </w:pPr>
            <w:r>
              <w:rPr>
                <w:color w:val="000000" w:themeColor="text1"/>
                <w:sz w:val="24"/>
                <w:szCs w:val="24"/>
                <w14:textFill>
                  <w14:solidFill>
                    <w14:schemeClr w14:val="tx1"/>
                  </w14:solidFill>
                </w14:textFill>
              </w:rPr>
              <w:t>生态环境管控单元准入清单见下表。</w:t>
            </w:r>
          </w:p>
          <w:p w14:paraId="2D966B77">
            <w:pPr>
              <w:widowControl/>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表1-</w:t>
            </w:r>
            <w:r>
              <w:rPr>
                <w:rFonts w:hint="eastAsia"/>
                <w:b/>
                <w:bCs/>
                <w:color w:val="000000" w:themeColor="text1"/>
                <w:sz w:val="24"/>
                <w:szCs w:val="24"/>
                <w:lang w:val="en-US" w:eastAsia="zh-CN"/>
                <w14:textFill>
                  <w14:solidFill>
                    <w14:schemeClr w14:val="tx1"/>
                  </w14:solidFill>
                </w14:textFill>
              </w:rPr>
              <w:t>3</w:t>
            </w:r>
            <w:r>
              <w:rPr>
                <w:b/>
                <w:bCs/>
                <w:color w:val="000000" w:themeColor="text1"/>
                <w:sz w:val="24"/>
                <w:szCs w:val="24"/>
                <w14:textFill>
                  <w14:solidFill>
                    <w14:schemeClr w14:val="tx1"/>
                  </w14:solidFill>
                </w14:textFill>
              </w:rPr>
              <w:t xml:space="preserve">  生态环境管控单元准入清单一览表</w:t>
            </w:r>
          </w:p>
          <w:tbl>
            <w:tblPr>
              <w:tblStyle w:val="29"/>
              <w:tblW w:w="75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
              <w:gridCol w:w="443"/>
              <w:gridCol w:w="1077"/>
              <w:gridCol w:w="4966"/>
              <w:gridCol w:w="670"/>
            </w:tblGrid>
            <w:tr w14:paraId="57C7A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443" w:type="dxa"/>
                  <w:vAlign w:val="center"/>
                </w:tcPr>
                <w:p w14:paraId="7FEC7292">
                  <w:pPr>
                    <w:jc w:val="center"/>
                    <w:rPr>
                      <w:b/>
                      <w:bCs/>
                      <w:color w:val="000000" w:themeColor="text1"/>
                      <w14:textFill>
                        <w14:solidFill>
                          <w14:schemeClr w14:val="tx1"/>
                        </w14:solidFill>
                      </w14:textFill>
                    </w:rPr>
                  </w:pPr>
                  <w:r>
                    <w:rPr>
                      <w:color w:val="000000" w:themeColor="text1"/>
                      <w14:textFill>
                        <w14:solidFill>
                          <w14:schemeClr w14:val="tx1"/>
                        </w14:solidFill>
                      </w14:textFill>
                    </w:rPr>
                    <w:t>分类</w:t>
                  </w:r>
                </w:p>
              </w:tc>
              <w:tc>
                <w:tcPr>
                  <w:tcW w:w="443" w:type="dxa"/>
                  <w:vAlign w:val="center"/>
                </w:tcPr>
                <w:p w14:paraId="212961F0">
                  <w:pPr>
                    <w:jc w:val="center"/>
                    <w:rPr>
                      <w:b/>
                      <w:bCs/>
                      <w:color w:val="000000" w:themeColor="text1"/>
                      <w14:textFill>
                        <w14:solidFill>
                          <w14:schemeClr w14:val="tx1"/>
                        </w14:solidFill>
                      </w14:textFill>
                    </w:rPr>
                  </w:pPr>
                  <w:r>
                    <w:rPr>
                      <w:color w:val="000000" w:themeColor="text1"/>
                      <w14:textFill>
                        <w14:solidFill>
                          <w14:schemeClr w14:val="tx1"/>
                        </w14:solidFill>
                      </w14:textFill>
                    </w:rPr>
                    <w:t>管控</w:t>
                  </w:r>
                </w:p>
              </w:tc>
              <w:tc>
                <w:tcPr>
                  <w:tcW w:w="1077" w:type="dxa"/>
                  <w:vAlign w:val="center"/>
                </w:tcPr>
                <w:p w14:paraId="15B43099">
                  <w:pPr>
                    <w:jc w:val="center"/>
                    <w:rPr>
                      <w:b/>
                      <w:bCs/>
                      <w:color w:val="000000" w:themeColor="text1"/>
                      <w14:textFill>
                        <w14:solidFill>
                          <w14:schemeClr w14:val="tx1"/>
                        </w14:solidFill>
                      </w14:textFill>
                    </w:rPr>
                  </w:pPr>
                  <w:r>
                    <w:rPr>
                      <w:color w:val="000000" w:themeColor="text1"/>
                      <w14:textFill>
                        <w14:solidFill>
                          <w14:schemeClr w14:val="tx1"/>
                        </w14:solidFill>
                      </w14:textFill>
                    </w:rPr>
                    <w:t>清单编制要求</w:t>
                  </w:r>
                </w:p>
              </w:tc>
              <w:tc>
                <w:tcPr>
                  <w:tcW w:w="4966" w:type="dxa"/>
                  <w:vAlign w:val="center"/>
                </w:tcPr>
                <w:p w14:paraId="0E8B3098">
                  <w:pPr>
                    <w:jc w:val="center"/>
                    <w:rPr>
                      <w:b/>
                      <w:bCs/>
                      <w:color w:val="000000" w:themeColor="text1"/>
                      <w14:textFill>
                        <w14:solidFill>
                          <w14:schemeClr w14:val="tx1"/>
                        </w14:solidFill>
                      </w14:textFill>
                    </w:rPr>
                  </w:pPr>
                  <w:r>
                    <w:rPr>
                      <w:color w:val="000000" w:themeColor="text1"/>
                      <w14:textFill>
                        <w14:solidFill>
                          <w14:schemeClr w14:val="tx1"/>
                        </w14:solidFill>
                      </w14:textFill>
                    </w:rPr>
                    <w:t>要求</w:t>
                  </w:r>
                </w:p>
              </w:tc>
              <w:tc>
                <w:tcPr>
                  <w:tcW w:w="670" w:type="dxa"/>
                  <w:vAlign w:val="center"/>
                </w:tcPr>
                <w:p w14:paraId="43DB7015">
                  <w:pPr>
                    <w:jc w:val="center"/>
                    <w:rPr>
                      <w:b/>
                      <w:bCs/>
                      <w:color w:val="000000" w:themeColor="text1"/>
                      <w14:textFill>
                        <w14:solidFill>
                          <w14:schemeClr w14:val="tx1"/>
                        </w14:solidFill>
                      </w14:textFill>
                    </w:rPr>
                  </w:pPr>
                  <w:r>
                    <w:rPr>
                      <w:color w:val="000000" w:themeColor="text1"/>
                      <w14:textFill>
                        <w14:solidFill>
                          <w14:schemeClr w14:val="tx1"/>
                        </w14:solidFill>
                      </w14:textFill>
                    </w:rPr>
                    <w:t>符合性</w:t>
                  </w:r>
                </w:p>
              </w:tc>
            </w:tr>
            <w:tr w14:paraId="5AF60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8" w:hRule="atLeast"/>
              </w:trPr>
              <w:tc>
                <w:tcPr>
                  <w:tcW w:w="443" w:type="dxa"/>
                  <w:vMerge w:val="restart"/>
                  <w:vAlign w:val="center"/>
                </w:tcPr>
                <w:p w14:paraId="4D46C2FD">
                  <w:pPr>
                    <w:rPr>
                      <w:b/>
                      <w:bCs/>
                      <w:color w:val="000000" w:themeColor="text1"/>
                      <w14:textFill>
                        <w14:solidFill>
                          <w14:schemeClr w14:val="tx1"/>
                        </w14:solidFill>
                      </w14:textFill>
                    </w:rPr>
                  </w:pPr>
                  <w:r>
                    <w:rPr>
                      <w:color w:val="000000" w:themeColor="text1"/>
                      <w14:textFill>
                        <w14:solidFill>
                          <w14:schemeClr w14:val="tx1"/>
                        </w14:solidFill>
                      </w14:textFill>
                    </w:rPr>
                    <w:t>土壤优先保护区</w:t>
                  </w:r>
                </w:p>
              </w:tc>
              <w:tc>
                <w:tcPr>
                  <w:tcW w:w="443" w:type="dxa"/>
                  <w:vMerge w:val="restart"/>
                  <w:vAlign w:val="center"/>
                </w:tcPr>
                <w:p w14:paraId="2C807422">
                  <w:pPr>
                    <w:rPr>
                      <w:b/>
                      <w:bCs/>
                      <w:color w:val="000000" w:themeColor="text1"/>
                      <w14:textFill>
                        <w14:solidFill>
                          <w14:schemeClr w14:val="tx1"/>
                        </w14:solidFill>
                      </w14:textFill>
                    </w:rPr>
                  </w:pPr>
                  <w:r>
                    <w:rPr>
                      <w:color w:val="000000" w:themeColor="text1"/>
                      <w14:textFill>
                        <w14:solidFill>
                          <w14:schemeClr w14:val="tx1"/>
                        </w14:solidFill>
                      </w14:textFill>
                    </w:rPr>
                    <w:t>空间布局约束</w:t>
                  </w:r>
                </w:p>
              </w:tc>
              <w:tc>
                <w:tcPr>
                  <w:tcW w:w="1077" w:type="dxa"/>
                  <w:vAlign w:val="center"/>
                </w:tcPr>
                <w:p w14:paraId="0AD66B5B">
                  <w:pPr>
                    <w:jc w:val="center"/>
                    <w:rPr>
                      <w:b/>
                      <w:bCs/>
                      <w:color w:val="000000" w:themeColor="text1"/>
                      <w14:textFill>
                        <w14:solidFill>
                          <w14:schemeClr w14:val="tx1"/>
                        </w14:solidFill>
                      </w14:textFill>
                    </w:rPr>
                  </w:pPr>
                  <w:r>
                    <w:rPr>
                      <w:color w:val="000000" w:themeColor="text1"/>
                      <w14:textFill>
                        <w14:solidFill>
                          <w14:schemeClr w14:val="tx1"/>
                        </w14:solidFill>
                      </w14:textFill>
                    </w:rPr>
                    <w:t>禁止开发建设活动的要求</w:t>
                  </w:r>
                </w:p>
              </w:tc>
              <w:tc>
                <w:tcPr>
                  <w:tcW w:w="4966" w:type="dxa"/>
                  <w:vAlign w:val="center"/>
                </w:tcPr>
                <w:p w14:paraId="6B939910">
                  <w:pPr>
                    <w:rPr>
                      <w:color w:val="000000" w:themeColor="text1"/>
                      <w14:textFill>
                        <w14:solidFill>
                          <w14:schemeClr w14:val="tx1"/>
                        </w14:solidFill>
                      </w14:textFill>
                    </w:rPr>
                  </w:pPr>
                  <w:r>
                    <w:rPr>
                      <w:color w:val="000000" w:themeColor="text1"/>
                      <w14:textFill>
                        <w14:solidFill>
                          <w14:schemeClr w14:val="tx1"/>
                        </w14:solidFill>
                      </w14:textFill>
                    </w:rPr>
                    <w:t>1.禁止任何单位和个人在基本农田保护区内建窑、建房、建坟、挖砂、采石、采矿、取土、堆放固体废弃物或者进行其他破坏基本农田的活动。</w:t>
                  </w:r>
                </w:p>
                <w:p w14:paraId="1C454BBB">
                  <w:pPr>
                    <w:rPr>
                      <w:color w:val="000000" w:themeColor="text1"/>
                      <w14:textFill>
                        <w14:solidFill>
                          <w14:schemeClr w14:val="tx1"/>
                        </w14:solidFill>
                      </w14:textFill>
                    </w:rPr>
                  </w:pPr>
                  <w:r>
                    <w:rPr>
                      <w:color w:val="000000" w:themeColor="text1"/>
                      <w14:textFill>
                        <w14:solidFill>
                          <w14:schemeClr w14:val="tx1"/>
                        </w14:solidFill>
                      </w14:textFill>
                    </w:rPr>
                    <w:t>2禁止任何单位和个人占用基本农田发展林果业和挖塘养鱼。</w:t>
                  </w:r>
                </w:p>
                <w:p w14:paraId="5F40AE97">
                  <w:pPr>
                    <w:rPr>
                      <w:color w:val="000000" w:themeColor="text1"/>
                      <w14:textFill>
                        <w14:solidFill>
                          <w14:schemeClr w14:val="tx1"/>
                        </w14:solidFill>
                      </w14:textFill>
                    </w:rPr>
                  </w:pPr>
                  <w:r>
                    <w:rPr>
                      <w:color w:val="000000" w:themeColor="text1"/>
                      <w14:textFill>
                        <w14:solidFill>
                          <w14:schemeClr w14:val="tx1"/>
                        </w14:solidFill>
                      </w14:textFill>
                    </w:rPr>
                    <w:t>3禁止生产、销售、使用国家明令禁止的农业投入品。农业投入品生产者、销售者和使用者应当及时回收农药、肥料等农业投入品的包装废弃物和农用薄膜，并将农药包装废弃物交由专门的机构或者组织进行无害化处理。</w:t>
                  </w:r>
                </w:p>
                <w:p w14:paraId="34CFA8D1">
                  <w:pPr>
                    <w:rPr>
                      <w:color w:val="000000" w:themeColor="text1"/>
                      <w14:textFill>
                        <w14:solidFill>
                          <w14:schemeClr w14:val="tx1"/>
                        </w14:solidFill>
                      </w14:textFill>
                    </w:rPr>
                  </w:pPr>
                  <w:r>
                    <w:rPr>
                      <w:color w:val="000000" w:themeColor="text1"/>
                      <w14:textFill>
                        <w14:solidFill>
                          <w14:schemeClr w14:val="tx1"/>
                        </w14:solidFill>
                      </w14:textFill>
                    </w:rPr>
                    <w:t>4禁止在优先保护类耕地周边新建有色金属矿采选、有色金属冶炼、化工、焦化、电镀、电子废物拆解等行业企业。</w:t>
                  </w:r>
                </w:p>
                <w:p w14:paraId="6B49A067">
                  <w:pPr>
                    <w:rPr>
                      <w:color w:val="000000" w:themeColor="text1"/>
                      <w14:textFill>
                        <w14:solidFill>
                          <w14:schemeClr w14:val="tx1"/>
                        </w14:solidFill>
                      </w14:textFill>
                    </w:rPr>
                  </w:pPr>
                  <w:r>
                    <w:rPr>
                      <w:color w:val="000000" w:themeColor="text1"/>
                      <w14:textFill>
                        <w14:solidFill>
                          <w14:schemeClr w14:val="tx1"/>
                        </w14:solidFill>
                      </w14:textFill>
                    </w:rPr>
                    <w:t>5在永久基本农田集中区域，不得新建可能造成土壤污染的建设项目。</w:t>
                  </w:r>
                </w:p>
                <w:p w14:paraId="19C5A751">
                  <w:pPr>
                    <w:rPr>
                      <w:color w:val="000000" w:themeColor="text1"/>
                      <w14:textFill>
                        <w14:solidFill>
                          <w14:schemeClr w14:val="tx1"/>
                        </w14:solidFill>
                      </w14:textFill>
                    </w:rPr>
                  </w:pPr>
                  <w:r>
                    <w:rPr>
                      <w:color w:val="000000" w:themeColor="text1"/>
                      <w14:textFill>
                        <w14:solidFill>
                          <w14:schemeClr w14:val="tx1"/>
                        </w14:solidFill>
                      </w14:textFill>
                    </w:rPr>
                    <w:t>6基本农田保护区内禁止下列行为:</w:t>
                  </w:r>
                </w:p>
                <w:p w14:paraId="55D58246">
                  <w:pPr>
                    <w:rPr>
                      <w:color w:val="000000" w:themeColor="text1"/>
                      <w14:textFill>
                        <w14:solidFill>
                          <w14:schemeClr w14:val="tx1"/>
                        </w14:solidFill>
                      </w14:textFill>
                    </w:rPr>
                  </w:pPr>
                  <w:r>
                    <w:rPr>
                      <w:color w:val="000000" w:themeColor="text1"/>
                      <w14:textFill>
                        <w14:solidFill>
                          <w14:schemeClr w14:val="tx1"/>
                        </w14:solidFill>
                      </w14:textFill>
                    </w:rPr>
                    <w:t>(一)擅自将耕地改为非耕地;</w:t>
                  </w:r>
                </w:p>
                <w:p w14:paraId="10AE1A3C">
                  <w:pPr>
                    <w:rPr>
                      <w:color w:val="000000" w:themeColor="text1"/>
                      <w14:textFill>
                        <w14:solidFill>
                          <w14:schemeClr w14:val="tx1"/>
                        </w14:solidFill>
                      </w14:textFill>
                    </w:rPr>
                  </w:pPr>
                  <w:r>
                    <w:rPr>
                      <w:color w:val="000000" w:themeColor="text1"/>
                      <w14:textFill>
                        <w14:solidFill>
                          <w14:schemeClr w14:val="tx1"/>
                        </w14:solidFill>
                      </w14:textFill>
                    </w:rPr>
                    <w:t>(二)闲置、荒芜耕地;</w:t>
                  </w:r>
                </w:p>
                <w:p w14:paraId="0594E4DE">
                  <w:pPr>
                    <w:rPr>
                      <w:color w:val="000000" w:themeColor="text1"/>
                      <w14:textFill>
                        <w14:solidFill>
                          <w14:schemeClr w14:val="tx1"/>
                        </w14:solidFill>
                      </w14:textFill>
                    </w:rPr>
                  </w:pPr>
                  <w:r>
                    <w:rPr>
                      <w:color w:val="000000" w:themeColor="text1"/>
                      <w14:textFill>
                        <w14:solidFill>
                          <w14:schemeClr w14:val="tx1"/>
                        </w14:solidFill>
                      </w14:textFill>
                    </w:rPr>
                    <w:t>(三)建窑、建房、建坟;</w:t>
                  </w:r>
                </w:p>
                <w:p w14:paraId="373F2F5A">
                  <w:pPr>
                    <w:rPr>
                      <w:color w:val="000000" w:themeColor="text1"/>
                      <w14:textFill>
                        <w14:solidFill>
                          <w14:schemeClr w14:val="tx1"/>
                        </w14:solidFill>
                      </w14:textFill>
                    </w:rPr>
                  </w:pPr>
                  <w:r>
                    <w:rPr>
                      <w:color w:val="000000" w:themeColor="text1"/>
                      <w14:textFill>
                        <w14:solidFill>
                          <w14:schemeClr w14:val="tx1"/>
                        </w14:solidFill>
                      </w14:textFill>
                    </w:rPr>
                    <w:t>(四)擅自挖沙、采石、采矿、取土;</w:t>
                  </w:r>
                </w:p>
                <w:p w14:paraId="4756BDB8">
                  <w:pPr>
                    <w:rPr>
                      <w:color w:val="000000" w:themeColor="text1"/>
                      <w14:textFill>
                        <w14:solidFill>
                          <w14:schemeClr w14:val="tx1"/>
                        </w14:solidFill>
                      </w14:textFill>
                    </w:rPr>
                  </w:pPr>
                  <w:r>
                    <w:rPr>
                      <w:color w:val="000000" w:themeColor="text1"/>
                      <w14:textFill>
                        <w14:solidFill>
                          <w14:schemeClr w14:val="tx1"/>
                        </w14:solidFill>
                      </w14:textFill>
                    </w:rPr>
                    <w:t>(五)排放污染性的废水、废气，堆放固体废弃物;</w:t>
                  </w:r>
                </w:p>
                <w:p w14:paraId="152563FD">
                  <w:pPr>
                    <w:rPr>
                      <w:color w:val="000000" w:themeColor="text1"/>
                      <w14:textFill>
                        <w14:solidFill>
                          <w14:schemeClr w14:val="tx1"/>
                        </w14:solidFill>
                      </w14:textFill>
                    </w:rPr>
                  </w:pPr>
                  <w:r>
                    <w:rPr>
                      <w:color w:val="000000" w:themeColor="text1"/>
                      <w14:textFill>
                        <w14:solidFill>
                          <w14:schemeClr w14:val="tx1"/>
                        </w14:solidFill>
                      </w14:textFill>
                    </w:rPr>
                    <w:t>(六)向基本农田提供不符合国家有关标准的肥料、农药;</w:t>
                  </w:r>
                </w:p>
                <w:p w14:paraId="0C2F9F89">
                  <w:pPr>
                    <w:rPr>
                      <w:color w:val="000000" w:themeColor="text1"/>
                      <w14:textFill>
                        <w14:solidFill>
                          <w14:schemeClr w14:val="tx1"/>
                        </w14:solidFill>
                      </w14:textFill>
                    </w:rPr>
                  </w:pPr>
                  <w:r>
                    <w:rPr>
                      <w:color w:val="000000" w:themeColor="text1"/>
                      <w14:textFill>
                        <w14:solidFill>
                          <w14:schemeClr w14:val="tx1"/>
                        </w14:solidFill>
                      </w14:textFill>
                    </w:rPr>
                    <w:t>(七)段坏水利排灌设施;</w:t>
                  </w:r>
                </w:p>
                <w:p w14:paraId="33D4973C">
                  <w:pPr>
                    <w:rPr>
                      <w:color w:val="000000" w:themeColor="text1"/>
                      <w14:textFill>
                        <w14:solidFill>
                          <w14:schemeClr w14:val="tx1"/>
                        </w14:solidFill>
                      </w14:textFill>
                    </w:rPr>
                  </w:pPr>
                  <w:r>
                    <w:rPr>
                      <w:color w:val="000000" w:themeColor="text1"/>
                      <w14:textFill>
                        <w14:solidFill>
                          <w14:schemeClr w14:val="tx1"/>
                        </w14:solidFill>
                      </w14:textFill>
                    </w:rPr>
                    <w:t>(八)擅自砍伐农田防护林和水土保持林;</w:t>
                  </w:r>
                </w:p>
                <w:p w14:paraId="6DC3B88D">
                  <w:pPr>
                    <w:rPr>
                      <w:color w:val="000000" w:themeColor="text1"/>
                      <w14:textFill>
                        <w14:solidFill>
                          <w14:schemeClr w14:val="tx1"/>
                        </w14:solidFill>
                      </w14:textFill>
                    </w:rPr>
                  </w:pPr>
                  <w:r>
                    <w:rPr>
                      <w:color w:val="000000" w:themeColor="text1"/>
                      <w14:textFill>
                        <w14:solidFill>
                          <w14:schemeClr w14:val="tx1"/>
                        </w14:solidFill>
                      </w14:textFill>
                    </w:rPr>
                    <w:t>(九)破坏或擅自改变基本农田保护区标志</w:t>
                  </w:r>
                </w:p>
                <w:p w14:paraId="3F034D8D">
                  <w:pPr>
                    <w:rPr>
                      <w:color w:val="000000" w:themeColor="text1"/>
                      <w14:textFill>
                        <w14:solidFill>
                          <w14:schemeClr w14:val="tx1"/>
                        </w14:solidFill>
                      </w14:textFill>
                    </w:rPr>
                  </w:pPr>
                  <w:r>
                    <w:rPr>
                      <w:color w:val="000000" w:themeColor="text1"/>
                      <w14:textFill>
                        <w14:solidFill>
                          <w14:schemeClr w14:val="tx1"/>
                        </w14:solidFill>
                      </w14:textFill>
                    </w:rPr>
                    <w:t>(十)其他破坏基本农田的行为。</w:t>
                  </w:r>
                </w:p>
                <w:p w14:paraId="4C1DBC87">
                  <w:pPr>
                    <w:rPr>
                      <w:color w:val="000000" w:themeColor="text1"/>
                      <w14:textFill>
                        <w14:solidFill>
                          <w14:schemeClr w14:val="tx1"/>
                        </w14:solidFill>
                      </w14:textFill>
                    </w:rPr>
                  </w:pPr>
                  <w:r>
                    <w:rPr>
                      <w:color w:val="000000" w:themeColor="text1"/>
                      <w14:textFill>
                        <w14:solidFill>
                          <w14:schemeClr w14:val="tx1"/>
                        </w14:solidFill>
                      </w14:textFill>
                    </w:rPr>
                    <w:t>7在基本农田保护区内不得设立非农业开发区和工业小区。</w:t>
                  </w:r>
                </w:p>
                <w:p w14:paraId="06EFEB95">
                  <w:pPr>
                    <w:rPr>
                      <w:b/>
                      <w:bCs/>
                      <w:color w:val="000000" w:themeColor="text1"/>
                      <w14:textFill>
                        <w14:solidFill>
                          <w14:schemeClr w14:val="tx1"/>
                        </w14:solidFill>
                      </w14:textFill>
                    </w:rPr>
                  </w:pPr>
                  <w:r>
                    <w:rPr>
                      <w:color w:val="000000" w:themeColor="text1"/>
                      <w14:textFill>
                        <w14:solidFill>
                          <w14:schemeClr w14:val="tx1"/>
                        </w14:solidFill>
                      </w14:textFill>
                    </w:rPr>
                    <w:t>8依法划定特定农产品禁止生产区域，严禁种植食用农产品</w:t>
                  </w:r>
                </w:p>
              </w:tc>
              <w:tc>
                <w:tcPr>
                  <w:tcW w:w="670" w:type="dxa"/>
                  <w:vAlign w:val="center"/>
                </w:tcPr>
                <w:p w14:paraId="31D85A7B">
                  <w:pPr>
                    <w:jc w:val="center"/>
                    <w:rPr>
                      <w:b/>
                      <w:bCs/>
                      <w:color w:val="000000" w:themeColor="text1"/>
                      <w14:textFill>
                        <w14:solidFill>
                          <w14:schemeClr w14:val="tx1"/>
                        </w14:solidFill>
                      </w14:textFill>
                    </w:rPr>
                  </w:pPr>
                  <w:r>
                    <w:rPr>
                      <w:color w:val="000000" w:themeColor="text1"/>
                      <w14:textFill>
                        <w14:solidFill>
                          <w14:schemeClr w14:val="tx1"/>
                        </w14:solidFill>
                      </w14:textFill>
                    </w:rPr>
                    <w:t>不属于</w:t>
                  </w:r>
                </w:p>
              </w:tc>
            </w:tr>
            <w:tr w14:paraId="4F419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trPr>
              <w:tc>
                <w:tcPr>
                  <w:tcW w:w="443" w:type="dxa"/>
                  <w:vMerge w:val="continue"/>
                  <w:vAlign w:val="center"/>
                </w:tcPr>
                <w:p w14:paraId="55B8CBFD">
                  <w:pPr>
                    <w:rPr>
                      <w:color w:val="000000" w:themeColor="text1"/>
                      <w14:textFill>
                        <w14:solidFill>
                          <w14:schemeClr w14:val="tx1"/>
                        </w14:solidFill>
                      </w14:textFill>
                    </w:rPr>
                  </w:pPr>
                </w:p>
              </w:tc>
              <w:tc>
                <w:tcPr>
                  <w:tcW w:w="443" w:type="dxa"/>
                  <w:vMerge w:val="continue"/>
                  <w:vAlign w:val="center"/>
                </w:tcPr>
                <w:p w14:paraId="42978E09">
                  <w:pPr>
                    <w:rPr>
                      <w:color w:val="000000" w:themeColor="text1"/>
                      <w14:textFill>
                        <w14:solidFill>
                          <w14:schemeClr w14:val="tx1"/>
                        </w14:solidFill>
                      </w14:textFill>
                    </w:rPr>
                  </w:pPr>
                </w:p>
              </w:tc>
              <w:tc>
                <w:tcPr>
                  <w:tcW w:w="1077" w:type="dxa"/>
                  <w:vAlign w:val="center"/>
                </w:tcPr>
                <w:p w14:paraId="29EEC032">
                  <w:pPr>
                    <w:jc w:val="center"/>
                    <w:rPr>
                      <w:color w:val="000000" w:themeColor="text1"/>
                      <w14:textFill>
                        <w14:solidFill>
                          <w14:schemeClr w14:val="tx1"/>
                        </w14:solidFill>
                      </w14:textFill>
                    </w:rPr>
                  </w:pPr>
                  <w:r>
                    <w:rPr>
                      <w:color w:val="000000" w:themeColor="text1"/>
                      <w14:textFill>
                        <w14:solidFill>
                          <w14:schemeClr w14:val="tx1"/>
                        </w14:solidFill>
                      </w14:textFill>
                    </w:rPr>
                    <w:t>允许开发建设活动的要求</w:t>
                  </w:r>
                </w:p>
              </w:tc>
              <w:tc>
                <w:tcPr>
                  <w:tcW w:w="4966" w:type="dxa"/>
                  <w:vAlign w:val="center"/>
                </w:tcPr>
                <w:p w14:paraId="06C3C11D">
                  <w:pPr>
                    <w:rPr>
                      <w:color w:val="000000" w:themeColor="text1"/>
                      <w14:textFill>
                        <w14:solidFill>
                          <w14:schemeClr w14:val="tx1"/>
                        </w14:solidFill>
                      </w14:textFill>
                    </w:rPr>
                  </w:pPr>
                  <w:r>
                    <w:rPr>
                      <w:color w:val="000000" w:themeColor="text1"/>
                      <w14:textFill>
                        <w14:solidFill>
                          <w14:schemeClr w14:val="tx1"/>
                        </w14:solidFill>
                      </w14:textFill>
                    </w:rPr>
                    <w:t>9高标准农田建设项目向优先保护类耕地集中的地区倾斜。</w:t>
                  </w:r>
                </w:p>
                <w:p w14:paraId="39F42E4C">
                  <w:pPr>
                    <w:rPr>
                      <w:color w:val="000000" w:themeColor="text1"/>
                      <w14:textFill>
                        <w14:solidFill>
                          <w14:schemeClr w14:val="tx1"/>
                        </w14:solidFill>
                      </w14:textFill>
                    </w:rPr>
                  </w:pPr>
                  <w:r>
                    <w:rPr>
                      <w:color w:val="000000" w:themeColor="text1"/>
                      <w14:textFill>
                        <w14:solidFill>
                          <w14:schemeClr w14:val="tx1"/>
                        </w14:solidFill>
                      </w14:textFill>
                    </w:rPr>
                    <w:t>10提倡和鼓励农业生产者对其经营的基本农田施用有机肥料，合理施用化肥和农药。利用基本农田从事农业生产的单位和个人应当保持和培肥地力。</w:t>
                  </w:r>
                </w:p>
              </w:tc>
              <w:tc>
                <w:tcPr>
                  <w:tcW w:w="670" w:type="dxa"/>
                  <w:vAlign w:val="center"/>
                </w:tcPr>
                <w:p w14:paraId="455BE5F7">
                  <w:pPr>
                    <w:jc w:val="center"/>
                    <w:rPr>
                      <w:color w:val="000000" w:themeColor="text1"/>
                      <w14:textFill>
                        <w14:solidFill>
                          <w14:schemeClr w14:val="tx1"/>
                        </w14:solidFill>
                      </w14:textFill>
                    </w:rPr>
                  </w:pPr>
                  <w:r>
                    <w:rPr>
                      <w:color w:val="000000" w:themeColor="text1"/>
                      <w14:textFill>
                        <w14:solidFill>
                          <w14:schemeClr w14:val="tx1"/>
                        </w14:solidFill>
                      </w14:textFill>
                    </w:rPr>
                    <w:t>不属于</w:t>
                  </w:r>
                </w:p>
              </w:tc>
            </w:tr>
            <w:tr w14:paraId="2306C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4" w:hRule="atLeast"/>
              </w:trPr>
              <w:tc>
                <w:tcPr>
                  <w:tcW w:w="443" w:type="dxa"/>
                  <w:vMerge w:val="continue"/>
                  <w:vAlign w:val="center"/>
                </w:tcPr>
                <w:p w14:paraId="73E205A1">
                  <w:pPr>
                    <w:rPr>
                      <w:color w:val="000000" w:themeColor="text1"/>
                      <w14:textFill>
                        <w14:solidFill>
                          <w14:schemeClr w14:val="tx1"/>
                        </w14:solidFill>
                      </w14:textFill>
                    </w:rPr>
                  </w:pPr>
                </w:p>
              </w:tc>
              <w:tc>
                <w:tcPr>
                  <w:tcW w:w="443" w:type="dxa"/>
                  <w:vMerge w:val="continue"/>
                  <w:vAlign w:val="center"/>
                </w:tcPr>
                <w:p w14:paraId="0F204FCE">
                  <w:pPr>
                    <w:rPr>
                      <w:color w:val="000000" w:themeColor="text1"/>
                      <w14:textFill>
                        <w14:solidFill>
                          <w14:schemeClr w14:val="tx1"/>
                        </w14:solidFill>
                      </w14:textFill>
                    </w:rPr>
                  </w:pPr>
                </w:p>
              </w:tc>
              <w:tc>
                <w:tcPr>
                  <w:tcW w:w="1077" w:type="dxa"/>
                  <w:vAlign w:val="center"/>
                </w:tcPr>
                <w:p w14:paraId="51B2FA09">
                  <w:pPr>
                    <w:jc w:val="center"/>
                    <w:rPr>
                      <w:color w:val="000000" w:themeColor="text1"/>
                      <w14:textFill>
                        <w14:solidFill>
                          <w14:schemeClr w14:val="tx1"/>
                        </w14:solidFill>
                      </w14:textFill>
                    </w:rPr>
                  </w:pPr>
                  <w:r>
                    <w:rPr>
                      <w:color w:val="000000" w:themeColor="text1"/>
                      <w14:textFill>
                        <w14:solidFill>
                          <w14:schemeClr w14:val="tx1"/>
                        </w14:solidFill>
                      </w14:textFill>
                    </w:rPr>
                    <w:t>限制开发建设活动的要求</w:t>
                  </w:r>
                </w:p>
              </w:tc>
              <w:tc>
                <w:tcPr>
                  <w:tcW w:w="4966" w:type="dxa"/>
                  <w:vAlign w:val="center"/>
                </w:tcPr>
                <w:p w14:paraId="0DD37318">
                  <w:pPr>
                    <w:rPr>
                      <w:color w:val="000000" w:themeColor="text1"/>
                      <w14:textFill>
                        <w14:solidFill>
                          <w14:schemeClr w14:val="tx1"/>
                        </w14:solidFill>
                      </w14:textFill>
                    </w:rPr>
                  </w:pPr>
                  <w:r>
                    <w:rPr>
                      <w:color w:val="000000" w:themeColor="text1"/>
                      <w14:textFill>
                        <w14:solidFill>
                          <w14:schemeClr w14:val="tx1"/>
                        </w14:solidFill>
                      </w14:textFill>
                    </w:rPr>
                    <w:t>11实行严格保护，确保其面积不减少、土壤环境质量不下降，除法律规定的重要建设项目选址确实无法避让外，其他任何建设不得占用。</w:t>
                  </w:r>
                </w:p>
                <w:p w14:paraId="70DDA8DD">
                  <w:pPr>
                    <w:rPr>
                      <w:color w:val="000000" w:themeColor="text1"/>
                      <w14:textFill>
                        <w14:solidFill>
                          <w14:schemeClr w14:val="tx1"/>
                        </w14:solidFill>
                      </w14:textFill>
                    </w:rPr>
                  </w:pPr>
                  <w:r>
                    <w:rPr>
                      <w:color w:val="000000" w:themeColor="text1"/>
                      <w14:textFill>
                        <w14:solidFill>
                          <w14:schemeClr w14:val="tx1"/>
                        </w14:solidFill>
                      </w14:textFill>
                    </w:rPr>
                    <w:t>12严格控制在优先保护类耕地集中区域新建有色金属冶炼、石油加工、化工、焦化、电镀、制革等行业企业，现有相关行业企业要采用新技术、新工艺，加快提标升级改造步伐。</w:t>
                  </w:r>
                </w:p>
              </w:tc>
              <w:tc>
                <w:tcPr>
                  <w:tcW w:w="670" w:type="dxa"/>
                  <w:vAlign w:val="center"/>
                </w:tcPr>
                <w:p w14:paraId="6FDB21D5">
                  <w:pPr>
                    <w:jc w:val="center"/>
                    <w:rPr>
                      <w:color w:val="000000" w:themeColor="text1"/>
                      <w14:textFill>
                        <w14:solidFill>
                          <w14:schemeClr w14:val="tx1"/>
                        </w14:solidFill>
                      </w14:textFill>
                    </w:rPr>
                  </w:pPr>
                  <w:r>
                    <w:rPr>
                      <w:color w:val="000000" w:themeColor="text1"/>
                      <w14:textFill>
                        <w14:solidFill>
                          <w14:schemeClr w14:val="tx1"/>
                        </w14:solidFill>
                      </w14:textFill>
                    </w:rPr>
                    <w:t>不属于</w:t>
                  </w:r>
                </w:p>
              </w:tc>
            </w:tr>
            <w:tr w14:paraId="5CB79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trPr>
              <w:tc>
                <w:tcPr>
                  <w:tcW w:w="443" w:type="dxa"/>
                  <w:vMerge w:val="continue"/>
                  <w:vAlign w:val="center"/>
                </w:tcPr>
                <w:p w14:paraId="70CD7027">
                  <w:pPr>
                    <w:rPr>
                      <w:color w:val="000000" w:themeColor="text1"/>
                      <w14:textFill>
                        <w14:solidFill>
                          <w14:schemeClr w14:val="tx1"/>
                        </w14:solidFill>
                      </w14:textFill>
                    </w:rPr>
                  </w:pPr>
                </w:p>
              </w:tc>
              <w:tc>
                <w:tcPr>
                  <w:tcW w:w="443" w:type="dxa"/>
                  <w:vMerge w:val="continue"/>
                  <w:vAlign w:val="center"/>
                </w:tcPr>
                <w:p w14:paraId="3844A3E5">
                  <w:pPr>
                    <w:rPr>
                      <w:color w:val="000000" w:themeColor="text1"/>
                      <w14:textFill>
                        <w14:solidFill>
                          <w14:schemeClr w14:val="tx1"/>
                        </w14:solidFill>
                      </w14:textFill>
                    </w:rPr>
                  </w:pPr>
                </w:p>
              </w:tc>
              <w:tc>
                <w:tcPr>
                  <w:tcW w:w="1077" w:type="dxa"/>
                  <w:vAlign w:val="center"/>
                </w:tcPr>
                <w:p w14:paraId="447DD587">
                  <w:pPr>
                    <w:jc w:val="center"/>
                    <w:rPr>
                      <w:color w:val="000000" w:themeColor="text1"/>
                      <w14:textFill>
                        <w14:solidFill>
                          <w14:schemeClr w14:val="tx1"/>
                        </w14:solidFill>
                      </w14:textFill>
                    </w:rPr>
                  </w:pPr>
                  <w:r>
                    <w:rPr>
                      <w:color w:val="000000" w:themeColor="text1"/>
                      <w14:textFill>
                        <w14:solidFill>
                          <w14:schemeClr w14:val="tx1"/>
                        </w14:solidFill>
                      </w14:textFill>
                    </w:rPr>
                    <w:t>不符合空间布局要求活动的退出要求</w:t>
                  </w:r>
                </w:p>
              </w:tc>
              <w:tc>
                <w:tcPr>
                  <w:tcW w:w="4966" w:type="dxa"/>
                  <w:vAlign w:val="center"/>
                </w:tcPr>
                <w:p w14:paraId="300EC385">
                  <w:pPr>
                    <w:rPr>
                      <w:color w:val="000000" w:themeColor="text1"/>
                      <w14:textFill>
                        <w14:solidFill>
                          <w14:schemeClr w14:val="tx1"/>
                        </w14:solidFill>
                      </w14:textFill>
                    </w:rPr>
                  </w:pPr>
                  <w:r>
                    <w:rPr>
                      <w:color w:val="000000" w:themeColor="text1"/>
                      <w14:textFill>
                        <w14:solidFill>
                          <w14:schemeClr w14:val="tx1"/>
                        </w14:solidFill>
                      </w14:textFill>
                    </w:rPr>
                    <w:t>13在永久基本农田集中区域，已建成可能造成土壤污染的建设项目，应当限期关闭拆除。</w:t>
                  </w:r>
                </w:p>
                <w:p w14:paraId="0AE67707">
                  <w:pPr>
                    <w:rPr>
                      <w:color w:val="000000" w:themeColor="text1"/>
                      <w14:textFill>
                        <w14:solidFill>
                          <w14:schemeClr w14:val="tx1"/>
                        </w14:solidFill>
                      </w14:textFill>
                    </w:rPr>
                  </w:pPr>
                </w:p>
              </w:tc>
              <w:tc>
                <w:tcPr>
                  <w:tcW w:w="670" w:type="dxa"/>
                  <w:vAlign w:val="center"/>
                </w:tcPr>
                <w:p w14:paraId="55BA46CE">
                  <w:pPr>
                    <w:jc w:val="center"/>
                    <w:rPr>
                      <w:color w:val="000000" w:themeColor="text1"/>
                      <w14:textFill>
                        <w14:solidFill>
                          <w14:schemeClr w14:val="tx1"/>
                        </w14:solidFill>
                      </w14:textFill>
                    </w:rPr>
                  </w:pPr>
                  <w:r>
                    <w:rPr>
                      <w:color w:val="000000" w:themeColor="text1"/>
                      <w14:textFill>
                        <w14:solidFill>
                          <w14:schemeClr w14:val="tx1"/>
                        </w14:solidFill>
                      </w14:textFill>
                    </w:rPr>
                    <w:t>不属于</w:t>
                  </w:r>
                </w:p>
              </w:tc>
            </w:tr>
            <w:tr w14:paraId="0731C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4" w:hRule="atLeast"/>
              </w:trPr>
              <w:tc>
                <w:tcPr>
                  <w:tcW w:w="443" w:type="dxa"/>
                  <w:vAlign w:val="center"/>
                </w:tcPr>
                <w:p w14:paraId="14DABF0C">
                  <w:pPr>
                    <w:rPr>
                      <w:color w:val="000000" w:themeColor="text1"/>
                      <w14:textFill>
                        <w14:solidFill>
                          <w14:schemeClr w14:val="tx1"/>
                        </w14:solidFill>
                      </w14:textFill>
                    </w:rPr>
                  </w:pPr>
                </w:p>
              </w:tc>
              <w:tc>
                <w:tcPr>
                  <w:tcW w:w="443" w:type="dxa"/>
                  <w:vAlign w:val="center"/>
                </w:tcPr>
                <w:p w14:paraId="12F5065B">
                  <w:pPr>
                    <w:rPr>
                      <w:color w:val="000000" w:themeColor="text1"/>
                      <w14:textFill>
                        <w14:solidFill>
                          <w14:schemeClr w14:val="tx1"/>
                        </w14:solidFill>
                      </w14:textFill>
                    </w:rPr>
                  </w:pPr>
                  <w:r>
                    <w:rPr>
                      <w:color w:val="000000" w:themeColor="text1"/>
                      <w14:textFill>
                        <w14:solidFill>
                          <w14:schemeClr w14:val="tx1"/>
                        </w14:solidFill>
                      </w14:textFill>
                    </w:rPr>
                    <w:t>环境风险防控</w:t>
                  </w:r>
                </w:p>
              </w:tc>
              <w:tc>
                <w:tcPr>
                  <w:tcW w:w="1077" w:type="dxa"/>
                  <w:vAlign w:val="center"/>
                </w:tcPr>
                <w:p w14:paraId="6AEDE86C">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4966" w:type="dxa"/>
                  <w:vAlign w:val="center"/>
                </w:tcPr>
                <w:p w14:paraId="230DD14B">
                  <w:pPr>
                    <w:rPr>
                      <w:color w:val="000000" w:themeColor="text1"/>
                      <w14:textFill>
                        <w14:solidFill>
                          <w14:schemeClr w14:val="tx1"/>
                        </w14:solidFill>
                      </w14:textFill>
                    </w:rPr>
                  </w:pPr>
                  <w:r>
                    <w:rPr>
                      <w:color w:val="000000" w:themeColor="text1"/>
                      <w14:textFill>
                        <w14:solidFill>
                          <w14:schemeClr w14:val="tx1"/>
                        </w14:solidFill>
                      </w14:textFill>
                    </w:rPr>
                    <w:t>15推行秸秆还田、增施有机肥、少耕免耕、粮豆轮作、农膜减量与回收利用等措施。</w:t>
                  </w:r>
                </w:p>
                <w:p w14:paraId="0D0B034D">
                  <w:pPr>
                    <w:rPr>
                      <w:color w:val="000000" w:themeColor="text1"/>
                      <w14:textFill>
                        <w14:solidFill>
                          <w14:schemeClr w14:val="tx1"/>
                        </w14:solidFill>
                      </w14:textFill>
                    </w:rPr>
                  </w:pPr>
                  <w:r>
                    <w:rPr>
                      <w:color w:val="000000" w:themeColor="text1"/>
                      <w14:textFill>
                        <w14:solidFill>
                          <w14:schemeClr w14:val="tx1"/>
                        </w14:solidFill>
                      </w14:textFill>
                    </w:rPr>
                    <w:t>16农村土地流转的受让方要履行土壤保护的责任，避免因过度施肥、滥用农药等掠夺式农业生产方式造成土壤环境质量下降。</w:t>
                  </w:r>
                </w:p>
                <w:p w14:paraId="628B1FCC">
                  <w:pPr>
                    <w:rPr>
                      <w:color w:val="000000" w:themeColor="text1"/>
                      <w14:textFill>
                        <w14:solidFill>
                          <w14:schemeClr w14:val="tx1"/>
                        </w14:solidFill>
                      </w14:textFill>
                    </w:rPr>
                  </w:pPr>
                  <w:r>
                    <w:rPr>
                      <w:color w:val="000000" w:themeColor="text1"/>
                      <w14:textFill>
                        <w14:solidFill>
                          <w14:schemeClr w14:val="tx1"/>
                        </w14:solidFill>
                      </w14:textFill>
                    </w:rPr>
                    <w:t>17对难以有效切断重金属污染途径，且土壤重金属污染严重、农产品重金属超标问题突出的耕地，要及时划入严格管控类，实施严格管控措施，降低农产品镉等重金属超标风险。</w:t>
                  </w:r>
                </w:p>
              </w:tc>
              <w:tc>
                <w:tcPr>
                  <w:tcW w:w="670" w:type="dxa"/>
                  <w:vAlign w:val="center"/>
                </w:tcPr>
                <w:p w14:paraId="1A0385D8">
                  <w:pPr>
                    <w:jc w:val="center"/>
                    <w:rPr>
                      <w:color w:val="000000" w:themeColor="text1"/>
                      <w14:textFill>
                        <w14:solidFill>
                          <w14:schemeClr w14:val="tx1"/>
                        </w14:solidFill>
                      </w14:textFill>
                    </w:rPr>
                  </w:pPr>
                  <w:r>
                    <w:rPr>
                      <w:color w:val="000000" w:themeColor="text1"/>
                      <w14:textFill>
                        <w14:solidFill>
                          <w14:schemeClr w14:val="tx1"/>
                        </w14:solidFill>
                      </w14:textFill>
                    </w:rPr>
                    <w:t>不属于</w:t>
                  </w:r>
                </w:p>
              </w:tc>
            </w:tr>
            <w:tr w14:paraId="00AEF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963" w:type="dxa"/>
                  <w:gridSpan w:val="3"/>
                  <w:vAlign w:val="center"/>
                </w:tcPr>
                <w:p w14:paraId="59A19CF5">
                  <w:pPr>
                    <w:rPr>
                      <w:color w:val="000000" w:themeColor="text1"/>
                      <w14:textFill>
                        <w14:solidFill>
                          <w14:schemeClr w14:val="tx1"/>
                        </w14:solidFill>
                      </w14:textFill>
                    </w:rPr>
                  </w:pPr>
                  <w:r>
                    <w:rPr>
                      <w:color w:val="000000" w:themeColor="text1"/>
                      <w14:textFill>
                        <w14:solidFill>
                          <w14:schemeClr w14:val="tx1"/>
                        </w14:solidFill>
                      </w14:textFill>
                    </w:rPr>
                    <w:t>其他一般管控单元</w:t>
                  </w:r>
                </w:p>
              </w:tc>
              <w:tc>
                <w:tcPr>
                  <w:tcW w:w="4966" w:type="dxa"/>
                  <w:vAlign w:val="center"/>
                </w:tcPr>
                <w:p w14:paraId="532DD4E7">
                  <w:pPr>
                    <w:rPr>
                      <w:color w:val="000000" w:themeColor="text1"/>
                      <w14:textFill>
                        <w14:solidFill>
                          <w14:schemeClr w14:val="tx1"/>
                        </w14:solidFill>
                      </w14:textFill>
                    </w:rPr>
                  </w:pPr>
                  <w:r>
                    <w:rPr>
                      <w:color w:val="000000" w:themeColor="text1"/>
                      <w14:textFill>
                        <w14:solidFill>
                          <w14:schemeClr w14:val="tx1"/>
                        </w14:solidFill>
                      </w14:textFill>
                    </w:rPr>
                    <w:t>一般管控单元内，执行现有法律法规和政策文件。</w:t>
                  </w:r>
                </w:p>
              </w:tc>
              <w:tc>
                <w:tcPr>
                  <w:tcW w:w="670" w:type="dxa"/>
                  <w:vAlign w:val="center"/>
                </w:tcPr>
                <w:p w14:paraId="06CDF73A">
                  <w:pPr>
                    <w:jc w:val="center"/>
                    <w:rPr>
                      <w:color w:val="000000" w:themeColor="text1"/>
                      <w14:textFill>
                        <w14:solidFill>
                          <w14:schemeClr w14:val="tx1"/>
                        </w14:solidFill>
                      </w14:textFill>
                    </w:rPr>
                  </w:pPr>
                  <w:r>
                    <w:rPr>
                      <w:color w:val="000000" w:themeColor="text1"/>
                      <w14:textFill>
                        <w14:solidFill>
                          <w14:schemeClr w14:val="tx1"/>
                        </w14:solidFill>
                      </w14:textFill>
                    </w:rPr>
                    <w:t>符合</w:t>
                  </w:r>
                </w:p>
              </w:tc>
            </w:tr>
          </w:tbl>
          <w:p w14:paraId="403FC76F">
            <w:pPr>
              <w:autoSpaceDE w:val="0"/>
              <w:autoSpaceDN w:val="0"/>
              <w:spacing w:line="360" w:lineRule="auto"/>
              <w:ind w:firstLine="480" w:firstLineChars="200"/>
              <w:rPr>
                <w:sz w:val="24"/>
              </w:rPr>
            </w:pPr>
            <w:r>
              <w:rPr>
                <w:sz w:val="24"/>
              </w:rPr>
              <w:t>本项目评价区域内</w:t>
            </w:r>
            <w:r>
              <w:rPr>
                <w:rFonts w:hint="eastAsia"/>
                <w:sz w:val="24"/>
                <w:lang w:val="en-US" w:eastAsia="zh-CN"/>
              </w:rPr>
              <w:t>新濉河</w:t>
            </w:r>
            <w:r>
              <w:rPr>
                <w:sz w:val="24"/>
              </w:rPr>
              <w:t>水体满足《地表水环境质量标准》（GB3838-2002）中的Ⅳ类标准限值要求；声环境达到《声环境质量标准》（GB3096-2008）3类区标准；除PM</w:t>
            </w:r>
            <w:r>
              <w:rPr>
                <w:sz w:val="24"/>
                <w:vertAlign w:val="subscript"/>
              </w:rPr>
              <w:t>10</w:t>
            </w:r>
            <w:r>
              <w:rPr>
                <w:sz w:val="24"/>
              </w:rPr>
              <w:t>、O</w:t>
            </w:r>
            <w:r>
              <w:rPr>
                <w:sz w:val="24"/>
                <w:vertAlign w:val="subscript"/>
              </w:rPr>
              <w:t>3</w:t>
            </w:r>
            <w:r>
              <w:rPr>
                <w:sz w:val="24"/>
              </w:rPr>
              <w:t>、PM</w:t>
            </w:r>
            <w:r>
              <w:rPr>
                <w:sz w:val="24"/>
                <w:vertAlign w:val="subscript"/>
              </w:rPr>
              <w:t>2.5</w:t>
            </w:r>
            <w:r>
              <w:rPr>
                <w:sz w:val="24"/>
              </w:rPr>
              <w:t>外，其他基本因子均满足《环境空气质量标准》（GB3095-2012）中二级标准限值，属于非达标区。</w:t>
            </w:r>
          </w:p>
          <w:p w14:paraId="2EB37A7A">
            <w:pPr>
              <w:autoSpaceDE w:val="0"/>
              <w:autoSpaceDN w:val="0"/>
              <w:spacing w:line="360" w:lineRule="auto"/>
              <w:ind w:firstLine="480" w:firstLineChars="200"/>
              <w:jc w:val="left"/>
              <w:rPr>
                <w:sz w:val="24"/>
              </w:rPr>
            </w:pPr>
            <w:r>
              <w:rPr>
                <w:sz w:val="24"/>
              </w:rPr>
              <w:t>本项目废水、废气、固废均得到合理处置，噪声对周边影响较小，不会突破项目所在地的环境质量底线。因此，项目的建设符合环境质量底线标准。</w:t>
            </w:r>
          </w:p>
          <w:p w14:paraId="7CB47AA9">
            <w:pPr>
              <w:autoSpaceDE w:val="0"/>
              <w:autoSpaceDN w:val="0"/>
              <w:spacing w:line="360" w:lineRule="auto"/>
              <w:ind w:firstLine="480" w:firstLineChars="200"/>
              <w:jc w:val="left"/>
              <w:rPr>
                <w:kern w:val="0"/>
                <w:sz w:val="24"/>
              </w:rPr>
            </w:pPr>
            <w:r>
              <w:rPr>
                <w:kern w:val="0"/>
                <w:sz w:val="24"/>
              </w:rPr>
              <w:t>（3）资源利用上线</w:t>
            </w:r>
          </w:p>
          <w:p w14:paraId="32D2A419">
            <w:pPr>
              <w:autoSpaceDE w:val="0"/>
              <w:autoSpaceDN w:val="0"/>
              <w:spacing w:line="360" w:lineRule="auto"/>
              <w:ind w:firstLine="480" w:firstLineChars="200"/>
              <w:jc w:val="left"/>
              <w:rPr>
                <w:kern w:val="0"/>
                <w:sz w:val="24"/>
              </w:rPr>
            </w:pPr>
            <w:r>
              <w:rPr>
                <w:kern w:val="0"/>
                <w:sz w:val="24"/>
              </w:rPr>
              <w:t>本项目用水来市政管网，项目用电由市政电网所供给，对当地的资源利用现状影响较小。</w:t>
            </w:r>
          </w:p>
          <w:p w14:paraId="55EE32EA">
            <w:pPr>
              <w:autoSpaceDE w:val="0"/>
              <w:autoSpaceDN w:val="0"/>
              <w:spacing w:line="360" w:lineRule="auto"/>
              <w:ind w:firstLine="480" w:firstLineChars="200"/>
              <w:jc w:val="left"/>
              <w:rPr>
                <w:kern w:val="0"/>
                <w:sz w:val="24"/>
              </w:rPr>
            </w:pPr>
            <w:r>
              <w:rPr>
                <w:kern w:val="0"/>
                <w:sz w:val="24"/>
              </w:rPr>
              <w:t>（4）环境准入负面清单</w:t>
            </w:r>
          </w:p>
          <w:p w14:paraId="7B51B601">
            <w:pPr>
              <w:pStyle w:val="91"/>
            </w:pPr>
            <w:r>
              <w:t>根据《安徽省“三线一单”生态环境分区管控管理办法（暂行）》，本项目属于“重点管控单元”，编码为“</w:t>
            </w:r>
            <w:r>
              <w:rPr>
                <w:rFonts w:hint="eastAsia"/>
              </w:rPr>
              <w:t>ZH34130220013</w:t>
            </w:r>
            <w:r>
              <w:t>”。</w:t>
            </w:r>
          </w:p>
          <w:p w14:paraId="3FA9D87C">
            <w:pPr>
              <w:pStyle w:val="12"/>
              <w:spacing w:before="0" w:after="0" w:line="360" w:lineRule="auto"/>
              <w:ind w:right="0" w:firstLine="480" w:firstLineChars="200"/>
              <w:rPr>
                <w:rFonts w:ascii="Times New Roman" w:hAnsi="Times New Roman" w:cs="Times New Roman"/>
                <w:b/>
                <w:sz w:val="21"/>
                <w:szCs w:val="21"/>
              </w:rPr>
            </w:pPr>
            <w:r>
              <w:rPr>
                <w:rFonts w:ascii="Times New Roman" w:hAnsi="Times New Roman" w:cs="Times New Roman"/>
                <w:bCs/>
                <w:sz w:val="24"/>
                <w:szCs w:val="24"/>
              </w:rPr>
              <w:t>本项目涉及的环境管控单元见下表1-3。</w:t>
            </w:r>
          </w:p>
          <w:p w14:paraId="19982961">
            <w:pPr>
              <w:spacing w:line="360" w:lineRule="auto"/>
              <w:jc w:val="center"/>
              <w:rPr>
                <w:rFonts w:ascii="Times New Roman" w:hAnsi="Times New Roman" w:cs="Times New Roman"/>
                <w:b/>
                <w:bCs/>
                <w:sz w:val="21"/>
                <w:szCs w:val="21"/>
              </w:rPr>
            </w:pPr>
            <w:r>
              <w:rPr>
                <w:rFonts w:ascii="Times New Roman" w:hAnsi="Times New Roman" w:cs="Times New Roman"/>
                <w:b/>
                <w:bCs/>
                <w:sz w:val="21"/>
                <w:szCs w:val="21"/>
              </w:rPr>
              <w:t>表1-</w:t>
            </w:r>
            <w:r>
              <w:rPr>
                <w:rFonts w:hint="eastAsia" w:cs="Times New Roman"/>
                <w:b/>
                <w:bCs/>
                <w:sz w:val="21"/>
                <w:szCs w:val="21"/>
                <w:lang w:val="en-US" w:eastAsia="zh-CN"/>
              </w:rPr>
              <w:t>4</w:t>
            </w:r>
            <w:r>
              <w:rPr>
                <w:rFonts w:ascii="Times New Roman" w:hAnsi="Times New Roman" w:cs="Times New Roman"/>
                <w:b/>
                <w:bCs/>
                <w:sz w:val="21"/>
                <w:szCs w:val="21"/>
              </w:rPr>
              <w:t>项目涉及环境管控单元一览表</w:t>
            </w:r>
          </w:p>
          <w:tbl>
            <w:tblPr>
              <w:tblStyle w:val="28"/>
              <w:tblW w:w="5000" w:type="pct"/>
              <w:tblInd w:w="0" w:type="dxa"/>
              <w:tblBorders>
                <w:top w:val="single" w:color="0D0D0D" w:sz="12" w:space="0"/>
                <w:left w:val="none" w:color="auto" w:sz="0" w:space="0"/>
                <w:bottom w:val="single" w:color="0D0D0D" w:sz="12" w:space="0"/>
                <w:right w:val="none" w:color="auto" w:sz="0" w:space="0"/>
                <w:insideH w:val="single" w:color="0D0D0D" w:sz="4" w:space="0"/>
                <w:insideV w:val="single" w:color="0D0D0D" w:sz="4" w:space="0"/>
              </w:tblBorders>
              <w:tblLayout w:type="fixed"/>
              <w:tblCellMar>
                <w:top w:w="0" w:type="dxa"/>
                <w:left w:w="108" w:type="dxa"/>
                <w:bottom w:w="0" w:type="dxa"/>
                <w:right w:w="108" w:type="dxa"/>
              </w:tblCellMar>
            </w:tblPr>
            <w:tblGrid>
              <w:gridCol w:w="1863"/>
              <w:gridCol w:w="1224"/>
              <w:gridCol w:w="1003"/>
              <w:gridCol w:w="944"/>
              <w:gridCol w:w="927"/>
              <w:gridCol w:w="1828"/>
            </w:tblGrid>
            <w:tr w14:paraId="2310EF0F">
              <w:tblPrEx>
                <w:tblBorders>
                  <w:top w:val="single" w:color="0D0D0D" w:sz="12" w:space="0"/>
                  <w:left w:val="none" w:color="auto" w:sz="0" w:space="0"/>
                  <w:bottom w:val="single" w:color="0D0D0D" w:sz="12" w:space="0"/>
                  <w:right w:val="none" w:color="auto" w:sz="0" w:space="0"/>
                  <w:insideH w:val="single" w:color="0D0D0D" w:sz="4" w:space="0"/>
                  <w:insideV w:val="single" w:color="0D0D0D" w:sz="4" w:space="0"/>
                </w:tblBorders>
                <w:tblCellMar>
                  <w:top w:w="0" w:type="dxa"/>
                  <w:left w:w="108" w:type="dxa"/>
                  <w:bottom w:w="0" w:type="dxa"/>
                  <w:right w:w="108" w:type="dxa"/>
                </w:tblCellMar>
              </w:tblPrEx>
              <w:tc>
                <w:tcPr>
                  <w:tcW w:w="1196" w:type="pct"/>
                  <w:tcBorders>
                    <w:bottom w:val="single" w:color="008000" w:sz="6" w:space="0"/>
                  </w:tcBorders>
                  <w:noWrap w:val="0"/>
                  <w:vAlign w:val="center"/>
                </w:tcPr>
                <w:p w14:paraId="67358F0F">
                  <w:pPr>
                    <w:widowControl w:val="0"/>
                    <w:snapToGrid w:val="0"/>
                    <w:jc w:val="center"/>
                    <w:rPr>
                      <w:rFonts w:ascii="Times New Roman" w:hAnsi="Times New Roman" w:cs="Times New Roman"/>
                      <w:b/>
                      <w:bCs/>
                      <w:sz w:val="21"/>
                      <w:szCs w:val="18"/>
                    </w:rPr>
                  </w:pPr>
                  <w:r>
                    <w:rPr>
                      <w:rFonts w:ascii="Times New Roman" w:hAnsi="Times New Roman" w:cs="Times New Roman"/>
                      <w:b/>
                      <w:bCs/>
                      <w:sz w:val="21"/>
                      <w:szCs w:val="18"/>
                    </w:rPr>
                    <w:t>环境管控单元编码</w:t>
                  </w:r>
                </w:p>
              </w:tc>
              <w:tc>
                <w:tcPr>
                  <w:tcW w:w="786" w:type="pct"/>
                  <w:tcBorders>
                    <w:bottom w:val="single" w:color="008000" w:sz="6" w:space="0"/>
                  </w:tcBorders>
                  <w:noWrap w:val="0"/>
                  <w:vAlign w:val="center"/>
                </w:tcPr>
                <w:p w14:paraId="0276D491">
                  <w:pPr>
                    <w:widowControl w:val="0"/>
                    <w:snapToGrid w:val="0"/>
                    <w:jc w:val="center"/>
                    <w:rPr>
                      <w:rFonts w:ascii="Times New Roman" w:hAnsi="Times New Roman" w:cs="Times New Roman"/>
                      <w:b/>
                      <w:bCs/>
                      <w:sz w:val="21"/>
                      <w:szCs w:val="18"/>
                    </w:rPr>
                  </w:pPr>
                  <w:r>
                    <w:rPr>
                      <w:rFonts w:ascii="Times New Roman" w:hAnsi="Times New Roman" w:cs="Times New Roman"/>
                      <w:b/>
                      <w:bCs/>
                      <w:sz w:val="21"/>
                      <w:szCs w:val="18"/>
                    </w:rPr>
                    <w:t>管控单元分类</w:t>
                  </w:r>
                </w:p>
              </w:tc>
              <w:tc>
                <w:tcPr>
                  <w:tcW w:w="644" w:type="pct"/>
                  <w:tcBorders>
                    <w:bottom w:val="single" w:color="008000" w:sz="6" w:space="0"/>
                  </w:tcBorders>
                  <w:noWrap w:val="0"/>
                  <w:vAlign w:val="center"/>
                </w:tcPr>
                <w:p w14:paraId="12FC1B2C">
                  <w:pPr>
                    <w:widowControl w:val="0"/>
                    <w:snapToGrid w:val="0"/>
                    <w:jc w:val="center"/>
                    <w:rPr>
                      <w:rFonts w:ascii="Times New Roman" w:hAnsi="Times New Roman" w:cs="Times New Roman"/>
                      <w:b/>
                      <w:bCs/>
                      <w:sz w:val="21"/>
                      <w:szCs w:val="18"/>
                    </w:rPr>
                  </w:pPr>
                  <w:r>
                    <w:rPr>
                      <w:rFonts w:ascii="Times New Roman" w:hAnsi="Times New Roman" w:cs="Times New Roman"/>
                      <w:b/>
                      <w:bCs/>
                      <w:sz w:val="21"/>
                      <w:szCs w:val="18"/>
                    </w:rPr>
                    <w:t>省级行政区</w:t>
                  </w:r>
                </w:p>
              </w:tc>
              <w:tc>
                <w:tcPr>
                  <w:tcW w:w="606" w:type="pct"/>
                  <w:tcBorders>
                    <w:bottom w:val="single" w:color="008000" w:sz="6" w:space="0"/>
                  </w:tcBorders>
                  <w:noWrap w:val="0"/>
                  <w:vAlign w:val="center"/>
                </w:tcPr>
                <w:p w14:paraId="627E998B">
                  <w:pPr>
                    <w:widowControl w:val="0"/>
                    <w:snapToGrid w:val="0"/>
                    <w:jc w:val="center"/>
                    <w:rPr>
                      <w:rFonts w:ascii="Times New Roman" w:hAnsi="Times New Roman" w:cs="Times New Roman"/>
                      <w:b/>
                      <w:bCs/>
                      <w:sz w:val="21"/>
                      <w:szCs w:val="18"/>
                    </w:rPr>
                  </w:pPr>
                  <w:r>
                    <w:rPr>
                      <w:rFonts w:ascii="Times New Roman" w:hAnsi="Times New Roman" w:cs="Times New Roman"/>
                      <w:b/>
                      <w:bCs/>
                      <w:sz w:val="21"/>
                      <w:szCs w:val="18"/>
                    </w:rPr>
                    <w:t>市级行政区</w:t>
                  </w:r>
                </w:p>
              </w:tc>
              <w:tc>
                <w:tcPr>
                  <w:tcW w:w="595" w:type="pct"/>
                  <w:tcBorders>
                    <w:bottom w:val="single" w:color="008000" w:sz="6" w:space="0"/>
                  </w:tcBorders>
                  <w:noWrap w:val="0"/>
                  <w:vAlign w:val="center"/>
                </w:tcPr>
                <w:p w14:paraId="45C88B60">
                  <w:pPr>
                    <w:widowControl w:val="0"/>
                    <w:snapToGrid w:val="0"/>
                    <w:jc w:val="center"/>
                    <w:rPr>
                      <w:rFonts w:ascii="Times New Roman" w:hAnsi="Times New Roman" w:cs="Times New Roman"/>
                      <w:b/>
                      <w:bCs/>
                      <w:sz w:val="21"/>
                      <w:szCs w:val="18"/>
                    </w:rPr>
                  </w:pPr>
                  <w:r>
                    <w:rPr>
                      <w:rFonts w:ascii="Times New Roman" w:hAnsi="Times New Roman" w:cs="Times New Roman"/>
                      <w:b/>
                      <w:bCs/>
                      <w:sz w:val="21"/>
                      <w:szCs w:val="18"/>
                    </w:rPr>
                    <w:t>县级行政区</w:t>
                  </w:r>
                </w:p>
              </w:tc>
              <w:tc>
                <w:tcPr>
                  <w:tcW w:w="1173" w:type="pct"/>
                  <w:tcBorders>
                    <w:bottom w:val="single" w:color="008000" w:sz="6" w:space="0"/>
                  </w:tcBorders>
                  <w:noWrap w:val="0"/>
                  <w:vAlign w:val="center"/>
                </w:tcPr>
                <w:p w14:paraId="2437463A">
                  <w:pPr>
                    <w:widowControl w:val="0"/>
                    <w:snapToGrid w:val="0"/>
                    <w:jc w:val="center"/>
                    <w:rPr>
                      <w:rFonts w:ascii="Times New Roman" w:hAnsi="Times New Roman" w:cs="Times New Roman"/>
                      <w:b/>
                      <w:bCs/>
                      <w:sz w:val="21"/>
                      <w:szCs w:val="18"/>
                    </w:rPr>
                  </w:pPr>
                  <w:r>
                    <w:rPr>
                      <w:rFonts w:ascii="Times New Roman" w:hAnsi="Times New Roman" w:cs="Times New Roman"/>
                      <w:b/>
                      <w:bCs/>
                      <w:sz w:val="21"/>
                      <w:szCs w:val="18"/>
                    </w:rPr>
                    <w:t>管控单元细类</w:t>
                  </w:r>
                </w:p>
              </w:tc>
            </w:tr>
            <w:tr w14:paraId="2316E1E4">
              <w:tblPrEx>
                <w:tblBorders>
                  <w:top w:val="single" w:color="0D0D0D" w:sz="12" w:space="0"/>
                  <w:left w:val="none" w:color="auto" w:sz="0" w:space="0"/>
                  <w:bottom w:val="single" w:color="0D0D0D" w:sz="12" w:space="0"/>
                  <w:right w:val="none" w:color="auto" w:sz="0" w:space="0"/>
                  <w:insideH w:val="single" w:color="0D0D0D" w:sz="4" w:space="0"/>
                  <w:insideV w:val="single" w:color="0D0D0D" w:sz="4" w:space="0"/>
                </w:tblBorders>
                <w:tblCellMar>
                  <w:top w:w="0" w:type="dxa"/>
                  <w:left w:w="108" w:type="dxa"/>
                  <w:bottom w:w="0" w:type="dxa"/>
                  <w:right w:w="108" w:type="dxa"/>
                </w:tblCellMar>
              </w:tblPrEx>
              <w:tc>
                <w:tcPr>
                  <w:tcW w:w="1196" w:type="pct"/>
                  <w:noWrap w:val="0"/>
                  <w:vAlign w:val="center"/>
                </w:tcPr>
                <w:p w14:paraId="19E3DB57">
                  <w:pPr>
                    <w:widowControl w:val="0"/>
                    <w:snapToGrid w:val="0"/>
                    <w:jc w:val="center"/>
                    <w:rPr>
                      <w:rFonts w:ascii="Times New Roman" w:hAnsi="Times New Roman" w:cs="Times New Roman"/>
                      <w:sz w:val="21"/>
                      <w:szCs w:val="18"/>
                    </w:rPr>
                  </w:pPr>
                  <w:r>
                    <w:rPr>
                      <w:rFonts w:ascii="Times New Roman" w:hAnsi="Times New Roman" w:cs="Times New Roman"/>
                      <w:sz w:val="21"/>
                      <w:szCs w:val="18"/>
                    </w:rPr>
                    <w:t>ZH34130220013</w:t>
                  </w:r>
                </w:p>
              </w:tc>
              <w:tc>
                <w:tcPr>
                  <w:tcW w:w="786" w:type="pct"/>
                  <w:noWrap w:val="0"/>
                  <w:vAlign w:val="center"/>
                </w:tcPr>
                <w:p w14:paraId="3C460F57">
                  <w:pPr>
                    <w:widowControl w:val="0"/>
                    <w:snapToGrid w:val="0"/>
                    <w:jc w:val="center"/>
                    <w:rPr>
                      <w:rFonts w:ascii="Times New Roman" w:hAnsi="Times New Roman" w:cs="Times New Roman"/>
                      <w:sz w:val="21"/>
                      <w:szCs w:val="18"/>
                    </w:rPr>
                  </w:pPr>
                  <w:r>
                    <w:rPr>
                      <w:rFonts w:ascii="Times New Roman" w:hAnsi="Times New Roman" w:cs="Times New Roman"/>
                      <w:sz w:val="21"/>
                      <w:szCs w:val="18"/>
                    </w:rPr>
                    <w:t>重点管控单元</w:t>
                  </w:r>
                </w:p>
              </w:tc>
              <w:tc>
                <w:tcPr>
                  <w:tcW w:w="644" w:type="pct"/>
                  <w:noWrap w:val="0"/>
                  <w:vAlign w:val="center"/>
                </w:tcPr>
                <w:p w14:paraId="535DA8BB">
                  <w:pPr>
                    <w:widowControl w:val="0"/>
                    <w:snapToGrid w:val="0"/>
                    <w:jc w:val="center"/>
                    <w:rPr>
                      <w:rFonts w:ascii="Times New Roman" w:hAnsi="Times New Roman" w:cs="Times New Roman"/>
                      <w:sz w:val="21"/>
                      <w:szCs w:val="18"/>
                    </w:rPr>
                  </w:pPr>
                  <w:r>
                    <w:rPr>
                      <w:rFonts w:ascii="Times New Roman" w:hAnsi="Times New Roman" w:cs="Times New Roman"/>
                      <w:sz w:val="21"/>
                      <w:szCs w:val="18"/>
                    </w:rPr>
                    <w:t>安徽省</w:t>
                  </w:r>
                </w:p>
              </w:tc>
              <w:tc>
                <w:tcPr>
                  <w:tcW w:w="606" w:type="pct"/>
                  <w:noWrap w:val="0"/>
                  <w:vAlign w:val="center"/>
                </w:tcPr>
                <w:p w14:paraId="598C7761">
                  <w:pPr>
                    <w:widowControl w:val="0"/>
                    <w:snapToGrid w:val="0"/>
                    <w:jc w:val="center"/>
                    <w:rPr>
                      <w:rFonts w:ascii="Times New Roman" w:hAnsi="Times New Roman" w:cs="Times New Roman"/>
                      <w:sz w:val="21"/>
                      <w:szCs w:val="18"/>
                    </w:rPr>
                  </w:pPr>
                  <w:r>
                    <w:rPr>
                      <w:rFonts w:ascii="Times New Roman" w:hAnsi="Times New Roman" w:cs="Times New Roman"/>
                      <w:sz w:val="21"/>
                      <w:szCs w:val="18"/>
                    </w:rPr>
                    <w:t>宿州市</w:t>
                  </w:r>
                </w:p>
              </w:tc>
              <w:tc>
                <w:tcPr>
                  <w:tcW w:w="595" w:type="pct"/>
                  <w:noWrap w:val="0"/>
                  <w:vAlign w:val="center"/>
                </w:tcPr>
                <w:p w14:paraId="44AC5AFA">
                  <w:pPr>
                    <w:widowControl w:val="0"/>
                    <w:snapToGrid w:val="0"/>
                    <w:jc w:val="center"/>
                    <w:rPr>
                      <w:rFonts w:ascii="Times New Roman" w:hAnsi="Times New Roman" w:cs="Times New Roman"/>
                      <w:sz w:val="21"/>
                      <w:szCs w:val="18"/>
                    </w:rPr>
                  </w:pPr>
                  <w:r>
                    <w:rPr>
                      <w:rFonts w:ascii="Times New Roman" w:hAnsi="Times New Roman" w:cs="Times New Roman"/>
                      <w:sz w:val="21"/>
                      <w:szCs w:val="18"/>
                    </w:rPr>
                    <w:t>埇桥区</w:t>
                  </w:r>
                </w:p>
              </w:tc>
              <w:tc>
                <w:tcPr>
                  <w:tcW w:w="1173" w:type="pct"/>
                  <w:noWrap w:val="0"/>
                  <w:vAlign w:val="center"/>
                </w:tcPr>
                <w:p w14:paraId="163BE3AC">
                  <w:pPr>
                    <w:widowControl w:val="0"/>
                    <w:snapToGrid w:val="0"/>
                    <w:jc w:val="center"/>
                    <w:rPr>
                      <w:rFonts w:ascii="Times New Roman" w:hAnsi="Times New Roman" w:cs="Times New Roman"/>
                      <w:sz w:val="21"/>
                      <w:szCs w:val="18"/>
                    </w:rPr>
                  </w:pPr>
                  <w:r>
                    <w:rPr>
                      <w:rFonts w:ascii="Times New Roman" w:hAnsi="Times New Roman" w:cs="Times New Roman"/>
                      <w:sz w:val="21"/>
                      <w:szCs w:val="18"/>
                    </w:rPr>
                    <w:t>水重点/大气重点</w:t>
                  </w:r>
                </w:p>
              </w:tc>
            </w:tr>
          </w:tbl>
          <w:p w14:paraId="49455AA5">
            <w:pPr>
              <w:adjustRightInd w:val="0"/>
              <w:snapToGrid w:val="0"/>
              <w:spacing w:line="360" w:lineRule="auto"/>
              <w:ind w:firstLine="420" w:firstLineChars="200"/>
              <w:rPr>
                <w:rFonts w:ascii="Times New Roman" w:hAnsi="Times New Roman" w:cs="Times New Roman"/>
                <w:bCs/>
                <w:szCs w:val="32"/>
              </w:rPr>
            </w:pPr>
            <w:r>
              <w:rPr>
                <w:rFonts w:ascii="Times New Roman" w:hAnsi="Times New Roman" w:cs="Times New Roman"/>
                <w:szCs w:val="32"/>
              </w:rPr>
              <w:t>结合上表与宿州市管控清单，</w:t>
            </w:r>
            <w:r>
              <w:rPr>
                <w:rFonts w:ascii="Times New Roman" w:hAnsi="Times New Roman" w:cs="Times New Roman"/>
                <w:bCs/>
                <w:szCs w:val="32"/>
              </w:rPr>
              <w:t>本建设项目与“三线一单”相关要求符合性分析见下表。</w:t>
            </w:r>
          </w:p>
          <w:p w14:paraId="3CC5FCCA">
            <w:pPr>
              <w:adjustRightInd w:val="0"/>
              <w:snapToGrid w:val="0"/>
              <w:spacing w:line="360" w:lineRule="auto"/>
              <w:ind w:firstLine="420" w:firstLineChars="200"/>
              <w:rPr>
                <w:rFonts w:ascii="Times New Roman" w:hAnsi="Times New Roman" w:cs="Times New Roman"/>
                <w:bCs/>
                <w:szCs w:val="32"/>
              </w:rPr>
            </w:pPr>
          </w:p>
          <w:p w14:paraId="54C56B54">
            <w:pPr>
              <w:adjustRightInd w:val="0"/>
              <w:snapToGrid w:val="0"/>
              <w:spacing w:line="360" w:lineRule="auto"/>
              <w:ind w:firstLine="420" w:firstLineChars="200"/>
              <w:rPr>
                <w:rFonts w:ascii="Times New Roman" w:hAnsi="Times New Roman" w:cs="Times New Roman"/>
                <w:bCs/>
                <w:szCs w:val="32"/>
              </w:rPr>
            </w:pPr>
          </w:p>
          <w:p w14:paraId="6A330A89">
            <w:pPr>
              <w:adjustRightInd w:val="0"/>
              <w:snapToGrid w:val="0"/>
              <w:spacing w:line="360" w:lineRule="auto"/>
              <w:ind w:firstLine="420" w:firstLineChars="200"/>
              <w:rPr>
                <w:rFonts w:ascii="Times New Roman" w:hAnsi="Times New Roman" w:cs="Times New Roman"/>
                <w:bCs/>
                <w:szCs w:val="32"/>
              </w:rPr>
            </w:pPr>
          </w:p>
          <w:p w14:paraId="3CDCE851">
            <w:pPr>
              <w:adjustRightInd w:val="0"/>
              <w:snapToGrid w:val="0"/>
              <w:spacing w:line="360" w:lineRule="auto"/>
              <w:ind w:firstLine="420" w:firstLineChars="200"/>
              <w:rPr>
                <w:rFonts w:ascii="Times New Roman" w:hAnsi="Times New Roman" w:cs="Times New Roman"/>
                <w:bCs/>
                <w:szCs w:val="32"/>
              </w:rPr>
            </w:pPr>
          </w:p>
          <w:p w14:paraId="6B56FD03">
            <w:pPr>
              <w:spacing w:line="360" w:lineRule="auto"/>
              <w:jc w:val="center"/>
              <w:rPr>
                <w:rFonts w:ascii="Times New Roman" w:hAnsi="Times New Roman" w:cs="Times New Roman"/>
                <w:b/>
                <w:bCs/>
                <w:sz w:val="21"/>
                <w:szCs w:val="21"/>
              </w:rPr>
            </w:pPr>
            <w:r>
              <w:rPr>
                <w:rFonts w:ascii="Times New Roman" w:hAnsi="Times New Roman" w:cs="Times New Roman"/>
                <w:b/>
                <w:bCs/>
                <w:sz w:val="21"/>
                <w:szCs w:val="21"/>
              </w:rPr>
              <w:t>表1-</w:t>
            </w:r>
            <w:r>
              <w:rPr>
                <w:rFonts w:hint="eastAsia" w:cs="Times New Roman"/>
                <w:b/>
                <w:bCs/>
                <w:sz w:val="21"/>
                <w:szCs w:val="21"/>
                <w:lang w:val="en-US" w:eastAsia="zh-CN"/>
              </w:rPr>
              <w:t>5</w:t>
            </w:r>
            <w:r>
              <w:rPr>
                <w:rFonts w:ascii="Times New Roman" w:hAnsi="Times New Roman" w:cs="Times New Roman"/>
                <w:b/>
                <w:bCs/>
                <w:sz w:val="21"/>
                <w:szCs w:val="21"/>
              </w:rPr>
              <w:t xml:space="preserve"> 项目与“三线一单”相关要求符合性分析</w:t>
            </w:r>
          </w:p>
          <w:tbl>
            <w:tblPr>
              <w:tblStyle w:val="28"/>
              <w:tblW w:w="4949" w:type="pct"/>
              <w:tblInd w:w="0" w:type="dxa"/>
              <w:tblBorders>
                <w:top w:val="single" w:color="0D0D0D" w:sz="12" w:space="0"/>
                <w:left w:val="none" w:color="auto" w:sz="0" w:space="0"/>
                <w:bottom w:val="single" w:color="0D0D0D" w:sz="12" w:space="0"/>
                <w:right w:val="none" w:color="auto" w:sz="0" w:space="0"/>
                <w:insideH w:val="single" w:color="0D0D0D" w:sz="4" w:space="0"/>
                <w:insideV w:val="single" w:color="0D0D0D" w:sz="4" w:space="0"/>
              </w:tblBorders>
              <w:tblLayout w:type="fixed"/>
              <w:tblCellMar>
                <w:top w:w="0" w:type="dxa"/>
                <w:left w:w="108" w:type="dxa"/>
                <w:bottom w:w="0" w:type="dxa"/>
                <w:right w:w="108" w:type="dxa"/>
              </w:tblCellMar>
            </w:tblPr>
            <w:tblGrid>
              <w:gridCol w:w="455"/>
              <w:gridCol w:w="613"/>
              <w:gridCol w:w="500"/>
              <w:gridCol w:w="587"/>
              <w:gridCol w:w="4038"/>
              <w:gridCol w:w="1091"/>
              <w:gridCol w:w="426"/>
            </w:tblGrid>
            <w:tr w14:paraId="046B79DF">
              <w:tblPrEx>
                <w:tblBorders>
                  <w:top w:val="single" w:color="0D0D0D" w:sz="12" w:space="0"/>
                  <w:left w:val="none" w:color="auto" w:sz="0" w:space="0"/>
                  <w:bottom w:val="single" w:color="0D0D0D" w:sz="12" w:space="0"/>
                  <w:right w:val="none" w:color="auto" w:sz="0" w:space="0"/>
                  <w:insideH w:val="single" w:color="0D0D0D" w:sz="4" w:space="0"/>
                  <w:insideV w:val="single" w:color="0D0D0D" w:sz="4" w:space="0"/>
                </w:tblBorders>
                <w:tblCellMar>
                  <w:top w:w="0" w:type="dxa"/>
                  <w:left w:w="108" w:type="dxa"/>
                  <w:bottom w:w="0" w:type="dxa"/>
                  <w:right w:w="108" w:type="dxa"/>
                </w:tblCellMar>
              </w:tblPrEx>
              <w:trPr>
                <w:trHeight w:val="543" w:hRule="atLeast"/>
              </w:trPr>
              <w:tc>
                <w:tcPr>
                  <w:tcW w:w="4016" w:type="pct"/>
                  <w:gridSpan w:val="5"/>
                  <w:noWrap w:val="0"/>
                  <w:vAlign w:val="center"/>
                </w:tcPr>
                <w:p w14:paraId="1F6655FB">
                  <w:pPr>
                    <w:widowControl w:val="0"/>
                    <w:snapToGrid w:val="0"/>
                    <w:jc w:val="center"/>
                    <w:rPr>
                      <w:rFonts w:ascii="Times New Roman" w:hAnsi="Times New Roman" w:cs="Times New Roman"/>
                      <w:b/>
                      <w:bCs/>
                      <w:sz w:val="21"/>
                      <w:szCs w:val="21"/>
                    </w:rPr>
                  </w:pPr>
                  <w:r>
                    <w:rPr>
                      <w:rFonts w:ascii="Times New Roman" w:hAnsi="Times New Roman" w:cs="Times New Roman"/>
                      <w:b/>
                      <w:bCs/>
                      <w:sz w:val="21"/>
                      <w:szCs w:val="21"/>
                    </w:rPr>
                    <w:t>“三线一单”的具体要求</w:t>
                  </w:r>
                </w:p>
              </w:tc>
              <w:tc>
                <w:tcPr>
                  <w:tcW w:w="707" w:type="pct"/>
                  <w:vMerge w:val="restart"/>
                  <w:noWrap w:val="0"/>
                  <w:vAlign w:val="center"/>
                </w:tcPr>
                <w:p w14:paraId="2B3B616A">
                  <w:pPr>
                    <w:widowControl w:val="0"/>
                    <w:snapToGrid w:val="0"/>
                    <w:jc w:val="center"/>
                    <w:rPr>
                      <w:rFonts w:ascii="Times New Roman" w:hAnsi="Times New Roman" w:cs="Times New Roman"/>
                      <w:b/>
                      <w:bCs/>
                      <w:sz w:val="21"/>
                      <w:szCs w:val="21"/>
                    </w:rPr>
                  </w:pPr>
                  <w:r>
                    <w:rPr>
                      <w:rFonts w:ascii="Times New Roman" w:hAnsi="Times New Roman" w:cs="Times New Roman"/>
                      <w:b/>
                      <w:bCs/>
                      <w:sz w:val="21"/>
                      <w:szCs w:val="21"/>
                    </w:rPr>
                    <w:t>本项目对应情况介绍</w:t>
                  </w:r>
                </w:p>
              </w:tc>
              <w:tc>
                <w:tcPr>
                  <w:tcW w:w="276" w:type="pct"/>
                  <w:vMerge w:val="restart"/>
                  <w:noWrap w:val="0"/>
                  <w:vAlign w:val="center"/>
                </w:tcPr>
                <w:p w14:paraId="72AFF586">
                  <w:pPr>
                    <w:widowControl w:val="0"/>
                    <w:snapToGrid w:val="0"/>
                    <w:jc w:val="center"/>
                    <w:rPr>
                      <w:rFonts w:ascii="Times New Roman" w:hAnsi="Times New Roman" w:cs="Times New Roman"/>
                      <w:b/>
                      <w:bCs/>
                      <w:sz w:val="21"/>
                      <w:szCs w:val="21"/>
                    </w:rPr>
                  </w:pPr>
                  <w:r>
                    <w:rPr>
                      <w:rFonts w:ascii="Times New Roman" w:hAnsi="Times New Roman" w:cs="Times New Roman"/>
                      <w:b/>
                      <w:bCs/>
                      <w:sz w:val="21"/>
                      <w:szCs w:val="21"/>
                    </w:rPr>
                    <w:t>符合性</w:t>
                  </w:r>
                </w:p>
              </w:tc>
            </w:tr>
            <w:tr w14:paraId="4EBD6AEC">
              <w:tblPrEx>
                <w:tblBorders>
                  <w:top w:val="single" w:color="0D0D0D" w:sz="12" w:space="0"/>
                  <w:left w:val="none" w:color="auto" w:sz="0" w:space="0"/>
                  <w:bottom w:val="single" w:color="0D0D0D" w:sz="12" w:space="0"/>
                  <w:right w:val="none" w:color="auto" w:sz="0" w:space="0"/>
                  <w:insideH w:val="single" w:color="0D0D0D" w:sz="4" w:space="0"/>
                  <w:insideV w:val="single" w:color="0D0D0D" w:sz="4" w:space="0"/>
                </w:tblBorders>
                <w:tblCellMar>
                  <w:top w:w="0" w:type="dxa"/>
                  <w:left w:w="108" w:type="dxa"/>
                  <w:bottom w:w="0" w:type="dxa"/>
                  <w:right w:w="108" w:type="dxa"/>
                </w:tblCellMar>
              </w:tblPrEx>
              <w:tc>
                <w:tcPr>
                  <w:tcW w:w="1397" w:type="pct"/>
                  <w:gridSpan w:val="4"/>
                  <w:noWrap w:val="0"/>
                  <w:vAlign w:val="center"/>
                </w:tcPr>
                <w:p w14:paraId="4F5AA55E">
                  <w:pPr>
                    <w:widowControl w:val="0"/>
                    <w:snapToGrid w:val="0"/>
                    <w:jc w:val="center"/>
                    <w:rPr>
                      <w:rFonts w:ascii="Times New Roman" w:hAnsi="Times New Roman" w:cs="Times New Roman"/>
                      <w:b/>
                      <w:bCs/>
                      <w:sz w:val="21"/>
                      <w:szCs w:val="21"/>
                    </w:rPr>
                  </w:pPr>
                  <w:r>
                    <w:rPr>
                      <w:rFonts w:ascii="Times New Roman" w:hAnsi="Times New Roman" w:cs="Times New Roman"/>
                      <w:b/>
                      <w:bCs/>
                      <w:sz w:val="21"/>
                      <w:szCs w:val="21"/>
                    </w:rPr>
                    <w:t>管控类型</w:t>
                  </w:r>
                </w:p>
              </w:tc>
              <w:tc>
                <w:tcPr>
                  <w:tcW w:w="2618" w:type="pct"/>
                  <w:vMerge w:val="restart"/>
                  <w:noWrap w:val="0"/>
                  <w:vAlign w:val="center"/>
                </w:tcPr>
                <w:p w14:paraId="03BE1477">
                  <w:pPr>
                    <w:widowControl w:val="0"/>
                    <w:snapToGrid w:val="0"/>
                    <w:jc w:val="center"/>
                    <w:rPr>
                      <w:rFonts w:ascii="Times New Roman" w:hAnsi="Times New Roman" w:cs="Times New Roman"/>
                      <w:sz w:val="21"/>
                      <w:szCs w:val="21"/>
                    </w:rPr>
                  </w:pPr>
                  <w:r>
                    <w:rPr>
                      <w:rFonts w:ascii="Times New Roman" w:hAnsi="Times New Roman" w:cs="Times New Roman"/>
                      <w:b/>
                      <w:bCs/>
                      <w:sz w:val="21"/>
                      <w:szCs w:val="21"/>
                    </w:rPr>
                    <w:t>对应管控要求（摘选）</w:t>
                  </w:r>
                </w:p>
              </w:tc>
              <w:tc>
                <w:tcPr>
                  <w:tcW w:w="707" w:type="pct"/>
                  <w:vMerge w:val="continue"/>
                  <w:noWrap w:val="0"/>
                  <w:vAlign w:val="center"/>
                </w:tcPr>
                <w:p w14:paraId="6CF0F417">
                  <w:pPr>
                    <w:widowControl w:val="0"/>
                    <w:snapToGrid w:val="0"/>
                    <w:jc w:val="center"/>
                    <w:rPr>
                      <w:rFonts w:ascii="Times New Roman" w:hAnsi="Times New Roman" w:cs="Times New Roman"/>
                      <w:b/>
                      <w:bCs/>
                      <w:sz w:val="21"/>
                      <w:szCs w:val="21"/>
                    </w:rPr>
                  </w:pPr>
                </w:p>
              </w:tc>
              <w:tc>
                <w:tcPr>
                  <w:tcW w:w="276" w:type="pct"/>
                  <w:vMerge w:val="continue"/>
                  <w:noWrap w:val="0"/>
                  <w:vAlign w:val="center"/>
                </w:tcPr>
                <w:p w14:paraId="7AE1B0E9">
                  <w:pPr>
                    <w:widowControl w:val="0"/>
                    <w:snapToGrid w:val="0"/>
                    <w:jc w:val="center"/>
                    <w:rPr>
                      <w:rFonts w:ascii="Times New Roman" w:hAnsi="Times New Roman" w:cs="Times New Roman"/>
                      <w:b/>
                      <w:bCs/>
                      <w:sz w:val="21"/>
                      <w:szCs w:val="21"/>
                    </w:rPr>
                  </w:pPr>
                </w:p>
              </w:tc>
            </w:tr>
            <w:tr w14:paraId="5E57DD22">
              <w:tblPrEx>
                <w:tblBorders>
                  <w:top w:val="single" w:color="0D0D0D" w:sz="12" w:space="0"/>
                  <w:left w:val="none" w:color="auto" w:sz="0" w:space="0"/>
                  <w:bottom w:val="single" w:color="0D0D0D" w:sz="12" w:space="0"/>
                  <w:right w:val="none" w:color="auto" w:sz="0" w:space="0"/>
                  <w:insideH w:val="single" w:color="0D0D0D" w:sz="4" w:space="0"/>
                  <w:insideV w:val="single" w:color="0D0D0D" w:sz="4" w:space="0"/>
                </w:tblBorders>
                <w:tblCellMar>
                  <w:top w:w="0" w:type="dxa"/>
                  <w:left w:w="108" w:type="dxa"/>
                  <w:bottom w:w="0" w:type="dxa"/>
                  <w:right w:w="108" w:type="dxa"/>
                </w:tblCellMar>
              </w:tblPrEx>
              <w:tc>
                <w:tcPr>
                  <w:tcW w:w="295" w:type="pct"/>
                  <w:noWrap w:val="0"/>
                  <w:vAlign w:val="center"/>
                </w:tcPr>
                <w:p w14:paraId="1BC151A0">
                  <w:pPr>
                    <w:widowControl w:val="0"/>
                    <w:snapToGrid w:val="0"/>
                    <w:jc w:val="center"/>
                    <w:rPr>
                      <w:rFonts w:ascii="Times New Roman" w:hAnsi="Times New Roman" w:cs="Times New Roman"/>
                      <w:b/>
                      <w:bCs/>
                      <w:sz w:val="21"/>
                      <w:szCs w:val="21"/>
                    </w:rPr>
                  </w:pPr>
                  <w:r>
                    <w:rPr>
                      <w:rFonts w:ascii="Times New Roman" w:hAnsi="Times New Roman" w:cs="Times New Roman"/>
                      <w:b/>
                      <w:bCs/>
                      <w:sz w:val="21"/>
                      <w:szCs w:val="21"/>
                    </w:rPr>
                    <w:t>编码</w:t>
                  </w:r>
                </w:p>
              </w:tc>
              <w:tc>
                <w:tcPr>
                  <w:tcW w:w="397" w:type="pct"/>
                  <w:noWrap w:val="0"/>
                  <w:vAlign w:val="center"/>
                </w:tcPr>
                <w:p w14:paraId="431B867F">
                  <w:pPr>
                    <w:widowControl w:val="0"/>
                    <w:snapToGrid w:val="0"/>
                    <w:jc w:val="center"/>
                    <w:rPr>
                      <w:rFonts w:ascii="Times New Roman" w:hAnsi="Times New Roman" w:cs="Times New Roman"/>
                      <w:b/>
                      <w:bCs/>
                      <w:sz w:val="21"/>
                      <w:szCs w:val="21"/>
                    </w:rPr>
                  </w:pPr>
                  <w:r>
                    <w:rPr>
                      <w:rFonts w:ascii="Times New Roman" w:hAnsi="Times New Roman" w:cs="Times New Roman"/>
                      <w:b/>
                      <w:bCs/>
                      <w:sz w:val="21"/>
                      <w:szCs w:val="21"/>
                    </w:rPr>
                    <w:t>名称</w:t>
                  </w:r>
                </w:p>
              </w:tc>
              <w:tc>
                <w:tcPr>
                  <w:tcW w:w="704" w:type="pct"/>
                  <w:gridSpan w:val="2"/>
                  <w:noWrap w:val="0"/>
                  <w:vAlign w:val="center"/>
                </w:tcPr>
                <w:p w14:paraId="2AFCCAA9">
                  <w:pPr>
                    <w:widowControl w:val="0"/>
                    <w:snapToGrid w:val="0"/>
                    <w:jc w:val="center"/>
                    <w:rPr>
                      <w:rFonts w:ascii="Times New Roman" w:hAnsi="Times New Roman" w:cs="Times New Roman"/>
                      <w:b/>
                      <w:bCs/>
                      <w:sz w:val="21"/>
                      <w:szCs w:val="21"/>
                    </w:rPr>
                  </w:pPr>
                  <w:r>
                    <w:rPr>
                      <w:rFonts w:ascii="Times New Roman" w:hAnsi="Times New Roman" w:cs="Times New Roman"/>
                      <w:b/>
                      <w:bCs/>
                      <w:sz w:val="21"/>
                      <w:szCs w:val="21"/>
                    </w:rPr>
                    <w:t>分类</w:t>
                  </w:r>
                </w:p>
              </w:tc>
              <w:tc>
                <w:tcPr>
                  <w:tcW w:w="2618" w:type="pct"/>
                  <w:vMerge w:val="continue"/>
                  <w:noWrap w:val="0"/>
                  <w:vAlign w:val="center"/>
                </w:tcPr>
                <w:p w14:paraId="01804C72">
                  <w:pPr>
                    <w:widowControl w:val="0"/>
                    <w:snapToGrid w:val="0"/>
                    <w:jc w:val="center"/>
                    <w:rPr>
                      <w:rFonts w:ascii="Times New Roman" w:hAnsi="Times New Roman" w:cs="Times New Roman"/>
                      <w:sz w:val="21"/>
                      <w:szCs w:val="21"/>
                    </w:rPr>
                  </w:pPr>
                </w:p>
              </w:tc>
              <w:tc>
                <w:tcPr>
                  <w:tcW w:w="707" w:type="pct"/>
                  <w:vMerge w:val="continue"/>
                  <w:noWrap w:val="0"/>
                  <w:vAlign w:val="center"/>
                </w:tcPr>
                <w:p w14:paraId="4CABAAE6">
                  <w:pPr>
                    <w:widowControl w:val="0"/>
                    <w:snapToGrid w:val="0"/>
                    <w:jc w:val="center"/>
                    <w:rPr>
                      <w:rFonts w:ascii="Times New Roman" w:hAnsi="Times New Roman" w:cs="Times New Roman"/>
                      <w:b/>
                      <w:bCs/>
                      <w:sz w:val="21"/>
                      <w:szCs w:val="21"/>
                    </w:rPr>
                  </w:pPr>
                </w:p>
              </w:tc>
              <w:tc>
                <w:tcPr>
                  <w:tcW w:w="276" w:type="pct"/>
                  <w:vMerge w:val="continue"/>
                  <w:noWrap w:val="0"/>
                  <w:vAlign w:val="center"/>
                </w:tcPr>
                <w:p w14:paraId="6B770BBB">
                  <w:pPr>
                    <w:widowControl w:val="0"/>
                    <w:snapToGrid w:val="0"/>
                    <w:jc w:val="center"/>
                    <w:rPr>
                      <w:rFonts w:ascii="Times New Roman" w:hAnsi="Times New Roman" w:cs="Times New Roman"/>
                      <w:b/>
                      <w:bCs/>
                      <w:sz w:val="21"/>
                      <w:szCs w:val="21"/>
                    </w:rPr>
                  </w:pPr>
                </w:p>
              </w:tc>
            </w:tr>
            <w:tr w14:paraId="16DF239A">
              <w:tblPrEx>
                <w:tblBorders>
                  <w:top w:val="single" w:color="0D0D0D" w:sz="12" w:space="0"/>
                  <w:left w:val="none" w:color="auto" w:sz="0" w:space="0"/>
                  <w:bottom w:val="single" w:color="0D0D0D" w:sz="12" w:space="0"/>
                  <w:right w:val="none" w:color="auto" w:sz="0" w:space="0"/>
                  <w:insideH w:val="single" w:color="0D0D0D" w:sz="4" w:space="0"/>
                  <w:insideV w:val="single" w:color="0D0D0D" w:sz="4" w:space="0"/>
                </w:tblBorders>
                <w:tblCellMar>
                  <w:top w:w="0" w:type="dxa"/>
                  <w:left w:w="108" w:type="dxa"/>
                  <w:bottom w:w="0" w:type="dxa"/>
                  <w:right w:w="108" w:type="dxa"/>
                </w:tblCellMar>
              </w:tblPrEx>
              <w:trPr>
                <w:trHeight w:val="514" w:hRule="atLeast"/>
              </w:trPr>
              <w:tc>
                <w:tcPr>
                  <w:tcW w:w="295" w:type="pct"/>
                  <w:vMerge w:val="restart"/>
                  <w:noWrap w:val="0"/>
                  <w:vAlign w:val="center"/>
                </w:tcPr>
                <w:p w14:paraId="15FF7D43">
                  <w:pPr>
                    <w:pStyle w:val="92"/>
                    <w:widowControl/>
                    <w:snapToGrid w:val="0"/>
                    <w:spacing w:line="240" w:lineRule="auto"/>
                    <w:ind w:firstLine="0" w:firstLineChars="0"/>
                    <w:jc w:val="center"/>
                    <w:rPr>
                      <w:rFonts w:eastAsia="宋体"/>
                      <w:sz w:val="21"/>
                      <w:szCs w:val="21"/>
                    </w:rPr>
                  </w:pPr>
                  <w:r>
                    <w:rPr>
                      <w:sz w:val="21"/>
                      <w:szCs w:val="21"/>
                    </w:rPr>
                    <w:t>ZH34130220013</w:t>
                  </w:r>
                </w:p>
              </w:tc>
              <w:tc>
                <w:tcPr>
                  <w:tcW w:w="397" w:type="pct"/>
                  <w:vMerge w:val="restart"/>
                  <w:noWrap w:val="0"/>
                  <w:vAlign w:val="center"/>
                </w:tcPr>
                <w:p w14:paraId="0323CD39">
                  <w:pPr>
                    <w:pStyle w:val="92"/>
                    <w:widowControl/>
                    <w:snapToGrid w:val="0"/>
                    <w:spacing w:line="240" w:lineRule="auto"/>
                    <w:ind w:firstLine="0" w:firstLineChars="0"/>
                    <w:jc w:val="center"/>
                    <w:rPr>
                      <w:rFonts w:eastAsia="宋体"/>
                      <w:sz w:val="21"/>
                      <w:szCs w:val="21"/>
                    </w:rPr>
                  </w:pPr>
                  <w:r>
                    <w:rPr>
                      <w:rFonts w:eastAsia="宋体"/>
                      <w:sz w:val="21"/>
                      <w:szCs w:val="21"/>
                    </w:rPr>
                    <w:t>沿淮绿色生态廊道区-重点管控单元</w:t>
                  </w:r>
                  <w:r>
                    <w:rPr>
                      <w:rFonts w:hint="eastAsia" w:eastAsia="宋体"/>
                      <w:sz w:val="21"/>
                      <w:szCs w:val="21"/>
                      <w:lang w:val="en-US" w:eastAsia="zh-CN"/>
                    </w:rPr>
                    <w:t>1</w:t>
                  </w:r>
                  <w:r>
                    <w:rPr>
                      <w:rFonts w:eastAsia="宋体"/>
                      <w:sz w:val="21"/>
                      <w:szCs w:val="21"/>
                    </w:rPr>
                    <w:t>3</w:t>
                  </w:r>
                </w:p>
              </w:tc>
              <w:tc>
                <w:tcPr>
                  <w:tcW w:w="324" w:type="pct"/>
                  <w:vMerge w:val="restart"/>
                  <w:noWrap w:val="0"/>
                  <w:vAlign w:val="center"/>
                </w:tcPr>
                <w:p w14:paraId="216364B5">
                  <w:pPr>
                    <w:widowControl w:val="0"/>
                    <w:snapToGrid w:val="0"/>
                    <w:jc w:val="center"/>
                    <w:rPr>
                      <w:rFonts w:ascii="Times New Roman" w:hAnsi="Times New Roman" w:cs="Times New Roman"/>
                      <w:sz w:val="21"/>
                      <w:szCs w:val="21"/>
                    </w:rPr>
                  </w:pPr>
                  <w:r>
                    <w:rPr>
                      <w:rFonts w:ascii="Times New Roman" w:hAnsi="Times New Roman" w:cs="Times New Roman"/>
                      <w:sz w:val="21"/>
                      <w:szCs w:val="21"/>
                    </w:rPr>
                    <w:t>区域总体管控要求</w:t>
                  </w:r>
                </w:p>
              </w:tc>
              <w:tc>
                <w:tcPr>
                  <w:tcW w:w="380" w:type="pct"/>
                  <w:noWrap w:val="0"/>
                  <w:vAlign w:val="center"/>
                </w:tcPr>
                <w:p w14:paraId="1CAA13AF">
                  <w:pPr>
                    <w:widowControl w:val="0"/>
                    <w:snapToGrid w:val="0"/>
                    <w:jc w:val="center"/>
                    <w:rPr>
                      <w:rFonts w:ascii="Times New Roman" w:hAnsi="Times New Roman" w:cs="Times New Roman"/>
                      <w:sz w:val="21"/>
                      <w:szCs w:val="21"/>
                    </w:rPr>
                  </w:pPr>
                  <w:r>
                    <w:rPr>
                      <w:rFonts w:ascii="Times New Roman" w:hAnsi="Times New Roman" w:cs="Times New Roman"/>
                      <w:sz w:val="21"/>
                      <w:szCs w:val="21"/>
                    </w:rPr>
                    <w:t>空间布局约束</w:t>
                  </w:r>
                </w:p>
              </w:tc>
              <w:tc>
                <w:tcPr>
                  <w:tcW w:w="2618" w:type="pct"/>
                  <w:noWrap w:val="0"/>
                  <w:vAlign w:val="center"/>
                </w:tcPr>
                <w:p w14:paraId="1FD64F03">
                  <w:pPr>
                    <w:widowControl w:val="0"/>
                    <w:snapToGrid w:val="0"/>
                    <w:jc w:val="center"/>
                    <w:rPr>
                      <w:rFonts w:ascii="Times New Roman" w:hAnsi="Times New Roman" w:cs="Times New Roman"/>
                      <w:sz w:val="21"/>
                      <w:szCs w:val="21"/>
                    </w:rPr>
                  </w:pPr>
                  <w:r>
                    <w:rPr>
                      <w:rFonts w:ascii="Times New Roman" w:hAnsi="Times New Roman" w:cs="Times New Roman"/>
                      <w:sz w:val="21"/>
                      <w:szCs w:val="21"/>
                    </w:rPr>
                    <w:t>禁止在淮河流域新建化学制浆造纸企业和印染、制革、化工、电镀、酿造等污染严重的小型企业。1.在城市城区及其近郊禁止新建、扩建钢铁、有色、石化、水泥、化工等重污染企业。2.禁止新建燃料类煤气发生炉（园区现有企业统一建设的清洁煤制气中心除外）。3.严禁新增钢铁、焦化、电解铝、铸造、水泥和平板玻璃等产能；严格执行钢铁、水泥、平板玻璃等行业产能置换实施办法。4.严格执行国家关于“两高”产业准入目录和产能总量控制政策措施。严禁新增钢铁、焦化、电解铝、铸造、水泥和平板玻璃等产能；新、改、扩建涉及大宗物料运输的建设项目，原则上不得采用公路运输。5.非电行业新建项目，禁止配套建设自备纯凝、抽凝燃煤电站。6.在城市建成区及居民区、医院、学校等环境敏感区域，严禁现场露天灰土拌合。7.严格控制新增“两高”项目审批，认真分析评估拟建项目必要性、可行性和对产业高质量发展、能耗双控、碳排放和环境质量的影响，严格审查项目是否符合产业政策、产业规划、“三线一单”、规划环评要求，是否依法依规落实产能置换、能耗置换、煤炭消费减量替代、污染物排放区域削减等要求。对已建成投产的存量“两高”项目，有节能减排潜力的加快改造升级，属于落后产能的加快淘汰。8.禁止建设生产和使用高挥发性有机物含量涂料、油墨、胶粘剂、清洗剂等项目。9.禁止新建不符合国家规定的燃煤发电机组、燃油发电机组和燃煤热电机组。10.禁止新建、扩建分散燃煤供热锅炉。11.在城市规划区内禁止新建、扩建大气污染严重的建设项目。12.禁止高灰分、高硫分煤炭进入市场。新建煤矿应当同步建设煤炭洗选设施，已建成的煤矿所采煤炭属于高灰分、高硫分的，应当在国家和省规定的期限内建成配套的煤炭洗选设施，使煤炭中的灰分、硫分达到规定的标准。13.禁止在人口集中地区、机场周围、交通干线附近以及当地人民政府划定的区域露天焚烧秸秆、落叶、垃圾等产生烟尘污染的物质。14.在燃气管网和集中供热管网覆盖的区域，不得新建、扩建、改建燃烧煤炭、重油、渣油的供热设施；原有分散的中小型燃煤供热锅炉应当限期拆除。15.禁止在居民住宅楼、未配套设立专用烟道的商住综合楼、商住综合楼内与居住层相邻的商业楼层内新建、改建、扩建产生油烟、异味、废气的饮食服务项目。16.任何单位和个人不得在政府划定的禁止露天烧烤区域内露天烧烤食品或者为露天烧烤食品提供场地。17.在机关、学校、医院、居民住宅区等人口集中地区和其他依法需要特殊保护的区域内，禁止从事下列生产活动：（1）橡胶制品生产、经营性喷漆、制骨胶、制骨粉、屠宰、畜禽养殖、生物发酵等产生恶臭、有毒有害气体的生产经营活动；（2）露天焚烧油毡、沥青、橡胶、塑料、皮革、垃圾或者其他可能产生恶臭、有毒有害气体的活动。18.严禁钢铁、水泥、电解铝、平板玻璃等行业新增产能，对确有必要新建的必须实施等量或减量置换。19.禁止淘汰落后类的产业进入开发区。26.重点区域钢铁、水泥、焦化、石化、化工、有色等行业，二氧化硫、氮氧化物、颗粒物、挥发性有机物（VOCs）排放全面执行大气污染物特别排放限值。27.加大工业涂装、包装印刷等行业低挥发性有机物含量原辅材料替代力度，严格执行涂料、油墨、胶粘剂、清洗剂挥发性有机物含量限值标准，确保生产、销售、进口、使用符合标准的产品。28.加快城市建成区、重点流域的重污染企业和危险化学品企业搬迁改造，加快推进危险化学品生产企业搬迁改造工程。29.对城区内已建重污染企业要结合产业结构调整实施搬迁改造。30.城市规划区内已建的大气污染严重的建设项目应当搬迁、改造，城市建成区应当在规定的时间内完成重污染企业搬迁、改造或者关闭退出。39.企业应当全面推进清洁生产，优先采用能源和原材料利用效率高、污染物排放量少的清洁生产技术、工艺和设备，淘汰严重污染大气环境质量的产品、落后工艺和落后设备，减少大气污染物的产生和排放。</w:t>
                  </w:r>
                </w:p>
              </w:tc>
              <w:tc>
                <w:tcPr>
                  <w:tcW w:w="707" w:type="pct"/>
                  <w:noWrap w:val="0"/>
                  <w:vAlign w:val="center"/>
                </w:tcPr>
                <w:p w14:paraId="00132C32">
                  <w:pPr>
                    <w:widowControl w:val="0"/>
                    <w:snapToGrid w:val="0"/>
                    <w:jc w:val="center"/>
                    <w:rPr>
                      <w:rFonts w:ascii="Times New Roman" w:hAnsi="Times New Roman" w:cs="Times New Roman"/>
                      <w:sz w:val="21"/>
                      <w:szCs w:val="21"/>
                    </w:rPr>
                  </w:pPr>
                  <w:r>
                    <w:rPr>
                      <w:rFonts w:ascii="Times New Roman" w:hAnsi="Times New Roman" w:cs="Times New Roman"/>
                      <w:sz w:val="21"/>
                      <w:szCs w:val="21"/>
                    </w:rPr>
                    <w:t>本项目为</w:t>
                  </w:r>
                  <w:r>
                    <w:rPr>
                      <w:rFonts w:hint="eastAsia" w:cs="Times New Roman"/>
                      <w:sz w:val="21"/>
                      <w:szCs w:val="21"/>
                      <w:lang w:val="en-US" w:eastAsia="zh-CN"/>
                    </w:rPr>
                    <w:t>其他家具制造</w:t>
                  </w:r>
                  <w:r>
                    <w:rPr>
                      <w:rFonts w:ascii="Times New Roman" w:hAnsi="Times New Roman" w:cs="Times New Roman"/>
                      <w:sz w:val="21"/>
                      <w:szCs w:val="21"/>
                    </w:rPr>
                    <w:t>，租赁</w:t>
                  </w:r>
                  <w:r>
                    <w:rPr>
                      <w:rFonts w:hint="eastAsia" w:cs="Times New Roman"/>
                      <w:sz w:val="21"/>
                      <w:szCs w:val="21"/>
                      <w:lang w:val="en-US" w:eastAsia="zh-CN"/>
                    </w:rPr>
                    <w:t>现有</w:t>
                  </w:r>
                  <w:r>
                    <w:rPr>
                      <w:rFonts w:ascii="Times New Roman" w:hAnsi="Times New Roman" w:cs="Times New Roman"/>
                      <w:sz w:val="21"/>
                      <w:szCs w:val="21"/>
                    </w:rPr>
                    <w:t>厂房进行生产，不属于化学制浆造纸企业和印染、制革、化工、电镀、酿造等污染严重的小型企业，无燃料类煤气发生炉，不属于“两高”产业，不建设自备纯凝、抽凝燃煤电站，无现场露天灰土拌合，本项目</w:t>
                  </w:r>
                  <w:r>
                    <w:rPr>
                      <w:rFonts w:hint="eastAsia" w:cs="Times New Roman"/>
                      <w:sz w:val="21"/>
                      <w:szCs w:val="21"/>
                      <w:lang w:val="en-US" w:eastAsia="zh-CN"/>
                    </w:rPr>
                    <w:t>主要为注塑，无</w:t>
                  </w:r>
                  <w:r>
                    <w:rPr>
                      <w:rFonts w:ascii="Times New Roman" w:hAnsi="Times New Roman" w:cs="Times New Roman"/>
                      <w:sz w:val="21"/>
                      <w:szCs w:val="21"/>
                    </w:rPr>
                    <w:t>高挥发性有机物含量物料</w:t>
                  </w:r>
                  <w:r>
                    <w:rPr>
                      <w:rFonts w:hint="eastAsia" w:cs="Times New Roman"/>
                      <w:sz w:val="21"/>
                      <w:szCs w:val="21"/>
                      <w:lang w:eastAsia="zh-CN"/>
                    </w:rPr>
                    <w:t>，</w:t>
                  </w:r>
                  <w:r>
                    <w:rPr>
                      <w:rFonts w:ascii="Times New Roman" w:hAnsi="Times New Roman" w:cs="Times New Roman"/>
                      <w:sz w:val="21"/>
                      <w:szCs w:val="21"/>
                    </w:rPr>
                    <w:t>挥发性有机物处理达标后排放，无严重污染大气环境质量的产品、落后工艺和落后设备。</w:t>
                  </w:r>
                </w:p>
              </w:tc>
              <w:tc>
                <w:tcPr>
                  <w:tcW w:w="276" w:type="pct"/>
                  <w:noWrap w:val="0"/>
                  <w:vAlign w:val="center"/>
                </w:tcPr>
                <w:p w14:paraId="6C40EE89">
                  <w:pPr>
                    <w:widowControl w:val="0"/>
                    <w:snapToGrid w:val="0"/>
                    <w:jc w:val="center"/>
                    <w:rPr>
                      <w:rFonts w:ascii="Times New Roman" w:hAnsi="Times New Roman" w:cs="Times New Roman"/>
                      <w:sz w:val="21"/>
                      <w:szCs w:val="21"/>
                    </w:rPr>
                  </w:pPr>
                  <w:r>
                    <w:rPr>
                      <w:rFonts w:ascii="Times New Roman" w:hAnsi="Times New Roman" w:cs="Times New Roman"/>
                      <w:sz w:val="21"/>
                      <w:szCs w:val="21"/>
                    </w:rPr>
                    <w:t>符合</w:t>
                  </w:r>
                </w:p>
              </w:tc>
            </w:tr>
            <w:tr w14:paraId="7596E18C">
              <w:tblPrEx>
                <w:tblBorders>
                  <w:top w:val="single" w:color="0D0D0D" w:sz="12" w:space="0"/>
                  <w:left w:val="none" w:color="auto" w:sz="0" w:space="0"/>
                  <w:bottom w:val="single" w:color="0D0D0D" w:sz="12" w:space="0"/>
                  <w:right w:val="none" w:color="auto" w:sz="0" w:space="0"/>
                  <w:insideH w:val="single" w:color="0D0D0D" w:sz="4" w:space="0"/>
                  <w:insideV w:val="single" w:color="0D0D0D" w:sz="4" w:space="0"/>
                </w:tblBorders>
                <w:tblCellMar>
                  <w:top w:w="0" w:type="dxa"/>
                  <w:left w:w="108" w:type="dxa"/>
                  <w:bottom w:w="0" w:type="dxa"/>
                  <w:right w:w="108" w:type="dxa"/>
                </w:tblCellMar>
              </w:tblPrEx>
              <w:trPr>
                <w:trHeight w:val="70" w:hRule="atLeast"/>
              </w:trPr>
              <w:tc>
                <w:tcPr>
                  <w:tcW w:w="295" w:type="pct"/>
                  <w:vMerge w:val="continue"/>
                  <w:noWrap w:val="0"/>
                  <w:vAlign w:val="center"/>
                </w:tcPr>
                <w:p w14:paraId="5316352D">
                  <w:pPr>
                    <w:widowControl w:val="0"/>
                    <w:snapToGrid w:val="0"/>
                    <w:jc w:val="center"/>
                    <w:rPr>
                      <w:rFonts w:ascii="Times New Roman" w:hAnsi="Times New Roman" w:cs="Times New Roman"/>
                      <w:sz w:val="21"/>
                      <w:szCs w:val="21"/>
                    </w:rPr>
                  </w:pPr>
                </w:p>
              </w:tc>
              <w:tc>
                <w:tcPr>
                  <w:tcW w:w="397" w:type="pct"/>
                  <w:vMerge w:val="continue"/>
                  <w:noWrap w:val="0"/>
                  <w:vAlign w:val="center"/>
                </w:tcPr>
                <w:p w14:paraId="3CF24E1B">
                  <w:pPr>
                    <w:widowControl w:val="0"/>
                    <w:snapToGrid w:val="0"/>
                    <w:jc w:val="center"/>
                    <w:rPr>
                      <w:rFonts w:ascii="Times New Roman" w:hAnsi="Times New Roman" w:cs="Times New Roman"/>
                      <w:sz w:val="21"/>
                      <w:szCs w:val="21"/>
                    </w:rPr>
                  </w:pPr>
                </w:p>
              </w:tc>
              <w:tc>
                <w:tcPr>
                  <w:tcW w:w="324" w:type="pct"/>
                  <w:vMerge w:val="continue"/>
                  <w:noWrap w:val="0"/>
                  <w:vAlign w:val="center"/>
                </w:tcPr>
                <w:p w14:paraId="4C316035">
                  <w:pPr>
                    <w:widowControl w:val="0"/>
                    <w:snapToGrid w:val="0"/>
                    <w:jc w:val="center"/>
                    <w:rPr>
                      <w:rFonts w:ascii="Times New Roman" w:hAnsi="Times New Roman" w:cs="Times New Roman"/>
                      <w:sz w:val="21"/>
                      <w:szCs w:val="21"/>
                    </w:rPr>
                  </w:pPr>
                </w:p>
              </w:tc>
              <w:tc>
                <w:tcPr>
                  <w:tcW w:w="380" w:type="pct"/>
                  <w:noWrap w:val="0"/>
                  <w:vAlign w:val="center"/>
                </w:tcPr>
                <w:p w14:paraId="59BF4E3E">
                  <w:pPr>
                    <w:widowControl w:val="0"/>
                    <w:snapToGrid w:val="0"/>
                    <w:jc w:val="center"/>
                    <w:rPr>
                      <w:rFonts w:ascii="Times New Roman" w:hAnsi="Times New Roman" w:cs="Times New Roman"/>
                      <w:sz w:val="21"/>
                      <w:szCs w:val="21"/>
                    </w:rPr>
                  </w:pPr>
                  <w:r>
                    <w:rPr>
                      <w:rFonts w:ascii="Times New Roman" w:hAnsi="Times New Roman" w:cs="Times New Roman"/>
                      <w:sz w:val="21"/>
                      <w:szCs w:val="21"/>
                    </w:rPr>
                    <w:t>污染物排放管控</w:t>
                  </w:r>
                </w:p>
              </w:tc>
              <w:tc>
                <w:tcPr>
                  <w:tcW w:w="2618" w:type="pct"/>
                  <w:noWrap w:val="0"/>
                  <w:vAlign w:val="center"/>
                </w:tcPr>
                <w:p w14:paraId="7C99AE52">
                  <w:pPr>
                    <w:widowControl w:val="0"/>
                    <w:snapToGrid w:val="0"/>
                    <w:jc w:val="center"/>
                    <w:rPr>
                      <w:rFonts w:ascii="Times New Roman" w:hAnsi="Times New Roman" w:cs="Times New Roman"/>
                      <w:sz w:val="21"/>
                      <w:szCs w:val="21"/>
                    </w:rPr>
                  </w:pPr>
                  <w:r>
                    <w:rPr>
                      <w:rFonts w:ascii="Times New Roman" w:hAnsi="Times New Roman" w:cs="Times New Roman"/>
                      <w:sz w:val="21"/>
                      <w:szCs w:val="21"/>
                    </w:rPr>
                    <w:t>43.新建、改建、扩建排放重点大气污染物的项目不符合总量控制要求的，不得通过环境影响评价。48.全面推动挥发性有机物纳入排污许可管理。禁止建设生产和使用高挥发性有机物含量涂料、油墨、胶粘剂、清洗剂等项目。加快推进石化、化工、涂装、医药、包装印刷和油品储运销等重点行业挥发性有机物深度治理，全面提升废气收集率、治理设施同步运行率和去除率，提高水性、高固体分、无溶剂、粉末、辐射固化等低挥发性有机物含量产品的比重。加大工业涂装、包装印刷等行业低挥发性有机物含量原辅材料替代力度，严格执行涂料、油墨、胶粘剂、清洗剂挥发性有机物含量限值标准，确保生产、销售、进口、使用符合标准的产品。到2025年，溶剂型工业涂料、油墨使用比例分别降低20个、10个百分点。溶剂型胶粘剂使用量降低20%。49.实行重点排放源排放浓度与去除效率双重控制。车间或生产设施收集排放的废气，VOCs初始排放速率大于等于2千克/小时的，应加大控制力度，除确保排放浓度稳定达标外，还应实行去除效率控制，去除效率不低于80%；采用的原辅材料符合国家有关低VOCs含量产品规定的除外，有行业排放标准的按其相关规定执行。50.使用粉末、水性、高固体分、辐射固化等低VOCs含量的涂料替代溶剂型涂料。汽车制造底漆大力推广使用水性涂料，乘用车中涂、色漆大力推广使用高固体分或水性涂料，加快客车、货车等中涂、色漆改造。钢制集装箱制造在箱内、箱外、木地板涂装等工序大力推广使用水性涂料，在确保防腐蚀功能的前提下，加快推进特种集装箱采用水性涂料。木质家具制造大力推广使用水性、辐射固化、粉末等涂料和水性胶粘剂；金属家具制造大力推广使用粉末涂料；软体家具制造大力推广使用水性胶粘剂。工程机械制造大力推广使用水性、粉末和高固体分涂料。电子产品制造推广使用粉末、水性、辐射固化等涂料。污染物排放标准中有特别排放限值的标准的行业，二氧化硫、氮氧化物、颗粒物、挥发性有机物（VOCs）全面执行大气污染物特别排放限值。已核发排污许可证的，应严格执行许可要求。对国家级新区、工业园区、高新区等进行集中整治，限期进行达标改造。按《挥发性有机物无组织排放控制标准》（GB37822-2019）要求，做好VOCs物料储存、物料转移和输送、工艺过程、设备与管线组件、敞开液面VOCs排放，以及VOCs无组织排放废气收集处理系统要求。新改扩建（含搬迁）钢铁项目要严格执行产能置换实施办法，按照钢铁企业超低排放指标要求，同步配套建设高效脱硫、脱硝、除尘设施，落实物料储存、输送及生产工艺过程无组织排放管控措施</w:t>
                  </w:r>
                </w:p>
              </w:tc>
              <w:tc>
                <w:tcPr>
                  <w:tcW w:w="707" w:type="pct"/>
                  <w:noWrap w:val="0"/>
                  <w:vAlign w:val="center"/>
                </w:tcPr>
                <w:p w14:paraId="29391D65">
                  <w:pPr>
                    <w:widowControl w:val="0"/>
                    <w:snapToGrid w:val="0"/>
                    <w:jc w:val="center"/>
                    <w:rPr>
                      <w:rFonts w:ascii="Times New Roman" w:hAnsi="Times New Roman" w:cs="Times New Roman"/>
                      <w:sz w:val="21"/>
                      <w:szCs w:val="21"/>
                    </w:rPr>
                  </w:pPr>
                  <w:r>
                    <w:rPr>
                      <w:rFonts w:ascii="Times New Roman" w:hAnsi="Times New Roman" w:cs="Times New Roman"/>
                      <w:sz w:val="21"/>
                      <w:szCs w:val="21"/>
                    </w:rPr>
                    <w:t>本项目</w:t>
                  </w:r>
                  <w:r>
                    <w:rPr>
                      <w:rFonts w:hint="eastAsia" w:cs="Times New Roman"/>
                      <w:sz w:val="21"/>
                      <w:szCs w:val="21"/>
                      <w:lang w:val="en-US" w:eastAsia="zh-CN"/>
                    </w:rPr>
                    <w:t>不使用</w:t>
                  </w:r>
                  <w:r>
                    <w:rPr>
                      <w:rFonts w:ascii="Times New Roman" w:hAnsi="Times New Roman" w:cs="Times New Roman"/>
                      <w:sz w:val="21"/>
                      <w:szCs w:val="21"/>
                    </w:rPr>
                    <w:t>高挥发性有机物含量物料</w:t>
                  </w:r>
                  <w:r>
                    <w:rPr>
                      <w:rFonts w:hint="eastAsia" w:cs="Times New Roman"/>
                      <w:sz w:val="21"/>
                      <w:szCs w:val="21"/>
                      <w:lang w:eastAsia="zh-CN"/>
                    </w:rPr>
                    <w:t>。</w:t>
                  </w:r>
                  <w:r>
                    <w:rPr>
                      <w:rFonts w:ascii="Times New Roman" w:hAnsi="Times New Roman" w:cs="Times New Roman"/>
                      <w:sz w:val="21"/>
                      <w:szCs w:val="21"/>
                    </w:rPr>
                    <w:t>项目</w:t>
                  </w:r>
                  <w:r>
                    <w:rPr>
                      <w:rFonts w:hint="eastAsia" w:cs="Times New Roman"/>
                      <w:sz w:val="21"/>
                      <w:szCs w:val="21"/>
                      <w:lang w:val="en-US" w:eastAsia="zh-CN"/>
                    </w:rPr>
                    <w:t>注塑</w:t>
                  </w:r>
                  <w:r>
                    <w:rPr>
                      <w:rFonts w:ascii="Times New Roman" w:hAnsi="Times New Roman" w:cs="Times New Roman"/>
                      <w:sz w:val="21"/>
                      <w:szCs w:val="21"/>
                    </w:rPr>
                    <w:t>工序产生的非甲烷总烃经“集气罩+二级活性炭吸附装置+15米高排气筒DA001排气筒有组织排放，排放总量符合要求</w:t>
                  </w:r>
                </w:p>
              </w:tc>
              <w:tc>
                <w:tcPr>
                  <w:tcW w:w="276" w:type="pct"/>
                  <w:noWrap w:val="0"/>
                  <w:vAlign w:val="center"/>
                </w:tcPr>
                <w:p w14:paraId="231EC668">
                  <w:pPr>
                    <w:widowControl w:val="0"/>
                    <w:snapToGrid w:val="0"/>
                    <w:jc w:val="center"/>
                    <w:rPr>
                      <w:rFonts w:ascii="Times New Roman" w:hAnsi="Times New Roman" w:cs="Times New Roman"/>
                      <w:sz w:val="21"/>
                      <w:szCs w:val="21"/>
                    </w:rPr>
                  </w:pPr>
                  <w:r>
                    <w:rPr>
                      <w:rFonts w:ascii="Times New Roman" w:hAnsi="Times New Roman" w:cs="Times New Roman"/>
                      <w:sz w:val="21"/>
                      <w:szCs w:val="21"/>
                    </w:rPr>
                    <w:t>符合</w:t>
                  </w:r>
                </w:p>
              </w:tc>
            </w:tr>
            <w:tr w14:paraId="12A16830">
              <w:tblPrEx>
                <w:tblBorders>
                  <w:top w:val="single" w:color="0D0D0D" w:sz="12" w:space="0"/>
                  <w:left w:val="none" w:color="auto" w:sz="0" w:space="0"/>
                  <w:bottom w:val="single" w:color="0D0D0D" w:sz="12" w:space="0"/>
                  <w:right w:val="none" w:color="auto" w:sz="0" w:space="0"/>
                  <w:insideH w:val="single" w:color="0D0D0D" w:sz="4" w:space="0"/>
                  <w:insideV w:val="single" w:color="0D0D0D" w:sz="4" w:space="0"/>
                </w:tblBorders>
                <w:tblCellMar>
                  <w:top w:w="0" w:type="dxa"/>
                  <w:left w:w="108" w:type="dxa"/>
                  <w:bottom w:w="0" w:type="dxa"/>
                  <w:right w:w="108" w:type="dxa"/>
                </w:tblCellMar>
              </w:tblPrEx>
              <w:trPr>
                <w:trHeight w:val="826" w:hRule="atLeast"/>
              </w:trPr>
              <w:tc>
                <w:tcPr>
                  <w:tcW w:w="295" w:type="pct"/>
                  <w:vMerge w:val="continue"/>
                  <w:noWrap w:val="0"/>
                  <w:vAlign w:val="center"/>
                </w:tcPr>
                <w:p w14:paraId="0D9A0521">
                  <w:pPr>
                    <w:widowControl w:val="0"/>
                    <w:snapToGrid w:val="0"/>
                    <w:jc w:val="center"/>
                    <w:rPr>
                      <w:rFonts w:ascii="Times New Roman" w:hAnsi="Times New Roman" w:cs="Times New Roman"/>
                      <w:sz w:val="21"/>
                      <w:szCs w:val="21"/>
                    </w:rPr>
                  </w:pPr>
                </w:p>
              </w:tc>
              <w:tc>
                <w:tcPr>
                  <w:tcW w:w="397" w:type="pct"/>
                  <w:vMerge w:val="continue"/>
                  <w:noWrap w:val="0"/>
                  <w:vAlign w:val="center"/>
                </w:tcPr>
                <w:p w14:paraId="4BB60718">
                  <w:pPr>
                    <w:widowControl w:val="0"/>
                    <w:snapToGrid w:val="0"/>
                    <w:jc w:val="center"/>
                    <w:rPr>
                      <w:rFonts w:ascii="Times New Roman" w:hAnsi="Times New Roman" w:cs="Times New Roman"/>
                      <w:sz w:val="21"/>
                      <w:szCs w:val="21"/>
                    </w:rPr>
                  </w:pPr>
                </w:p>
              </w:tc>
              <w:tc>
                <w:tcPr>
                  <w:tcW w:w="324" w:type="pct"/>
                  <w:vMerge w:val="continue"/>
                  <w:noWrap w:val="0"/>
                  <w:vAlign w:val="center"/>
                </w:tcPr>
                <w:p w14:paraId="1B3034D5">
                  <w:pPr>
                    <w:widowControl w:val="0"/>
                    <w:snapToGrid w:val="0"/>
                    <w:jc w:val="center"/>
                    <w:rPr>
                      <w:rFonts w:ascii="Times New Roman" w:hAnsi="Times New Roman" w:cs="Times New Roman"/>
                      <w:sz w:val="21"/>
                      <w:szCs w:val="21"/>
                    </w:rPr>
                  </w:pPr>
                </w:p>
              </w:tc>
              <w:tc>
                <w:tcPr>
                  <w:tcW w:w="380" w:type="pct"/>
                  <w:noWrap w:val="0"/>
                  <w:vAlign w:val="center"/>
                </w:tcPr>
                <w:p w14:paraId="03844777">
                  <w:pPr>
                    <w:widowControl w:val="0"/>
                    <w:snapToGrid w:val="0"/>
                    <w:jc w:val="center"/>
                    <w:rPr>
                      <w:rFonts w:ascii="Times New Roman" w:hAnsi="Times New Roman" w:cs="Times New Roman"/>
                      <w:sz w:val="21"/>
                      <w:szCs w:val="21"/>
                    </w:rPr>
                  </w:pPr>
                  <w:r>
                    <w:rPr>
                      <w:rFonts w:ascii="Times New Roman" w:hAnsi="Times New Roman" w:cs="Times New Roman"/>
                      <w:sz w:val="21"/>
                      <w:szCs w:val="21"/>
                    </w:rPr>
                    <w:t>环境风险管控</w:t>
                  </w:r>
                </w:p>
              </w:tc>
              <w:tc>
                <w:tcPr>
                  <w:tcW w:w="2618" w:type="pct"/>
                  <w:noWrap w:val="0"/>
                  <w:vAlign w:val="center"/>
                </w:tcPr>
                <w:p w14:paraId="6FA24259">
                  <w:pPr>
                    <w:widowControl w:val="0"/>
                    <w:snapToGrid w:val="0"/>
                    <w:jc w:val="center"/>
                    <w:rPr>
                      <w:rFonts w:ascii="Times New Roman" w:hAnsi="Times New Roman" w:cs="Times New Roman"/>
                      <w:sz w:val="21"/>
                      <w:szCs w:val="21"/>
                    </w:rPr>
                  </w:pPr>
                  <w:r>
                    <w:rPr>
                      <w:rFonts w:ascii="Times New Roman" w:hAnsi="Times New Roman" w:cs="Times New Roman"/>
                      <w:sz w:val="21"/>
                      <w:szCs w:val="21"/>
                    </w:rPr>
                    <w:t>1.土壤污染重点监管单位应该严格控制有毒有害物质排放，并按年度向生态环境主管部门报告排放情况；建立土壤污染隐患排查制度，保证持续有效防止有毒有害物质渗漏、流失、扬散；制定、实施自行监测方案，并将监测数据报生态环境主管部门，对监测数据的真实性和准确性负责。3.生产、使用、贮存、运输、回收、处置、排放有毒有害物质的单位和个人，应当采取有效措施，防止有毒有害物质渗漏、流失、扬散，避免土壤受到污染。4.对建设用地土壤污染风险管控和修复名录中的地块，土壤污染责任人应当按照国家有关规定以及土壤污染风险评估报告的要求，采取相应的风险管控措施，并定期向地方人民政府生态环境主管部门报告。6.推进既有产业园区和产业集群循环化改造，推进企业内部工业用水循环利用、园区内企业间用水系统集成优化积极推进清洁生产审核，推动石化、化工、印染、电镀、有色金属等重点行业制定清洁生产改造提升计划推进新能源与节能环保产业发展，带动重大水生态环境治理项目实施。1.重点加强对暴雨、汛期等重点时段水质监测。</w:t>
                  </w:r>
                </w:p>
              </w:tc>
              <w:tc>
                <w:tcPr>
                  <w:tcW w:w="707" w:type="pct"/>
                  <w:noWrap w:val="0"/>
                  <w:vAlign w:val="center"/>
                </w:tcPr>
                <w:p w14:paraId="585AEBCF">
                  <w:pPr>
                    <w:widowControl w:val="0"/>
                    <w:snapToGrid w:val="0"/>
                    <w:jc w:val="center"/>
                    <w:rPr>
                      <w:rFonts w:ascii="Times New Roman" w:hAnsi="Times New Roman" w:cs="Times New Roman"/>
                      <w:sz w:val="21"/>
                      <w:szCs w:val="21"/>
                    </w:rPr>
                  </w:pPr>
                  <w:r>
                    <w:rPr>
                      <w:rFonts w:ascii="Times New Roman" w:hAnsi="Times New Roman" w:cs="Times New Roman"/>
                      <w:sz w:val="21"/>
                      <w:szCs w:val="21"/>
                    </w:rPr>
                    <w:t>本环评要求企业定期对危废间以及环保设施等进行安全状况检查，危废间进行防渗、防泄漏措施</w:t>
                  </w:r>
                </w:p>
              </w:tc>
              <w:tc>
                <w:tcPr>
                  <w:tcW w:w="276" w:type="pct"/>
                  <w:noWrap w:val="0"/>
                  <w:vAlign w:val="center"/>
                </w:tcPr>
                <w:p w14:paraId="5AF53E8F">
                  <w:pPr>
                    <w:widowControl w:val="0"/>
                    <w:snapToGrid w:val="0"/>
                    <w:jc w:val="center"/>
                    <w:rPr>
                      <w:rFonts w:ascii="Times New Roman" w:hAnsi="Times New Roman" w:cs="Times New Roman"/>
                      <w:sz w:val="21"/>
                      <w:szCs w:val="21"/>
                    </w:rPr>
                  </w:pPr>
                  <w:r>
                    <w:rPr>
                      <w:rFonts w:ascii="Times New Roman" w:hAnsi="Times New Roman" w:cs="Times New Roman"/>
                      <w:sz w:val="21"/>
                      <w:szCs w:val="21"/>
                    </w:rPr>
                    <w:t>符合</w:t>
                  </w:r>
                </w:p>
              </w:tc>
            </w:tr>
            <w:tr w14:paraId="34E487D8">
              <w:tblPrEx>
                <w:tblBorders>
                  <w:top w:val="single" w:color="0D0D0D" w:sz="12" w:space="0"/>
                  <w:left w:val="none" w:color="auto" w:sz="0" w:space="0"/>
                  <w:bottom w:val="single" w:color="0D0D0D" w:sz="12" w:space="0"/>
                  <w:right w:val="none" w:color="auto" w:sz="0" w:space="0"/>
                  <w:insideH w:val="single" w:color="0D0D0D" w:sz="4" w:space="0"/>
                  <w:insideV w:val="single" w:color="0D0D0D" w:sz="4" w:space="0"/>
                </w:tblBorders>
                <w:tblCellMar>
                  <w:top w:w="0" w:type="dxa"/>
                  <w:left w:w="108" w:type="dxa"/>
                  <w:bottom w:w="0" w:type="dxa"/>
                  <w:right w:w="108" w:type="dxa"/>
                </w:tblCellMar>
              </w:tblPrEx>
              <w:tc>
                <w:tcPr>
                  <w:tcW w:w="295" w:type="pct"/>
                  <w:vMerge w:val="continue"/>
                  <w:noWrap w:val="0"/>
                  <w:vAlign w:val="center"/>
                </w:tcPr>
                <w:p w14:paraId="647623BD">
                  <w:pPr>
                    <w:widowControl w:val="0"/>
                    <w:snapToGrid w:val="0"/>
                    <w:jc w:val="center"/>
                    <w:rPr>
                      <w:rFonts w:ascii="Times New Roman" w:hAnsi="Times New Roman" w:cs="Times New Roman"/>
                      <w:sz w:val="21"/>
                      <w:szCs w:val="21"/>
                    </w:rPr>
                  </w:pPr>
                </w:p>
              </w:tc>
              <w:tc>
                <w:tcPr>
                  <w:tcW w:w="397" w:type="pct"/>
                  <w:vMerge w:val="continue"/>
                  <w:noWrap w:val="0"/>
                  <w:vAlign w:val="center"/>
                </w:tcPr>
                <w:p w14:paraId="756DF716">
                  <w:pPr>
                    <w:widowControl w:val="0"/>
                    <w:snapToGrid w:val="0"/>
                    <w:jc w:val="center"/>
                    <w:rPr>
                      <w:rFonts w:ascii="Times New Roman" w:hAnsi="Times New Roman" w:cs="Times New Roman"/>
                      <w:sz w:val="21"/>
                      <w:szCs w:val="21"/>
                    </w:rPr>
                  </w:pPr>
                </w:p>
              </w:tc>
              <w:tc>
                <w:tcPr>
                  <w:tcW w:w="324" w:type="pct"/>
                  <w:vMerge w:val="continue"/>
                  <w:noWrap w:val="0"/>
                  <w:vAlign w:val="center"/>
                </w:tcPr>
                <w:p w14:paraId="27D9788A">
                  <w:pPr>
                    <w:widowControl w:val="0"/>
                    <w:snapToGrid w:val="0"/>
                    <w:jc w:val="center"/>
                    <w:rPr>
                      <w:rFonts w:ascii="Times New Roman" w:hAnsi="Times New Roman" w:cs="Times New Roman"/>
                      <w:sz w:val="21"/>
                      <w:szCs w:val="21"/>
                    </w:rPr>
                  </w:pPr>
                </w:p>
              </w:tc>
              <w:tc>
                <w:tcPr>
                  <w:tcW w:w="380" w:type="pct"/>
                  <w:noWrap w:val="0"/>
                  <w:vAlign w:val="center"/>
                </w:tcPr>
                <w:p w14:paraId="46709D00">
                  <w:pPr>
                    <w:widowControl w:val="0"/>
                    <w:snapToGrid w:val="0"/>
                    <w:jc w:val="center"/>
                    <w:rPr>
                      <w:rFonts w:ascii="Times New Roman" w:hAnsi="Times New Roman" w:cs="Times New Roman"/>
                      <w:sz w:val="21"/>
                      <w:szCs w:val="21"/>
                    </w:rPr>
                  </w:pPr>
                  <w:r>
                    <w:rPr>
                      <w:rFonts w:ascii="Times New Roman" w:hAnsi="Times New Roman" w:cs="Times New Roman"/>
                      <w:sz w:val="21"/>
                      <w:szCs w:val="21"/>
                    </w:rPr>
                    <w:t>资源开发利用效率</w:t>
                  </w:r>
                </w:p>
              </w:tc>
              <w:tc>
                <w:tcPr>
                  <w:tcW w:w="2618" w:type="pct"/>
                  <w:noWrap w:val="0"/>
                  <w:vAlign w:val="center"/>
                </w:tcPr>
                <w:p w14:paraId="1F19F1A8">
                  <w:pPr>
                    <w:widowControl w:val="0"/>
                    <w:snapToGrid w:val="0"/>
                    <w:jc w:val="center"/>
                    <w:rPr>
                      <w:rFonts w:ascii="Times New Roman" w:hAnsi="Times New Roman" w:cs="Times New Roman"/>
                      <w:sz w:val="21"/>
                      <w:szCs w:val="21"/>
                    </w:rPr>
                  </w:pPr>
                  <w:r>
                    <w:rPr>
                      <w:rFonts w:ascii="Times New Roman" w:hAnsi="Times New Roman" w:cs="Times New Roman"/>
                      <w:sz w:val="21"/>
                      <w:szCs w:val="21"/>
                    </w:rPr>
                    <w:t>1.坚持集中式与分布式建设并举，因地制宜建设集中式光伏发电项目，推动整县（市、区）屋顶分布式光伏发电试点工作。坚持集中式和分散式相结合，有序推进皖北平原连片风电项目建设，稳妥推进皖西南地区集中式风电项目建设，鼓励分散式风电商业模式创新。大力推进风光储一体化建设。加快建设一批抽水蓄能电站，打造千万千瓦级绿色储能基地。多元高效利用生物质能，推进农林生物质热电联产项目新建和供热改造，合理规划城镇生活垃圾焚烧发电项目，统筹布局生物燃料乙醇项目，适度发展先进生物质液体燃料。地下水限采区内不得新增地下水开采量。严控工农业等生产性用水新增地下水开采量；城乡居民生活和特殊水质要求确需增加开采量的，必须通过压减生产性用水，确保不增加现状开采量。3.严格控制开采深层承压水，地热水、矿泉水开发应严格实行取水许可和采矿许可。依法规范机井建设管理，排查登记已建机井，未经批准的和公共供水管网覆盖范围内自备水井，一律予以关闭。4.在地下水超采区，禁止农业、工业建设项目和服务业新增取用中深层地下水，并削减开采量，逐步实现地下水采补平衡。5.城市公共供水管网能够满足用水需要却通过自备取水设施取用地下水的，取水许可不予审批；地下水严重超采地区取用地下水的，取水许可不予审批。6.在城市公共供水管网覆盖的区域内，禁止新建地下水取水井用于餐饮、洗浴、洗车等服务业和小区、单位集中供水等。7.皖北平原地区应当限制高耗水、重污染产业发展，提高城镇污水处理标准，加强污水、采矿排水再生利用；支持规模农业使用高效节水灌溉技术；对地下水超采地区，应当制定综合治理措施，控制开采量，逐步实现采补平衡。</w:t>
                  </w:r>
                </w:p>
              </w:tc>
              <w:tc>
                <w:tcPr>
                  <w:tcW w:w="707" w:type="pct"/>
                  <w:noWrap w:val="0"/>
                  <w:vAlign w:val="center"/>
                </w:tcPr>
                <w:p w14:paraId="4A730141">
                  <w:pPr>
                    <w:widowControl w:val="0"/>
                    <w:autoSpaceDE w:val="0"/>
                    <w:autoSpaceDN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本项目不涉及</w:t>
                  </w:r>
                </w:p>
              </w:tc>
              <w:tc>
                <w:tcPr>
                  <w:tcW w:w="276" w:type="pct"/>
                  <w:noWrap w:val="0"/>
                  <w:vAlign w:val="center"/>
                </w:tcPr>
                <w:p w14:paraId="49182FA8">
                  <w:pPr>
                    <w:widowControl w:val="0"/>
                    <w:snapToGrid w:val="0"/>
                    <w:jc w:val="center"/>
                    <w:rPr>
                      <w:rFonts w:ascii="Times New Roman" w:hAnsi="Times New Roman" w:cs="Times New Roman"/>
                      <w:sz w:val="21"/>
                      <w:szCs w:val="21"/>
                    </w:rPr>
                  </w:pPr>
                  <w:r>
                    <w:rPr>
                      <w:rFonts w:ascii="Times New Roman" w:hAnsi="Times New Roman" w:cs="Times New Roman"/>
                      <w:sz w:val="21"/>
                      <w:szCs w:val="21"/>
                    </w:rPr>
                    <w:t>符合</w:t>
                  </w:r>
                </w:p>
              </w:tc>
            </w:tr>
          </w:tbl>
          <w:p w14:paraId="7D558571">
            <w:pPr>
              <w:spacing w:line="360" w:lineRule="auto"/>
              <w:ind w:firstLine="480" w:firstLineChars="200"/>
              <w:rPr>
                <w:kern w:val="0"/>
                <w:sz w:val="24"/>
              </w:rPr>
            </w:pPr>
            <w:r>
              <w:rPr>
                <w:kern w:val="0"/>
                <w:sz w:val="24"/>
              </w:rPr>
              <w:t>综上本项目符合“三线一单”的相关要求。</w:t>
            </w:r>
          </w:p>
          <w:p w14:paraId="25F68402">
            <w:pPr>
              <w:spacing w:line="360" w:lineRule="auto"/>
              <w:ind w:firstLine="482" w:firstLineChars="200"/>
              <w:rPr>
                <w:rFonts w:hint="eastAsia" w:ascii="Times New Roman" w:hAnsi="Times New Roman" w:eastAsia="宋体" w:cs="Times New Roman"/>
                <w:b/>
                <w:bCs/>
                <w:sz w:val="24"/>
                <w:lang w:val="en-US" w:eastAsia="zh-CN"/>
              </w:rPr>
            </w:pPr>
          </w:p>
          <w:p w14:paraId="1F0EF742">
            <w:pPr>
              <w:spacing w:line="360" w:lineRule="auto"/>
              <w:ind w:firstLine="482" w:firstLineChars="200"/>
              <w:rPr>
                <w:rFonts w:hint="eastAsia" w:ascii="Times New Roman" w:hAnsi="Times New Roman" w:eastAsia="宋体" w:cs="Times New Roman"/>
                <w:b/>
                <w:bCs/>
                <w:sz w:val="24"/>
                <w:lang w:val="en-US" w:eastAsia="zh-CN"/>
              </w:rPr>
            </w:pPr>
            <w:r>
              <w:rPr>
                <w:rFonts w:hint="eastAsia" w:ascii="Times New Roman" w:hAnsi="Times New Roman" w:eastAsia="宋体" w:cs="Times New Roman"/>
                <w:b/>
                <w:bCs/>
                <w:sz w:val="24"/>
                <w:lang w:val="en-US" w:eastAsia="zh-CN"/>
              </w:rPr>
              <w:t>2、产业政策符合性</w:t>
            </w:r>
          </w:p>
          <w:p w14:paraId="177082E9">
            <w:pPr>
              <w:spacing w:line="360" w:lineRule="auto"/>
              <w:ind w:firstLine="480"/>
              <w:rPr>
                <w:rFonts w:ascii="Times New Roman" w:hAnsi="Times New Roman" w:cs="Times New Roman"/>
                <w:szCs w:val="32"/>
              </w:rPr>
            </w:pPr>
            <w:r>
              <w:rPr>
                <w:rFonts w:ascii="Times New Roman" w:hAnsi="Times New Roman" w:cs="Times New Roman"/>
                <w:szCs w:val="32"/>
              </w:rPr>
              <w:t>本项目行业类别属于C2</w:t>
            </w:r>
            <w:r>
              <w:rPr>
                <w:rFonts w:hint="eastAsia" w:cs="Times New Roman"/>
                <w:szCs w:val="32"/>
                <w:lang w:val="en-US" w:eastAsia="zh-CN"/>
              </w:rPr>
              <w:t>190其他家具制造</w:t>
            </w:r>
            <w:r>
              <w:rPr>
                <w:rFonts w:ascii="Times New Roman" w:hAnsi="Times New Roman" w:cs="Times New Roman"/>
                <w:szCs w:val="32"/>
              </w:rPr>
              <w:t>，根据国家发展和改革委员会发布的《产业结构调整指导目录（2024年本）》，不属于目录中的鼓励类、限制类和淘汰类，可视为允许类项目；根据《国家发展改革委商务部关于印发&lt;市场准入负面清单（2022年版）&gt;的通知》，本项目不属于禁止准入类，属于允许类项目。</w:t>
            </w:r>
          </w:p>
          <w:p w14:paraId="19DD0A0B">
            <w:pPr>
              <w:spacing w:line="360" w:lineRule="auto"/>
              <w:ind w:firstLine="420" w:firstLineChars="200"/>
              <w:jc w:val="both"/>
              <w:rPr>
                <w:rFonts w:ascii="Times New Roman" w:hAnsi="Times New Roman" w:cs="Times New Roman"/>
                <w:szCs w:val="32"/>
              </w:rPr>
            </w:pPr>
            <w:r>
              <w:rPr>
                <w:rFonts w:ascii="Times New Roman" w:hAnsi="Times New Roman" w:cs="Times New Roman"/>
                <w:szCs w:val="32"/>
              </w:rPr>
              <w:t>本项目已经宿州市埇桥区发展和改革委员会</w:t>
            </w:r>
            <w:r>
              <w:rPr>
                <w:rFonts w:ascii="Times New Roman" w:hAnsi="Times New Roman" w:cs="Times New Roman"/>
                <w:bCs/>
                <w:szCs w:val="32"/>
              </w:rPr>
              <w:t>备案，项目编号：</w:t>
            </w:r>
            <w:r>
              <w:rPr>
                <w:rFonts w:hint="eastAsia" w:ascii="Times New Roman" w:hAnsi="Times New Roman" w:cs="Times New Roman"/>
                <w:szCs w:val="32"/>
              </w:rPr>
              <w:t>2307-341302-04-01-495523</w:t>
            </w:r>
            <w:r>
              <w:rPr>
                <w:rFonts w:ascii="Times New Roman" w:hAnsi="Times New Roman" w:cs="Times New Roman"/>
                <w:szCs w:val="32"/>
              </w:rPr>
              <w:t>。</w:t>
            </w:r>
          </w:p>
          <w:p w14:paraId="28F71824">
            <w:pPr>
              <w:spacing w:line="360" w:lineRule="auto"/>
              <w:ind w:firstLine="420" w:firstLineChars="200"/>
              <w:rPr>
                <w:rFonts w:ascii="Times New Roman" w:hAnsi="Times New Roman" w:cs="Times New Roman"/>
                <w:szCs w:val="32"/>
              </w:rPr>
            </w:pPr>
            <w:r>
              <w:rPr>
                <w:rFonts w:ascii="Times New Roman" w:hAnsi="Times New Roman" w:cs="Times New Roman"/>
                <w:szCs w:val="32"/>
              </w:rPr>
              <w:t>因此，本项目符合国家和地方产业政策要求。</w:t>
            </w:r>
          </w:p>
          <w:p w14:paraId="50D7EC57">
            <w:pPr>
              <w:spacing w:line="360" w:lineRule="auto"/>
              <w:ind w:firstLine="482" w:firstLineChars="200"/>
              <w:rPr>
                <w:rFonts w:ascii="Times New Roman" w:hAnsi="Times New Roman" w:eastAsia="宋体" w:cs="Times New Roman"/>
                <w:b/>
                <w:bCs/>
                <w:sz w:val="24"/>
              </w:rPr>
            </w:pPr>
            <w:r>
              <w:rPr>
                <w:rFonts w:hint="eastAsia" w:ascii="Times New Roman" w:hAnsi="Times New Roman" w:eastAsia="宋体" w:cs="Times New Roman"/>
                <w:b/>
                <w:bCs/>
                <w:sz w:val="24"/>
                <w:lang w:val="en-US" w:eastAsia="zh-CN"/>
              </w:rPr>
              <w:t>3</w:t>
            </w:r>
            <w:r>
              <w:rPr>
                <w:rFonts w:ascii="Times New Roman" w:hAnsi="Times New Roman" w:eastAsia="宋体" w:cs="Times New Roman"/>
                <w:b/>
                <w:bCs/>
                <w:sz w:val="24"/>
              </w:rPr>
              <w:t>、建设项目选址合理性分析</w:t>
            </w:r>
          </w:p>
          <w:p w14:paraId="584BF863">
            <w:pPr>
              <w:adjustRightInd w:val="0"/>
              <w:snapToGrid w:val="0"/>
              <w:spacing w:line="360" w:lineRule="auto"/>
              <w:ind w:firstLine="420" w:firstLineChars="200"/>
              <w:rPr>
                <w:rFonts w:ascii="Times New Roman" w:hAnsi="Times New Roman" w:cs="Times New Roman"/>
                <w:szCs w:val="32"/>
              </w:rPr>
            </w:pPr>
            <w:r>
              <w:rPr>
                <w:rFonts w:ascii="Times New Roman" w:hAnsi="Times New Roman" w:cs="Times New Roman"/>
                <w:szCs w:val="32"/>
              </w:rPr>
              <w:t>本项目位于安徽省宿州市埇桥区</w:t>
            </w:r>
            <w:r>
              <w:rPr>
                <w:rFonts w:hint="eastAsia" w:cs="Times New Roman"/>
                <w:szCs w:val="32"/>
                <w:lang w:val="en-US" w:eastAsia="zh-CN"/>
              </w:rPr>
              <w:t>符离</w:t>
            </w:r>
            <w:r>
              <w:rPr>
                <w:rFonts w:ascii="Times New Roman" w:hAnsi="Times New Roman" w:cs="Times New Roman"/>
                <w:szCs w:val="32"/>
              </w:rPr>
              <w:t>镇</w:t>
            </w:r>
            <w:r>
              <w:rPr>
                <w:rFonts w:hint="eastAsia" w:ascii="Times New Roman" w:hAnsi="Times New Roman" w:cs="Times New Roman"/>
                <w:szCs w:val="32"/>
              </w:rPr>
              <w:t>埇北工业园内</w:t>
            </w:r>
            <w:r>
              <w:rPr>
                <w:rFonts w:hint="eastAsia" w:cs="Times New Roman"/>
                <w:szCs w:val="32"/>
                <w:lang w:val="en-US" w:eastAsia="zh-CN"/>
              </w:rPr>
              <w:t>现有厂房内</w:t>
            </w:r>
            <w:r>
              <w:rPr>
                <w:rFonts w:ascii="Times New Roman" w:hAnsi="Times New Roman" w:cs="Times New Roman"/>
                <w:szCs w:val="32"/>
              </w:rPr>
              <w:t>，本项目所在地块用地性质为工业用地，且厂址范围内无矿床、文物古迹和军事设施，无基本农田保护区，无各类列入国家保护目录的动植物资源，无风景名胜古迹等环境敏感点，因此，项目的建设符合宿州市环境保护规划的要求，与区域环境功能相容性较好，项目选址合理。</w:t>
            </w:r>
          </w:p>
          <w:p w14:paraId="097C7509">
            <w:pPr>
              <w:spacing w:line="360" w:lineRule="auto"/>
              <w:ind w:firstLine="482" w:firstLineChars="200"/>
              <w:rPr>
                <w:b/>
                <w:bCs/>
                <w:sz w:val="24"/>
              </w:rPr>
            </w:pPr>
            <w:r>
              <w:rPr>
                <w:b/>
                <w:bCs/>
                <w:sz w:val="24"/>
              </w:rPr>
              <w:t>4、与《重点行业挥发性有机物综合治理方案》（环大气〔2019〕53号）相容性。</w:t>
            </w:r>
          </w:p>
          <w:p w14:paraId="06A29C5C">
            <w:pPr>
              <w:jc w:val="center"/>
              <w:rPr>
                <w:b/>
                <w:bCs/>
                <w:sz w:val="24"/>
              </w:rPr>
            </w:pPr>
            <w:r>
              <w:rPr>
                <w:b/>
                <w:bCs/>
                <w:sz w:val="24"/>
              </w:rPr>
              <w:t>表1-</w:t>
            </w:r>
            <w:r>
              <w:rPr>
                <w:rFonts w:hint="eastAsia"/>
                <w:b/>
                <w:bCs/>
                <w:sz w:val="24"/>
                <w:lang w:val="en-US" w:eastAsia="zh-CN"/>
              </w:rPr>
              <w:t>6</w:t>
            </w:r>
            <w:r>
              <w:rPr>
                <w:b/>
                <w:bCs/>
                <w:sz w:val="24"/>
              </w:rPr>
              <w:t xml:space="preserve">  与《重点行业挥发性有机物综合治理方案》（环大气〔2019〕53号）符合性</w:t>
            </w:r>
          </w:p>
          <w:tbl>
            <w:tblPr>
              <w:tblStyle w:val="28"/>
              <w:tblW w:w="463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0"/>
              <w:gridCol w:w="1638"/>
              <w:gridCol w:w="659"/>
            </w:tblGrid>
            <w:tr w14:paraId="7DF5E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3408" w:type="pct"/>
                  <w:tcBorders>
                    <w:top w:val="single" w:color="auto" w:sz="4" w:space="0"/>
                    <w:left w:val="single" w:color="auto" w:sz="4" w:space="0"/>
                    <w:right w:val="single" w:color="auto" w:sz="4" w:space="0"/>
                  </w:tcBorders>
                  <w:vAlign w:val="center"/>
                </w:tcPr>
                <w:p w14:paraId="275530D8">
                  <w:pPr>
                    <w:jc w:val="center"/>
                    <w:rPr>
                      <w:b/>
                      <w:bCs/>
                    </w:rPr>
                  </w:pPr>
                  <w:r>
                    <w:rPr>
                      <w:b/>
                      <w:bCs/>
                    </w:rPr>
                    <w:t>政策要求</w:t>
                  </w:r>
                </w:p>
              </w:tc>
              <w:tc>
                <w:tcPr>
                  <w:tcW w:w="1135" w:type="pct"/>
                  <w:tcBorders>
                    <w:top w:val="single" w:color="auto" w:sz="4" w:space="0"/>
                    <w:left w:val="nil"/>
                    <w:bottom w:val="single" w:color="auto" w:sz="4" w:space="0"/>
                    <w:right w:val="single" w:color="auto" w:sz="4" w:space="0"/>
                  </w:tcBorders>
                  <w:vAlign w:val="center"/>
                </w:tcPr>
                <w:p w14:paraId="0A3F8386">
                  <w:pPr>
                    <w:jc w:val="center"/>
                    <w:rPr>
                      <w:b/>
                      <w:bCs/>
                    </w:rPr>
                  </w:pPr>
                  <w:r>
                    <w:rPr>
                      <w:b/>
                      <w:bCs/>
                    </w:rPr>
                    <w:t>本项目</w:t>
                  </w:r>
                </w:p>
              </w:tc>
              <w:tc>
                <w:tcPr>
                  <w:tcW w:w="456" w:type="pct"/>
                  <w:tcBorders>
                    <w:top w:val="single" w:color="auto" w:sz="4" w:space="0"/>
                    <w:left w:val="nil"/>
                    <w:bottom w:val="single" w:color="auto" w:sz="4" w:space="0"/>
                    <w:right w:val="single" w:color="auto" w:sz="4" w:space="0"/>
                  </w:tcBorders>
                  <w:vAlign w:val="center"/>
                </w:tcPr>
                <w:p w14:paraId="41A54FDF">
                  <w:pPr>
                    <w:jc w:val="center"/>
                    <w:rPr>
                      <w:b/>
                      <w:bCs/>
                    </w:rPr>
                  </w:pPr>
                  <w:r>
                    <w:rPr>
                      <w:b/>
                      <w:bCs/>
                    </w:rPr>
                    <w:t>符合性</w:t>
                  </w:r>
                </w:p>
              </w:tc>
            </w:tr>
            <w:tr w14:paraId="274F8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3" w:hRule="atLeast"/>
                <w:jc w:val="center"/>
              </w:trPr>
              <w:tc>
                <w:tcPr>
                  <w:tcW w:w="3408" w:type="pct"/>
                  <w:tcBorders>
                    <w:top w:val="single" w:color="auto" w:sz="4" w:space="0"/>
                    <w:left w:val="single" w:color="auto" w:sz="4" w:space="0"/>
                    <w:bottom w:val="single" w:color="auto" w:sz="4" w:space="0"/>
                    <w:right w:val="single" w:color="auto" w:sz="4" w:space="0"/>
                  </w:tcBorders>
                  <w:vAlign w:val="center"/>
                </w:tcPr>
                <w:p w14:paraId="5EA86995">
                  <w:pPr>
                    <w:pStyle w:val="26"/>
                    <w:jc w:val="center"/>
                    <w:rPr>
                      <w:rFonts w:ascii="Times New Roman" w:hAnsi="Times New Roman"/>
                      <w:sz w:val="21"/>
                      <w:szCs w:val="21"/>
                    </w:rPr>
                  </w:pPr>
                  <w:r>
                    <w:rPr>
                      <w:rFonts w:ascii="Times New Roman" w:hAnsi="Times New Roman"/>
                      <w:sz w:val="21"/>
                      <w:szCs w:val="21"/>
                    </w:rPr>
                    <w:t>（一）大力推进源头替代。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工业涂装、包装印刷等行业要加大源头替代力度；化工行业要推广使用低（无）VOCs含量、低反应活性的原辅材料，加快对芳香烃、含卤素有机化合物的绿色替代。企业应大力推广使用低VOCs含量木器涂料、车辆涂料、机械设备涂料、集装箱涂料以及建筑物和构筑物防护涂料等，在技术成熟的行业，推广使用低VOCs含量油墨和胶粘剂，重点区域到2020年年底前基本完成。鼓励加快低VOCs含量涂料、油墨、胶粘剂等研发和生产。</w:t>
                  </w:r>
                </w:p>
              </w:tc>
              <w:tc>
                <w:tcPr>
                  <w:tcW w:w="1135" w:type="pct"/>
                  <w:tcBorders>
                    <w:top w:val="single" w:color="auto" w:sz="4" w:space="0"/>
                    <w:left w:val="nil"/>
                    <w:bottom w:val="single" w:color="auto" w:sz="4" w:space="0"/>
                    <w:right w:val="single" w:color="auto" w:sz="4" w:space="0"/>
                  </w:tcBorders>
                  <w:vAlign w:val="center"/>
                </w:tcPr>
                <w:p w14:paraId="7DE76E17">
                  <w:pPr>
                    <w:jc w:val="center"/>
                    <w:rPr>
                      <w:rFonts w:hint="eastAsia"/>
                    </w:rPr>
                  </w:pPr>
                  <w:r>
                    <w:rPr>
                      <w:rFonts w:hint="eastAsia"/>
                    </w:rPr>
                    <w:t>本项目主要涉及注塑，不涉及涂料、油墨、胶粘剂等。</w:t>
                  </w:r>
                </w:p>
              </w:tc>
              <w:tc>
                <w:tcPr>
                  <w:tcW w:w="456" w:type="pct"/>
                  <w:tcBorders>
                    <w:top w:val="single" w:color="auto" w:sz="4" w:space="0"/>
                    <w:left w:val="nil"/>
                    <w:bottom w:val="single" w:color="auto" w:sz="4" w:space="0"/>
                    <w:right w:val="single" w:color="auto" w:sz="4" w:space="0"/>
                  </w:tcBorders>
                  <w:vAlign w:val="center"/>
                </w:tcPr>
                <w:p w14:paraId="327756F3">
                  <w:pPr>
                    <w:jc w:val="center"/>
                  </w:pPr>
                  <w:r>
                    <w:t>符合</w:t>
                  </w:r>
                </w:p>
              </w:tc>
            </w:tr>
            <w:tr w14:paraId="31035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9" w:hRule="atLeast"/>
                <w:jc w:val="center"/>
              </w:trPr>
              <w:tc>
                <w:tcPr>
                  <w:tcW w:w="3408" w:type="pct"/>
                  <w:tcBorders>
                    <w:top w:val="single" w:color="auto" w:sz="4" w:space="0"/>
                    <w:left w:val="single" w:color="auto" w:sz="4" w:space="0"/>
                    <w:bottom w:val="single" w:color="auto" w:sz="4" w:space="0"/>
                    <w:right w:val="single" w:color="auto" w:sz="4" w:space="0"/>
                  </w:tcBorders>
                  <w:vAlign w:val="center"/>
                </w:tcPr>
                <w:p w14:paraId="30D503D9">
                  <w:pPr>
                    <w:pStyle w:val="26"/>
                    <w:jc w:val="center"/>
                    <w:rPr>
                      <w:rFonts w:ascii="Times New Roman" w:hAnsi="Times New Roman"/>
                      <w:sz w:val="21"/>
                      <w:szCs w:val="21"/>
                    </w:rPr>
                  </w:pPr>
                  <w:r>
                    <w:rPr>
                      <w:rFonts w:ascii="Times New Roman" w:hAnsi="Times New Roman"/>
                      <w:sz w:val="21"/>
                      <w:szCs w:val="21"/>
                    </w:rPr>
                    <w:t>（三）推进建设适宜高效的治污设施。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生物法主要适用于低浓度VOCs废气治理和恶臭异味治理。非水溶性的VOCs废气禁止采用水或水溶液喷淋吸收处理。采用一次性活性炭吸附技术的，应定期更换活性炭，废旧活性炭应再生或处理处置。有条件的工业园区和产业集群等，推广集中喷涂、溶剂集中回收、活性炭集中再生等，加强资源共享，提高VOCs治理效率。</w:t>
                  </w:r>
                </w:p>
              </w:tc>
              <w:tc>
                <w:tcPr>
                  <w:tcW w:w="1135" w:type="pct"/>
                  <w:tcBorders>
                    <w:top w:val="single" w:color="auto" w:sz="4" w:space="0"/>
                    <w:left w:val="nil"/>
                    <w:bottom w:val="single" w:color="auto" w:sz="4" w:space="0"/>
                    <w:right w:val="single" w:color="auto" w:sz="4" w:space="0"/>
                  </w:tcBorders>
                  <w:vAlign w:val="center"/>
                </w:tcPr>
                <w:p w14:paraId="77015EBD">
                  <w:pPr>
                    <w:jc w:val="center"/>
                  </w:pPr>
                  <w:r>
                    <w:t>项目</w:t>
                  </w:r>
                  <w:r>
                    <w:rPr>
                      <w:rFonts w:hint="eastAsia"/>
                    </w:rPr>
                    <w:t>注塑</w:t>
                  </w:r>
                  <w:r>
                    <w:t>等工序产生的</w:t>
                  </w:r>
                  <w:r>
                    <w:rPr>
                      <w:rFonts w:hint="eastAsia"/>
                    </w:rPr>
                    <w:t>挥发性有机物</w:t>
                  </w:r>
                  <w:r>
                    <w:t>收集后经二级活性炭吸附装置+</w:t>
                  </w:r>
                  <w:r>
                    <w:rPr>
                      <w:rFonts w:hint="eastAsia"/>
                    </w:rPr>
                    <w:t>1</w:t>
                  </w:r>
                  <w:r>
                    <w:t>5m高排气筒高空排放。符合相关要求，活性炭定期更换</w:t>
                  </w:r>
                </w:p>
              </w:tc>
              <w:tc>
                <w:tcPr>
                  <w:tcW w:w="456" w:type="pct"/>
                  <w:tcBorders>
                    <w:top w:val="single" w:color="auto" w:sz="4" w:space="0"/>
                    <w:left w:val="nil"/>
                    <w:bottom w:val="single" w:color="auto" w:sz="4" w:space="0"/>
                    <w:right w:val="single" w:color="auto" w:sz="4" w:space="0"/>
                  </w:tcBorders>
                  <w:vAlign w:val="center"/>
                </w:tcPr>
                <w:p w14:paraId="0A9C80BC">
                  <w:pPr>
                    <w:jc w:val="center"/>
                  </w:pPr>
                  <w:r>
                    <w:t>符合</w:t>
                  </w:r>
                </w:p>
              </w:tc>
            </w:tr>
          </w:tbl>
          <w:p w14:paraId="3E405E13">
            <w:pPr>
              <w:rPr>
                <w:sz w:val="18"/>
                <w:szCs w:val="18"/>
              </w:rPr>
            </w:pPr>
          </w:p>
          <w:p w14:paraId="158FF14E">
            <w:pPr>
              <w:pStyle w:val="12"/>
            </w:pPr>
          </w:p>
        </w:tc>
      </w:tr>
    </w:tbl>
    <w:p w14:paraId="4683C9E2">
      <w:pPr>
        <w:spacing w:line="360" w:lineRule="auto"/>
        <w:outlineLvl w:val="0"/>
        <w:sectPr>
          <w:footerReference r:id="rId4" w:type="default"/>
          <w:pgSz w:w="11906" w:h="16838"/>
          <w:pgMar w:top="1440" w:right="1418" w:bottom="1440" w:left="1418" w:header="851" w:footer="1077" w:gutter="0"/>
          <w:pgNumType w:start="1"/>
          <w:cols w:space="720" w:num="1"/>
          <w:docGrid w:linePitch="312" w:charSpace="0"/>
        </w:sectPr>
      </w:pPr>
    </w:p>
    <w:p w14:paraId="16FB5FDE">
      <w:pPr>
        <w:pStyle w:val="26"/>
        <w:snapToGrid w:val="0"/>
        <w:spacing w:before="0" w:beforeAutospacing="0" w:after="0" w:afterAutospacing="0" w:line="360" w:lineRule="auto"/>
        <w:jc w:val="center"/>
        <w:outlineLvl w:val="0"/>
        <w:rPr>
          <w:rFonts w:ascii="Times New Roman" w:hAnsi="Times New Roman"/>
          <w:b/>
          <w:bCs/>
          <w:snapToGrid w:val="0"/>
          <w:sz w:val="30"/>
          <w:szCs w:val="30"/>
        </w:rPr>
      </w:pPr>
      <w:r>
        <w:rPr>
          <w:rFonts w:ascii="Times New Roman" w:hAnsi="Times New Roman"/>
          <w:b/>
          <w:bCs/>
          <w:snapToGrid w:val="0"/>
          <w:sz w:val="30"/>
          <w:szCs w:val="30"/>
        </w:rPr>
        <w:t>二、建设项目工程分析</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838"/>
        <w:gridCol w:w="8448"/>
      </w:tblGrid>
      <w:tr w14:paraId="368E632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451" w:type="pct"/>
            <w:tcBorders>
              <w:tl2br w:val="nil"/>
              <w:tr2bl w:val="nil"/>
            </w:tcBorders>
            <w:vAlign w:val="center"/>
          </w:tcPr>
          <w:p w14:paraId="44997A3A">
            <w:pPr>
              <w:pStyle w:val="26"/>
              <w:adjustRightInd w:val="0"/>
              <w:snapToGrid w:val="0"/>
              <w:spacing w:before="0" w:beforeAutospacing="0" w:after="0" w:afterAutospacing="0"/>
              <w:jc w:val="center"/>
              <w:rPr>
                <w:rFonts w:ascii="Times New Roman" w:hAnsi="Times New Roman"/>
                <w:szCs w:val="24"/>
              </w:rPr>
            </w:pPr>
            <w:r>
              <w:rPr>
                <w:rFonts w:ascii="Times New Roman" w:hAnsi="Times New Roman"/>
                <w:szCs w:val="24"/>
              </w:rPr>
              <w:t>建设内容</w:t>
            </w:r>
          </w:p>
        </w:tc>
        <w:tc>
          <w:tcPr>
            <w:tcW w:w="4549" w:type="pct"/>
            <w:tcBorders>
              <w:tl2br w:val="nil"/>
              <w:tr2bl w:val="nil"/>
            </w:tcBorders>
          </w:tcPr>
          <w:p w14:paraId="02AEEEFE">
            <w:pPr>
              <w:adjustRightInd w:val="0"/>
              <w:snapToGrid w:val="0"/>
              <w:spacing w:line="360" w:lineRule="auto"/>
              <w:rPr>
                <w:b/>
                <w:sz w:val="24"/>
              </w:rPr>
            </w:pPr>
            <w:r>
              <w:rPr>
                <w:b/>
                <w:sz w:val="24"/>
              </w:rPr>
              <w:t>一、项目由来</w:t>
            </w:r>
          </w:p>
          <w:p w14:paraId="6C780677">
            <w:pPr>
              <w:adjustRightInd w:val="0"/>
              <w:snapToGrid w:val="0"/>
              <w:spacing w:line="360" w:lineRule="auto"/>
              <w:ind w:firstLine="480" w:firstLineChars="200"/>
              <w:rPr>
                <w:sz w:val="24"/>
              </w:rPr>
            </w:pPr>
            <w:r>
              <w:rPr>
                <w:sz w:val="24"/>
              </w:rPr>
              <w:t>宿州市博众塑业有限公司在安徽省宿州市埇桥区符离镇埇北工业园内投资2500万元建设“宿州市博众塑业有限公司年产3万张电竞椅生产项目”，项目租赁宿州市威菱耐火材料有限责任公司厂房，建筑面积为6300m</w:t>
            </w:r>
            <w:r>
              <w:rPr>
                <w:sz w:val="24"/>
                <w:vertAlign w:val="superscript"/>
              </w:rPr>
              <w:t>2</w:t>
            </w:r>
            <w:r>
              <w:rPr>
                <w:sz w:val="24"/>
              </w:rPr>
              <w:t>，建设注塑、组装等车间，购</w:t>
            </w:r>
            <w:r>
              <w:rPr>
                <w:color w:val="auto"/>
                <w:sz w:val="24"/>
              </w:rPr>
              <w:t>置注塑机、缝纫机、</w:t>
            </w:r>
            <w:r>
              <w:rPr>
                <w:rFonts w:hint="eastAsia"/>
                <w:color w:val="auto"/>
                <w:sz w:val="24"/>
                <w:lang w:val="en-US" w:eastAsia="zh-CN"/>
              </w:rPr>
              <w:t>雕刻机</w:t>
            </w:r>
            <w:r>
              <w:rPr>
                <w:color w:val="auto"/>
                <w:sz w:val="24"/>
              </w:rPr>
              <w:t>等</w:t>
            </w:r>
            <w:r>
              <w:rPr>
                <w:sz w:val="24"/>
              </w:rPr>
              <w:t>设备，并配套建设变配电、给排水等附属工程，建成后可形成年产电竞椅约3万张的生产规模。目前，该项目已在埇桥区发展改革委备案，备案代码2307-341302-04-01-495523。</w:t>
            </w:r>
          </w:p>
          <w:p w14:paraId="74883A79">
            <w:pPr>
              <w:adjustRightInd w:val="0"/>
              <w:snapToGrid w:val="0"/>
              <w:spacing w:line="360" w:lineRule="auto"/>
              <w:ind w:firstLine="480" w:firstLineChars="200"/>
              <w:rPr>
                <w:sz w:val="24"/>
              </w:rPr>
            </w:pPr>
            <w:r>
              <w:rPr>
                <w:sz w:val="24"/>
              </w:rPr>
              <w:t>依据《建设项目环境影响评价分类管理名录》（2021年版）的有关规定，本项目属于18-36其他家具制造-其他（仅分割、焊接、组装的除外；年用非溶剂型低VOCs含量涂料10吨以下的除外）”，因此该项目应编制环境影响报告表。</w:t>
            </w:r>
          </w:p>
          <w:p w14:paraId="29381836">
            <w:pPr>
              <w:pStyle w:val="52"/>
              <w:numPr>
                <w:ilvl w:val="0"/>
                <w:numId w:val="1"/>
              </w:numPr>
              <w:spacing w:before="120" w:beforeLines="50" w:line="360" w:lineRule="auto"/>
              <w:ind w:left="419" w:hanging="130"/>
              <w:rPr>
                <w:rFonts w:cs="Times New Roman"/>
              </w:rPr>
            </w:pPr>
            <w:r>
              <w:rPr>
                <w:rFonts w:cs="Times New Roman"/>
              </w:rPr>
              <w:t>建设项目环境影响评价分类管理名录（2021版摘录）</w:t>
            </w:r>
          </w:p>
          <w:tbl>
            <w:tblPr>
              <w:tblStyle w:val="75"/>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030"/>
              <w:gridCol w:w="2573"/>
              <w:gridCol w:w="3617"/>
              <w:gridCol w:w="586"/>
            </w:tblGrid>
            <w:tr w14:paraId="5D8EFC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2"/>
                  <w:vAlign w:val="center"/>
                </w:tcPr>
                <w:p w14:paraId="6805AAF4">
                  <w:pPr>
                    <w:widowControl/>
                    <w:snapToGrid w:val="0"/>
                    <w:jc w:val="right"/>
                    <w:rPr>
                      <w:rFonts w:ascii="Times New Roman" w:hAnsi="Times New Roman"/>
                      <w:snapToGrid w:val="0"/>
                      <w:szCs w:val="21"/>
                    </w:rPr>
                  </w:pPr>
                  <w:r>
                    <w:rPr>
                      <w:rFonts w:ascii="Times New Roman" w:hAnsi="Times New Roman"/>
                      <w:snapToGrid w:val="0"/>
                      <w:szCs w:val="21"/>
                    </w:rPr>
                    <w:t>环评类别</w:t>
                  </w:r>
                </w:p>
                <w:p w14:paraId="3C7C3C97">
                  <w:pPr>
                    <w:widowControl/>
                    <w:snapToGrid w:val="0"/>
                    <w:jc w:val="left"/>
                    <w:rPr>
                      <w:rFonts w:ascii="Times New Roman" w:hAnsi="Times New Roman"/>
                      <w:snapToGrid w:val="0"/>
                      <w:szCs w:val="21"/>
                    </w:rPr>
                  </w:pPr>
                  <w:r>
                    <w:rPr>
                      <w:rFonts w:ascii="Times New Roman" w:hAnsi="Times New Roman"/>
                      <w:snapToGrid w:val="0"/>
                      <w:szCs w:val="21"/>
                    </w:rPr>
                    <w:t>项目类别</w:t>
                  </w:r>
                </w:p>
              </w:tc>
              <w:tc>
                <w:tcPr>
                  <w:tcW w:w="0" w:type="auto"/>
                  <w:vAlign w:val="center"/>
                </w:tcPr>
                <w:p w14:paraId="052D408E">
                  <w:pPr>
                    <w:widowControl/>
                    <w:snapToGrid w:val="0"/>
                    <w:jc w:val="left"/>
                    <w:rPr>
                      <w:rFonts w:ascii="Times New Roman" w:hAnsi="Times New Roman"/>
                      <w:snapToGrid w:val="0"/>
                      <w:szCs w:val="21"/>
                    </w:rPr>
                  </w:pPr>
                  <w:r>
                    <w:rPr>
                      <w:rFonts w:ascii="Times New Roman" w:hAnsi="Times New Roman"/>
                      <w:snapToGrid w:val="0"/>
                      <w:szCs w:val="21"/>
                    </w:rPr>
                    <w:t>报告书</w:t>
                  </w:r>
                </w:p>
              </w:tc>
              <w:tc>
                <w:tcPr>
                  <w:tcW w:w="0" w:type="auto"/>
                  <w:vAlign w:val="center"/>
                </w:tcPr>
                <w:p w14:paraId="341236F1">
                  <w:pPr>
                    <w:widowControl/>
                    <w:snapToGrid w:val="0"/>
                    <w:jc w:val="left"/>
                    <w:rPr>
                      <w:rFonts w:ascii="Times New Roman" w:hAnsi="Times New Roman"/>
                      <w:snapToGrid w:val="0"/>
                      <w:szCs w:val="21"/>
                    </w:rPr>
                  </w:pPr>
                  <w:r>
                    <w:rPr>
                      <w:rFonts w:ascii="Times New Roman" w:hAnsi="Times New Roman"/>
                      <w:snapToGrid w:val="0"/>
                      <w:szCs w:val="21"/>
                    </w:rPr>
                    <w:t>报告表</w:t>
                  </w:r>
                </w:p>
              </w:tc>
              <w:tc>
                <w:tcPr>
                  <w:tcW w:w="0" w:type="auto"/>
                  <w:vAlign w:val="center"/>
                </w:tcPr>
                <w:p w14:paraId="39D28D99">
                  <w:pPr>
                    <w:widowControl/>
                    <w:snapToGrid w:val="0"/>
                    <w:jc w:val="center"/>
                    <w:rPr>
                      <w:rFonts w:ascii="Times New Roman" w:hAnsi="Times New Roman"/>
                      <w:snapToGrid w:val="0"/>
                      <w:szCs w:val="21"/>
                    </w:rPr>
                  </w:pPr>
                  <w:r>
                    <w:rPr>
                      <w:rFonts w:ascii="Times New Roman" w:hAnsi="Times New Roman"/>
                      <w:snapToGrid w:val="0"/>
                      <w:szCs w:val="21"/>
                    </w:rPr>
                    <w:t>登记表</w:t>
                  </w:r>
                </w:p>
              </w:tc>
            </w:tr>
            <w:tr w14:paraId="766BB1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5"/>
                  <w:vAlign w:val="center"/>
                </w:tcPr>
                <w:p w14:paraId="5177A7C2">
                  <w:pPr>
                    <w:widowControl/>
                    <w:snapToGrid w:val="0"/>
                    <w:jc w:val="left"/>
                    <w:rPr>
                      <w:rFonts w:ascii="Times New Roman" w:hAnsi="Times New Roman"/>
                      <w:snapToGrid w:val="0"/>
                      <w:szCs w:val="21"/>
                    </w:rPr>
                  </w:pPr>
                  <w:r>
                    <w:rPr>
                      <w:rFonts w:ascii="Times New Roman" w:hAnsi="Times New Roman"/>
                      <w:snapToGrid w:val="0"/>
                      <w:szCs w:val="21"/>
                    </w:rPr>
                    <w:t>十八、家具制造业21</w:t>
                  </w:r>
                </w:p>
              </w:tc>
            </w:tr>
            <w:tr w14:paraId="22466C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C8402F7">
                  <w:pPr>
                    <w:widowControl/>
                    <w:snapToGrid w:val="0"/>
                    <w:jc w:val="left"/>
                    <w:rPr>
                      <w:rFonts w:ascii="Times New Roman" w:hAnsi="Times New Roman"/>
                      <w:snapToGrid w:val="0"/>
                      <w:szCs w:val="21"/>
                    </w:rPr>
                  </w:pPr>
                  <w:r>
                    <w:rPr>
                      <w:rFonts w:ascii="Times New Roman" w:hAnsi="Times New Roman"/>
                      <w:snapToGrid w:val="0"/>
                      <w:szCs w:val="21"/>
                    </w:rPr>
                    <w:t>36</w:t>
                  </w:r>
                </w:p>
              </w:tc>
              <w:tc>
                <w:tcPr>
                  <w:tcW w:w="0" w:type="auto"/>
                  <w:vAlign w:val="center"/>
                </w:tcPr>
                <w:p w14:paraId="0F728464">
                  <w:pPr>
                    <w:widowControl/>
                    <w:snapToGrid w:val="0"/>
                    <w:jc w:val="left"/>
                    <w:rPr>
                      <w:rFonts w:ascii="Times New Roman" w:hAnsi="Times New Roman"/>
                      <w:snapToGrid w:val="0"/>
                      <w:szCs w:val="21"/>
                    </w:rPr>
                  </w:pPr>
                  <w:r>
                    <w:rPr>
                      <w:rFonts w:ascii="Times New Roman" w:hAnsi="Times New Roman"/>
                      <w:snapToGrid w:val="0"/>
                      <w:szCs w:val="21"/>
                    </w:rPr>
                    <w:t>其他家具制造213</w:t>
                  </w:r>
                </w:p>
              </w:tc>
              <w:tc>
                <w:tcPr>
                  <w:tcW w:w="0" w:type="auto"/>
                  <w:vAlign w:val="center"/>
                </w:tcPr>
                <w:p w14:paraId="374DAED2">
                  <w:pPr>
                    <w:widowControl/>
                    <w:snapToGrid w:val="0"/>
                    <w:jc w:val="left"/>
                    <w:rPr>
                      <w:rFonts w:ascii="Times New Roman" w:hAnsi="Times New Roman"/>
                      <w:snapToGrid w:val="0"/>
                      <w:szCs w:val="21"/>
                      <w:highlight w:val="yellow"/>
                    </w:rPr>
                  </w:pPr>
                  <w:r>
                    <w:rPr>
                      <w:rFonts w:ascii="Times New Roman" w:hAnsi="Times New Roman"/>
                      <w:snapToGrid w:val="0"/>
                      <w:szCs w:val="21"/>
                    </w:rPr>
                    <w:t>有电镀工艺的；年用溶剂型涂料（含稀释剂）10吨及以上的</w:t>
                  </w:r>
                </w:p>
              </w:tc>
              <w:tc>
                <w:tcPr>
                  <w:tcW w:w="0" w:type="auto"/>
                  <w:vAlign w:val="center"/>
                </w:tcPr>
                <w:p w14:paraId="3A38747F">
                  <w:pPr>
                    <w:widowControl/>
                    <w:snapToGrid w:val="0"/>
                    <w:jc w:val="left"/>
                    <w:rPr>
                      <w:rFonts w:ascii="Times New Roman" w:hAnsi="Times New Roman"/>
                      <w:snapToGrid w:val="0"/>
                      <w:szCs w:val="21"/>
                      <w:highlight w:val="yellow"/>
                    </w:rPr>
                  </w:pPr>
                  <w:r>
                    <w:rPr>
                      <w:rFonts w:ascii="Times New Roman" w:hAnsi="Times New Roman"/>
                      <w:snapToGrid w:val="0"/>
                      <w:szCs w:val="21"/>
                    </w:rPr>
                    <w:t>其他（仅分割、焊接、组装的除外；年用非溶剂型低VOCs含量涂料10吨以下的除外）</w:t>
                  </w:r>
                </w:p>
              </w:tc>
              <w:tc>
                <w:tcPr>
                  <w:tcW w:w="0" w:type="auto"/>
                  <w:vAlign w:val="center"/>
                </w:tcPr>
                <w:p w14:paraId="22DA0D8C">
                  <w:pPr>
                    <w:widowControl/>
                    <w:snapToGrid w:val="0"/>
                    <w:jc w:val="center"/>
                    <w:rPr>
                      <w:rFonts w:ascii="Times New Roman" w:hAnsi="Times New Roman"/>
                      <w:snapToGrid w:val="0"/>
                      <w:szCs w:val="21"/>
                    </w:rPr>
                  </w:pPr>
                  <w:r>
                    <w:rPr>
                      <w:rFonts w:ascii="Times New Roman" w:hAnsi="Times New Roman"/>
                      <w:snapToGrid w:val="0"/>
                      <w:szCs w:val="21"/>
                    </w:rPr>
                    <w:t>/</w:t>
                  </w:r>
                </w:p>
              </w:tc>
            </w:tr>
          </w:tbl>
          <w:p w14:paraId="02BA9720">
            <w:pPr>
              <w:pStyle w:val="2"/>
              <w:spacing w:line="360" w:lineRule="auto"/>
              <w:ind w:firstLine="480" w:firstLineChars="200"/>
            </w:pPr>
            <w:r>
              <w:t>受宿州市博众塑业有限公司的委托，我公司承担了本项目环境影响评价工作。我公司接受委托后，迅速进行了现场踏勘、调研，对建设工程进行了全面调查，确定本次环评目的是在了解建设项目厂址周围环境特点和污染物排放特征的基础上，分析项目建设过程中以及投入运营对周围环境的影响程度、影响范围以及环境质量可能发生的变化；同时结合实际，依据国家、安徽省环境保护有关法律法规、标准和当地环境功能的要求，规定实行达标排放的污染防治措施，从环境影响评价角度分析工程建设的可行性，为建设项目工程设计方案的确定以及管理提供科学的依据；依据国家有关法规和环境影响评价技术导则，编制了该项目环境影响报告表，供建设单位呈报给环境保护行政主管部门审批。</w:t>
            </w:r>
          </w:p>
          <w:p w14:paraId="4B444DF6">
            <w:pPr>
              <w:adjustRightInd w:val="0"/>
              <w:snapToGrid w:val="0"/>
              <w:spacing w:line="520" w:lineRule="exact"/>
              <w:rPr>
                <w:b/>
                <w:sz w:val="24"/>
              </w:rPr>
            </w:pPr>
            <w:r>
              <w:rPr>
                <w:b/>
                <w:sz w:val="24"/>
              </w:rPr>
              <w:t>二、建设内容及规模</w:t>
            </w:r>
          </w:p>
          <w:p w14:paraId="166FBE13">
            <w:pPr>
              <w:spacing w:line="500" w:lineRule="exact"/>
              <w:ind w:firstLine="482" w:firstLineChars="200"/>
              <w:rPr>
                <w:b/>
                <w:bCs/>
                <w:sz w:val="24"/>
              </w:rPr>
            </w:pPr>
            <w:r>
              <w:rPr>
                <w:b/>
                <w:bCs/>
                <w:sz w:val="24"/>
              </w:rPr>
              <w:t>1、工程概况</w:t>
            </w:r>
          </w:p>
          <w:p w14:paraId="57DB9201">
            <w:pPr>
              <w:spacing w:line="520" w:lineRule="exact"/>
              <w:ind w:firstLine="480" w:firstLineChars="200"/>
              <w:jc w:val="left"/>
              <w:rPr>
                <w:sz w:val="24"/>
              </w:rPr>
            </w:pPr>
            <w:r>
              <w:rPr>
                <w:sz w:val="24"/>
              </w:rPr>
              <w:t>本项目基本概况见下表。</w:t>
            </w:r>
          </w:p>
          <w:p w14:paraId="1D7D058F">
            <w:pPr>
              <w:pStyle w:val="52"/>
              <w:numPr>
                <w:ilvl w:val="0"/>
                <w:numId w:val="1"/>
              </w:numPr>
              <w:spacing w:line="360" w:lineRule="auto"/>
              <w:ind w:left="419" w:hanging="130"/>
              <w:rPr>
                <w:rFonts w:cs="Times New Roman"/>
              </w:rPr>
            </w:pPr>
            <w:r>
              <w:rPr>
                <w:rFonts w:cs="Times New Roman"/>
              </w:rPr>
              <w:t>项目基本情况一览表</w:t>
            </w:r>
          </w:p>
          <w:tbl>
            <w:tblPr>
              <w:tblStyle w:val="7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0"/>
              <w:gridCol w:w="1663"/>
              <w:gridCol w:w="5919"/>
            </w:tblGrid>
            <w:tr w14:paraId="281066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395" w:type="pct"/>
                  <w:vAlign w:val="center"/>
                </w:tcPr>
                <w:p w14:paraId="604B0694">
                  <w:pPr>
                    <w:snapToGrid w:val="0"/>
                    <w:jc w:val="center"/>
                    <w:rPr>
                      <w:rFonts w:ascii="Times New Roman" w:hAnsi="Times New Roman"/>
                      <w:b/>
                      <w:bCs/>
                      <w:sz w:val="18"/>
                      <w:szCs w:val="21"/>
                    </w:rPr>
                  </w:pPr>
                  <w:r>
                    <w:rPr>
                      <w:rFonts w:ascii="Times New Roman" w:hAnsi="Times New Roman"/>
                      <w:b/>
                      <w:bCs/>
                      <w:sz w:val="18"/>
                      <w:szCs w:val="21"/>
                    </w:rPr>
                    <w:t>序号</w:t>
                  </w:r>
                </w:p>
              </w:tc>
              <w:tc>
                <w:tcPr>
                  <w:tcW w:w="1010" w:type="pct"/>
                  <w:vAlign w:val="center"/>
                </w:tcPr>
                <w:p w14:paraId="39484E7B">
                  <w:pPr>
                    <w:snapToGrid w:val="0"/>
                    <w:jc w:val="center"/>
                    <w:rPr>
                      <w:rFonts w:ascii="Times New Roman" w:hAnsi="Times New Roman"/>
                      <w:b/>
                      <w:bCs/>
                      <w:sz w:val="18"/>
                      <w:szCs w:val="21"/>
                    </w:rPr>
                  </w:pPr>
                  <w:r>
                    <w:rPr>
                      <w:rFonts w:ascii="Times New Roman" w:hAnsi="Times New Roman"/>
                      <w:b/>
                      <w:bCs/>
                      <w:sz w:val="18"/>
                      <w:szCs w:val="21"/>
                    </w:rPr>
                    <w:t>项目</w:t>
                  </w:r>
                </w:p>
              </w:tc>
              <w:tc>
                <w:tcPr>
                  <w:tcW w:w="3595" w:type="pct"/>
                  <w:vAlign w:val="center"/>
                </w:tcPr>
                <w:p w14:paraId="25F7A20C">
                  <w:pPr>
                    <w:snapToGrid w:val="0"/>
                    <w:jc w:val="center"/>
                    <w:rPr>
                      <w:rFonts w:ascii="Times New Roman" w:hAnsi="Times New Roman"/>
                      <w:b/>
                      <w:bCs/>
                      <w:sz w:val="18"/>
                      <w:szCs w:val="21"/>
                    </w:rPr>
                  </w:pPr>
                  <w:r>
                    <w:rPr>
                      <w:rFonts w:ascii="Times New Roman" w:hAnsi="Times New Roman"/>
                      <w:b/>
                      <w:bCs/>
                      <w:sz w:val="18"/>
                      <w:szCs w:val="21"/>
                    </w:rPr>
                    <w:t>建设内容</w:t>
                  </w:r>
                </w:p>
              </w:tc>
            </w:tr>
            <w:tr w14:paraId="6BDE67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395" w:type="pct"/>
                  <w:vAlign w:val="center"/>
                </w:tcPr>
                <w:p w14:paraId="183062F3">
                  <w:pPr>
                    <w:snapToGrid w:val="0"/>
                    <w:jc w:val="center"/>
                    <w:rPr>
                      <w:rFonts w:ascii="Times New Roman" w:hAnsi="Times New Roman"/>
                      <w:sz w:val="18"/>
                      <w:szCs w:val="21"/>
                    </w:rPr>
                  </w:pPr>
                  <w:r>
                    <w:rPr>
                      <w:rFonts w:ascii="Times New Roman" w:hAnsi="Times New Roman"/>
                      <w:sz w:val="18"/>
                      <w:szCs w:val="21"/>
                    </w:rPr>
                    <w:t>1</w:t>
                  </w:r>
                </w:p>
              </w:tc>
              <w:tc>
                <w:tcPr>
                  <w:tcW w:w="1010" w:type="pct"/>
                  <w:vAlign w:val="center"/>
                </w:tcPr>
                <w:p w14:paraId="1350BDC0">
                  <w:pPr>
                    <w:snapToGrid w:val="0"/>
                    <w:jc w:val="center"/>
                    <w:rPr>
                      <w:rFonts w:ascii="Times New Roman" w:hAnsi="Times New Roman"/>
                      <w:sz w:val="18"/>
                      <w:szCs w:val="21"/>
                    </w:rPr>
                  </w:pPr>
                  <w:r>
                    <w:rPr>
                      <w:rFonts w:ascii="Times New Roman" w:hAnsi="Times New Roman"/>
                      <w:sz w:val="18"/>
                      <w:szCs w:val="21"/>
                    </w:rPr>
                    <w:t>项目名称</w:t>
                  </w:r>
                </w:p>
              </w:tc>
              <w:tc>
                <w:tcPr>
                  <w:tcW w:w="3595" w:type="pct"/>
                  <w:vAlign w:val="center"/>
                </w:tcPr>
                <w:p w14:paraId="1B8C2E71">
                  <w:pPr>
                    <w:snapToGrid w:val="0"/>
                    <w:jc w:val="center"/>
                    <w:rPr>
                      <w:rFonts w:ascii="Times New Roman" w:hAnsi="Times New Roman"/>
                      <w:sz w:val="18"/>
                      <w:szCs w:val="21"/>
                    </w:rPr>
                  </w:pPr>
                  <w:r>
                    <w:rPr>
                      <w:rFonts w:ascii="Times New Roman" w:hAnsi="Times New Roman"/>
                      <w:sz w:val="18"/>
                      <w:szCs w:val="21"/>
                    </w:rPr>
                    <w:t>宿州市博众塑业有限公司年产3万张电竞椅生产项目</w:t>
                  </w:r>
                </w:p>
              </w:tc>
            </w:tr>
            <w:tr w14:paraId="5DC2D6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395" w:type="pct"/>
                  <w:vAlign w:val="center"/>
                </w:tcPr>
                <w:p w14:paraId="4E3BAA97">
                  <w:pPr>
                    <w:snapToGrid w:val="0"/>
                    <w:jc w:val="center"/>
                    <w:rPr>
                      <w:rFonts w:ascii="Times New Roman" w:hAnsi="Times New Roman"/>
                      <w:sz w:val="18"/>
                      <w:szCs w:val="21"/>
                    </w:rPr>
                  </w:pPr>
                  <w:r>
                    <w:rPr>
                      <w:rFonts w:ascii="Times New Roman" w:hAnsi="Times New Roman"/>
                      <w:sz w:val="18"/>
                      <w:szCs w:val="21"/>
                    </w:rPr>
                    <w:t>2</w:t>
                  </w:r>
                </w:p>
              </w:tc>
              <w:tc>
                <w:tcPr>
                  <w:tcW w:w="1010" w:type="pct"/>
                  <w:vAlign w:val="center"/>
                </w:tcPr>
                <w:p w14:paraId="620C47C8">
                  <w:pPr>
                    <w:snapToGrid w:val="0"/>
                    <w:jc w:val="center"/>
                    <w:rPr>
                      <w:rFonts w:ascii="Times New Roman" w:hAnsi="Times New Roman"/>
                      <w:sz w:val="18"/>
                      <w:szCs w:val="21"/>
                    </w:rPr>
                  </w:pPr>
                  <w:r>
                    <w:rPr>
                      <w:rFonts w:ascii="Times New Roman" w:hAnsi="Times New Roman"/>
                      <w:sz w:val="18"/>
                      <w:szCs w:val="21"/>
                    </w:rPr>
                    <w:t>建设性质</w:t>
                  </w:r>
                </w:p>
              </w:tc>
              <w:tc>
                <w:tcPr>
                  <w:tcW w:w="3595" w:type="pct"/>
                  <w:vAlign w:val="center"/>
                </w:tcPr>
                <w:p w14:paraId="0C2AB733">
                  <w:pPr>
                    <w:snapToGrid w:val="0"/>
                    <w:jc w:val="center"/>
                    <w:rPr>
                      <w:rFonts w:ascii="Times New Roman" w:hAnsi="Times New Roman"/>
                      <w:sz w:val="18"/>
                      <w:szCs w:val="21"/>
                    </w:rPr>
                  </w:pPr>
                  <w:r>
                    <w:rPr>
                      <w:rFonts w:ascii="Times New Roman" w:hAnsi="Times New Roman"/>
                      <w:sz w:val="18"/>
                      <w:szCs w:val="21"/>
                    </w:rPr>
                    <w:t>新建</w:t>
                  </w:r>
                </w:p>
              </w:tc>
            </w:tr>
            <w:tr w14:paraId="38CEAC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395" w:type="pct"/>
                  <w:vAlign w:val="center"/>
                </w:tcPr>
                <w:p w14:paraId="16A9D917">
                  <w:pPr>
                    <w:snapToGrid w:val="0"/>
                    <w:jc w:val="center"/>
                    <w:rPr>
                      <w:rFonts w:ascii="Times New Roman" w:hAnsi="Times New Roman"/>
                      <w:sz w:val="18"/>
                      <w:szCs w:val="21"/>
                    </w:rPr>
                  </w:pPr>
                  <w:r>
                    <w:rPr>
                      <w:rFonts w:ascii="Times New Roman" w:hAnsi="Times New Roman"/>
                      <w:sz w:val="18"/>
                      <w:szCs w:val="21"/>
                    </w:rPr>
                    <w:t>3</w:t>
                  </w:r>
                </w:p>
              </w:tc>
              <w:tc>
                <w:tcPr>
                  <w:tcW w:w="1010" w:type="pct"/>
                  <w:vAlign w:val="center"/>
                </w:tcPr>
                <w:p w14:paraId="0CF9FCA2">
                  <w:pPr>
                    <w:snapToGrid w:val="0"/>
                    <w:jc w:val="center"/>
                    <w:rPr>
                      <w:rFonts w:ascii="Times New Roman" w:hAnsi="Times New Roman"/>
                      <w:sz w:val="18"/>
                      <w:szCs w:val="21"/>
                    </w:rPr>
                  </w:pPr>
                  <w:r>
                    <w:rPr>
                      <w:rFonts w:ascii="Times New Roman" w:hAnsi="Times New Roman"/>
                      <w:sz w:val="18"/>
                      <w:szCs w:val="21"/>
                    </w:rPr>
                    <w:t>所属行业</w:t>
                  </w:r>
                </w:p>
              </w:tc>
              <w:tc>
                <w:tcPr>
                  <w:tcW w:w="3595" w:type="pct"/>
                  <w:vAlign w:val="center"/>
                </w:tcPr>
                <w:p w14:paraId="6D5D8BF2">
                  <w:pPr>
                    <w:snapToGrid w:val="0"/>
                    <w:jc w:val="center"/>
                    <w:rPr>
                      <w:rFonts w:ascii="Times New Roman" w:hAnsi="Times New Roman"/>
                      <w:sz w:val="18"/>
                      <w:szCs w:val="21"/>
                    </w:rPr>
                  </w:pPr>
                  <w:r>
                    <w:rPr>
                      <w:rFonts w:ascii="Times New Roman" w:hAnsi="Times New Roman"/>
                      <w:sz w:val="18"/>
                      <w:szCs w:val="21"/>
                    </w:rPr>
                    <w:t>C2190其他家具制造</w:t>
                  </w:r>
                </w:p>
              </w:tc>
            </w:tr>
            <w:tr w14:paraId="25F0EA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395" w:type="pct"/>
                  <w:vAlign w:val="center"/>
                </w:tcPr>
                <w:p w14:paraId="6BBC0EB3">
                  <w:pPr>
                    <w:snapToGrid w:val="0"/>
                    <w:jc w:val="center"/>
                    <w:rPr>
                      <w:rFonts w:ascii="Times New Roman" w:hAnsi="Times New Roman"/>
                      <w:sz w:val="18"/>
                      <w:szCs w:val="21"/>
                    </w:rPr>
                  </w:pPr>
                  <w:r>
                    <w:rPr>
                      <w:rFonts w:ascii="Times New Roman" w:hAnsi="Times New Roman"/>
                      <w:sz w:val="18"/>
                      <w:szCs w:val="21"/>
                    </w:rPr>
                    <w:t>4</w:t>
                  </w:r>
                </w:p>
              </w:tc>
              <w:tc>
                <w:tcPr>
                  <w:tcW w:w="1010" w:type="pct"/>
                  <w:vAlign w:val="center"/>
                </w:tcPr>
                <w:p w14:paraId="288CDA52">
                  <w:pPr>
                    <w:snapToGrid w:val="0"/>
                    <w:jc w:val="center"/>
                    <w:rPr>
                      <w:rFonts w:ascii="Times New Roman" w:hAnsi="Times New Roman"/>
                      <w:sz w:val="18"/>
                      <w:szCs w:val="21"/>
                    </w:rPr>
                  </w:pPr>
                  <w:r>
                    <w:rPr>
                      <w:rFonts w:ascii="Times New Roman" w:hAnsi="Times New Roman"/>
                      <w:sz w:val="18"/>
                      <w:szCs w:val="21"/>
                    </w:rPr>
                    <w:t>建设地点</w:t>
                  </w:r>
                </w:p>
              </w:tc>
              <w:tc>
                <w:tcPr>
                  <w:tcW w:w="3595" w:type="pct"/>
                  <w:vAlign w:val="center"/>
                </w:tcPr>
                <w:p w14:paraId="583EAB7B">
                  <w:pPr>
                    <w:snapToGrid w:val="0"/>
                    <w:jc w:val="center"/>
                    <w:rPr>
                      <w:rFonts w:ascii="Times New Roman" w:hAnsi="Times New Roman"/>
                      <w:sz w:val="18"/>
                      <w:szCs w:val="21"/>
                    </w:rPr>
                  </w:pPr>
                  <w:r>
                    <w:rPr>
                      <w:rFonts w:ascii="Times New Roman" w:hAnsi="Times New Roman"/>
                      <w:sz w:val="18"/>
                      <w:szCs w:val="21"/>
                    </w:rPr>
                    <w:t>安徽省宿州市埇桥区符离镇埇北工业园内，</w:t>
                  </w:r>
                </w:p>
                <w:p w14:paraId="3EA047D7">
                  <w:pPr>
                    <w:snapToGrid w:val="0"/>
                    <w:jc w:val="center"/>
                    <w:rPr>
                      <w:rFonts w:ascii="Times New Roman" w:hAnsi="Times New Roman"/>
                      <w:sz w:val="18"/>
                      <w:szCs w:val="21"/>
                    </w:rPr>
                  </w:pPr>
                  <w:r>
                    <w:rPr>
                      <w:rFonts w:ascii="Times New Roman" w:hAnsi="Times New Roman"/>
                      <w:sz w:val="18"/>
                      <w:szCs w:val="21"/>
                    </w:rPr>
                    <w:t>经度116度58分22.156秒，纬度33度44分43.359秒</w:t>
                  </w:r>
                </w:p>
              </w:tc>
            </w:tr>
            <w:tr w14:paraId="219B60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395" w:type="pct"/>
                  <w:vAlign w:val="center"/>
                </w:tcPr>
                <w:p w14:paraId="26728967">
                  <w:pPr>
                    <w:snapToGrid w:val="0"/>
                    <w:jc w:val="center"/>
                    <w:rPr>
                      <w:rFonts w:ascii="Times New Roman" w:hAnsi="Times New Roman"/>
                      <w:sz w:val="18"/>
                      <w:szCs w:val="21"/>
                    </w:rPr>
                  </w:pPr>
                  <w:r>
                    <w:rPr>
                      <w:rFonts w:ascii="Times New Roman" w:hAnsi="Times New Roman"/>
                      <w:sz w:val="18"/>
                      <w:szCs w:val="21"/>
                    </w:rPr>
                    <w:t>5</w:t>
                  </w:r>
                </w:p>
              </w:tc>
              <w:tc>
                <w:tcPr>
                  <w:tcW w:w="1010" w:type="pct"/>
                  <w:vAlign w:val="center"/>
                </w:tcPr>
                <w:p w14:paraId="130E0A70">
                  <w:pPr>
                    <w:snapToGrid w:val="0"/>
                    <w:jc w:val="center"/>
                    <w:rPr>
                      <w:rFonts w:ascii="Times New Roman" w:hAnsi="Times New Roman"/>
                      <w:sz w:val="18"/>
                      <w:szCs w:val="21"/>
                    </w:rPr>
                  </w:pPr>
                  <w:r>
                    <w:rPr>
                      <w:rFonts w:ascii="Times New Roman" w:hAnsi="Times New Roman"/>
                      <w:sz w:val="18"/>
                      <w:szCs w:val="21"/>
                    </w:rPr>
                    <w:t>建设单位</w:t>
                  </w:r>
                </w:p>
              </w:tc>
              <w:tc>
                <w:tcPr>
                  <w:tcW w:w="3595" w:type="pct"/>
                  <w:vAlign w:val="center"/>
                </w:tcPr>
                <w:p w14:paraId="1CB3323F">
                  <w:pPr>
                    <w:snapToGrid w:val="0"/>
                    <w:jc w:val="center"/>
                    <w:rPr>
                      <w:rFonts w:ascii="Times New Roman" w:hAnsi="Times New Roman"/>
                      <w:sz w:val="18"/>
                      <w:szCs w:val="21"/>
                    </w:rPr>
                  </w:pPr>
                  <w:r>
                    <w:rPr>
                      <w:rFonts w:ascii="Times New Roman" w:hAnsi="Times New Roman"/>
                      <w:sz w:val="18"/>
                      <w:szCs w:val="21"/>
                    </w:rPr>
                    <w:t xml:space="preserve">宿州市博众塑业有限公司 </w:t>
                  </w:r>
                </w:p>
              </w:tc>
            </w:tr>
            <w:tr w14:paraId="6EEFC4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395" w:type="pct"/>
                  <w:vAlign w:val="center"/>
                </w:tcPr>
                <w:p w14:paraId="60C9188C">
                  <w:pPr>
                    <w:snapToGrid w:val="0"/>
                    <w:jc w:val="center"/>
                    <w:rPr>
                      <w:rFonts w:ascii="Times New Roman" w:hAnsi="Times New Roman"/>
                      <w:sz w:val="18"/>
                      <w:szCs w:val="21"/>
                    </w:rPr>
                  </w:pPr>
                  <w:r>
                    <w:rPr>
                      <w:rFonts w:ascii="Times New Roman" w:hAnsi="Times New Roman"/>
                      <w:sz w:val="18"/>
                      <w:szCs w:val="21"/>
                    </w:rPr>
                    <w:t>6</w:t>
                  </w:r>
                </w:p>
              </w:tc>
              <w:tc>
                <w:tcPr>
                  <w:tcW w:w="1010" w:type="pct"/>
                  <w:vAlign w:val="center"/>
                </w:tcPr>
                <w:p w14:paraId="1DBF98C4">
                  <w:pPr>
                    <w:snapToGrid w:val="0"/>
                    <w:jc w:val="center"/>
                    <w:rPr>
                      <w:rFonts w:ascii="Times New Roman" w:hAnsi="Times New Roman"/>
                      <w:sz w:val="18"/>
                      <w:szCs w:val="21"/>
                    </w:rPr>
                  </w:pPr>
                  <w:r>
                    <w:rPr>
                      <w:rFonts w:ascii="Times New Roman" w:hAnsi="Times New Roman"/>
                      <w:sz w:val="18"/>
                      <w:szCs w:val="21"/>
                    </w:rPr>
                    <w:t>总投资</w:t>
                  </w:r>
                </w:p>
              </w:tc>
              <w:tc>
                <w:tcPr>
                  <w:tcW w:w="3595" w:type="pct"/>
                  <w:vAlign w:val="center"/>
                </w:tcPr>
                <w:p w14:paraId="5A544BE0">
                  <w:pPr>
                    <w:snapToGrid w:val="0"/>
                    <w:jc w:val="center"/>
                    <w:rPr>
                      <w:rFonts w:ascii="Times New Roman" w:hAnsi="Times New Roman"/>
                      <w:sz w:val="18"/>
                      <w:szCs w:val="21"/>
                    </w:rPr>
                  </w:pPr>
                  <w:r>
                    <w:rPr>
                      <w:rFonts w:ascii="Times New Roman" w:hAnsi="Times New Roman"/>
                      <w:sz w:val="18"/>
                      <w:szCs w:val="21"/>
                    </w:rPr>
                    <w:t>本项目总投资2500万元、环保投资70万</w:t>
                  </w:r>
                </w:p>
              </w:tc>
            </w:tr>
            <w:tr w14:paraId="492E58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395" w:type="pct"/>
                  <w:vAlign w:val="center"/>
                </w:tcPr>
                <w:p w14:paraId="7F5E43BD">
                  <w:pPr>
                    <w:snapToGrid w:val="0"/>
                    <w:jc w:val="center"/>
                    <w:rPr>
                      <w:rFonts w:ascii="Times New Roman" w:hAnsi="Times New Roman"/>
                      <w:sz w:val="18"/>
                      <w:szCs w:val="21"/>
                    </w:rPr>
                  </w:pPr>
                  <w:r>
                    <w:rPr>
                      <w:rFonts w:ascii="Times New Roman" w:hAnsi="Times New Roman"/>
                      <w:sz w:val="18"/>
                      <w:szCs w:val="21"/>
                    </w:rPr>
                    <w:t>7</w:t>
                  </w:r>
                </w:p>
              </w:tc>
              <w:tc>
                <w:tcPr>
                  <w:tcW w:w="1010" w:type="pct"/>
                  <w:vAlign w:val="center"/>
                </w:tcPr>
                <w:p w14:paraId="5E59A451">
                  <w:pPr>
                    <w:snapToGrid w:val="0"/>
                    <w:jc w:val="center"/>
                    <w:rPr>
                      <w:rFonts w:ascii="Times New Roman" w:hAnsi="Times New Roman"/>
                      <w:sz w:val="18"/>
                      <w:szCs w:val="21"/>
                    </w:rPr>
                  </w:pPr>
                  <w:r>
                    <w:rPr>
                      <w:rFonts w:ascii="Times New Roman" w:hAnsi="Times New Roman"/>
                      <w:sz w:val="18"/>
                      <w:szCs w:val="21"/>
                    </w:rPr>
                    <w:t>占地面积</w:t>
                  </w:r>
                </w:p>
              </w:tc>
              <w:tc>
                <w:tcPr>
                  <w:tcW w:w="3595" w:type="pct"/>
                  <w:vAlign w:val="center"/>
                </w:tcPr>
                <w:p w14:paraId="30019E9A">
                  <w:pPr>
                    <w:snapToGrid w:val="0"/>
                    <w:jc w:val="center"/>
                    <w:rPr>
                      <w:rFonts w:ascii="Times New Roman" w:hAnsi="Times New Roman"/>
                      <w:sz w:val="18"/>
                      <w:szCs w:val="21"/>
                    </w:rPr>
                  </w:pPr>
                  <w:r>
                    <w:rPr>
                      <w:rFonts w:hint="eastAsia"/>
                      <w:sz w:val="18"/>
                      <w:szCs w:val="21"/>
                      <w:lang w:val="en-US" w:eastAsia="zh-CN"/>
                    </w:rPr>
                    <w:t>13340</w:t>
                  </w:r>
                  <w:r>
                    <w:rPr>
                      <w:rFonts w:ascii="Times New Roman" w:hAnsi="Times New Roman"/>
                      <w:sz w:val="18"/>
                      <w:szCs w:val="21"/>
                    </w:rPr>
                    <w:t>平方米</w:t>
                  </w:r>
                </w:p>
              </w:tc>
            </w:tr>
            <w:tr w14:paraId="4CCFE6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395" w:type="pct"/>
                  <w:vAlign w:val="center"/>
                </w:tcPr>
                <w:p w14:paraId="12006FCE">
                  <w:pPr>
                    <w:snapToGrid w:val="0"/>
                    <w:jc w:val="center"/>
                    <w:rPr>
                      <w:rFonts w:ascii="Times New Roman" w:hAnsi="Times New Roman"/>
                      <w:sz w:val="18"/>
                      <w:szCs w:val="21"/>
                    </w:rPr>
                  </w:pPr>
                  <w:r>
                    <w:rPr>
                      <w:rFonts w:ascii="Times New Roman" w:hAnsi="Times New Roman"/>
                      <w:sz w:val="18"/>
                      <w:szCs w:val="21"/>
                    </w:rPr>
                    <w:t>8</w:t>
                  </w:r>
                </w:p>
              </w:tc>
              <w:tc>
                <w:tcPr>
                  <w:tcW w:w="1010" w:type="pct"/>
                  <w:vAlign w:val="center"/>
                </w:tcPr>
                <w:p w14:paraId="35CDF606">
                  <w:pPr>
                    <w:snapToGrid w:val="0"/>
                    <w:jc w:val="center"/>
                    <w:rPr>
                      <w:rFonts w:ascii="Times New Roman" w:hAnsi="Times New Roman"/>
                      <w:sz w:val="18"/>
                      <w:szCs w:val="21"/>
                    </w:rPr>
                  </w:pPr>
                  <w:r>
                    <w:rPr>
                      <w:rFonts w:ascii="Times New Roman" w:hAnsi="Times New Roman"/>
                      <w:sz w:val="18"/>
                      <w:szCs w:val="21"/>
                    </w:rPr>
                    <w:t>定员与工作制度</w:t>
                  </w:r>
                </w:p>
              </w:tc>
              <w:tc>
                <w:tcPr>
                  <w:tcW w:w="3595" w:type="pct"/>
                  <w:vAlign w:val="center"/>
                </w:tcPr>
                <w:p w14:paraId="396402E5">
                  <w:pPr>
                    <w:snapToGrid w:val="0"/>
                    <w:jc w:val="center"/>
                    <w:rPr>
                      <w:rFonts w:ascii="Times New Roman" w:hAnsi="Times New Roman"/>
                      <w:sz w:val="18"/>
                      <w:szCs w:val="21"/>
                    </w:rPr>
                  </w:pPr>
                  <w:r>
                    <w:rPr>
                      <w:rFonts w:ascii="Times New Roman" w:hAnsi="Times New Roman"/>
                      <w:sz w:val="18"/>
                      <w:szCs w:val="21"/>
                    </w:rPr>
                    <w:t>本项目职工定员30人，单班制（每班8小时），年工作日300天</w:t>
                  </w:r>
                </w:p>
              </w:tc>
            </w:tr>
          </w:tbl>
          <w:p w14:paraId="09BEE8B9">
            <w:pPr>
              <w:adjustRightInd w:val="0"/>
              <w:snapToGrid w:val="0"/>
              <w:spacing w:before="120" w:beforeLines="50" w:line="360" w:lineRule="auto"/>
              <w:ind w:firstLine="482" w:firstLineChars="200"/>
              <w:rPr>
                <w:b/>
                <w:bCs/>
                <w:sz w:val="24"/>
              </w:rPr>
            </w:pPr>
            <w:r>
              <w:rPr>
                <w:b/>
                <w:bCs/>
                <w:sz w:val="24"/>
              </w:rPr>
              <w:t>2、项目组成内容</w:t>
            </w:r>
          </w:p>
          <w:p w14:paraId="6929E0CA">
            <w:pPr>
              <w:adjustRightInd w:val="0"/>
              <w:snapToGrid w:val="0"/>
              <w:spacing w:line="360" w:lineRule="auto"/>
              <w:ind w:firstLine="480" w:firstLineChars="200"/>
              <w:rPr>
                <w:sz w:val="24"/>
              </w:rPr>
            </w:pPr>
            <w:r>
              <w:rPr>
                <w:sz w:val="24"/>
              </w:rPr>
              <w:t>根据现场踏勘，目前主体工程已建，建设基本情况一览表见下表。</w:t>
            </w:r>
          </w:p>
          <w:p w14:paraId="06A19B66">
            <w:pPr>
              <w:pStyle w:val="52"/>
              <w:numPr>
                <w:ilvl w:val="0"/>
                <w:numId w:val="1"/>
              </w:numPr>
              <w:spacing w:line="360" w:lineRule="auto"/>
              <w:ind w:left="419" w:hanging="130"/>
              <w:rPr>
                <w:rFonts w:cs="Times New Roman"/>
              </w:rPr>
            </w:pPr>
            <w:r>
              <w:rPr>
                <w:rFonts w:cs="Times New Roman"/>
              </w:rPr>
              <w:t>项目建设基本情况一览表</w:t>
            </w:r>
          </w:p>
          <w:tbl>
            <w:tblPr>
              <w:tblStyle w:val="75"/>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4"/>
              <w:gridCol w:w="1283"/>
              <w:gridCol w:w="4351"/>
              <w:gridCol w:w="1460"/>
              <w:gridCol w:w="484"/>
            </w:tblGrid>
            <w:tr w14:paraId="24AEC1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2991B63">
                  <w:pPr>
                    <w:pStyle w:val="57"/>
                    <w:adjustRightInd w:val="0"/>
                    <w:snapToGrid w:val="0"/>
                    <w:jc w:val="center"/>
                    <w:rPr>
                      <w:rFonts w:ascii="Times New Roman" w:hAnsi="Times New Roman"/>
                      <w:b/>
                      <w:sz w:val="18"/>
                      <w:szCs w:val="18"/>
                    </w:rPr>
                  </w:pPr>
                  <w:bookmarkStart w:id="3" w:name="_Hlk76055534"/>
                  <w:r>
                    <w:rPr>
                      <w:rFonts w:ascii="Times New Roman" w:hAnsi="Times New Roman"/>
                      <w:b/>
                      <w:sz w:val="18"/>
                      <w:szCs w:val="18"/>
                    </w:rPr>
                    <w:t>序号</w:t>
                  </w:r>
                </w:p>
              </w:tc>
              <w:tc>
                <w:tcPr>
                  <w:tcW w:w="0" w:type="auto"/>
                  <w:vAlign w:val="center"/>
                </w:tcPr>
                <w:p w14:paraId="66BC5E35">
                  <w:pPr>
                    <w:pStyle w:val="57"/>
                    <w:adjustRightInd w:val="0"/>
                    <w:snapToGrid w:val="0"/>
                    <w:jc w:val="center"/>
                    <w:rPr>
                      <w:rFonts w:ascii="Times New Roman" w:hAnsi="Times New Roman"/>
                      <w:b/>
                      <w:bCs/>
                      <w:sz w:val="18"/>
                      <w:szCs w:val="18"/>
                    </w:rPr>
                  </w:pPr>
                  <w:r>
                    <w:rPr>
                      <w:rFonts w:ascii="Times New Roman" w:hAnsi="Times New Roman"/>
                      <w:b/>
                      <w:bCs/>
                      <w:sz w:val="18"/>
                      <w:szCs w:val="18"/>
                    </w:rPr>
                    <w:t>单项工程</w:t>
                  </w:r>
                </w:p>
              </w:tc>
              <w:tc>
                <w:tcPr>
                  <w:tcW w:w="0" w:type="auto"/>
                  <w:gridSpan w:val="2"/>
                  <w:vAlign w:val="center"/>
                </w:tcPr>
                <w:p w14:paraId="697E442D">
                  <w:pPr>
                    <w:pStyle w:val="57"/>
                    <w:adjustRightInd w:val="0"/>
                    <w:snapToGrid w:val="0"/>
                    <w:jc w:val="center"/>
                    <w:rPr>
                      <w:rFonts w:ascii="Times New Roman" w:hAnsi="Times New Roman"/>
                      <w:b/>
                      <w:bCs/>
                      <w:sz w:val="18"/>
                      <w:szCs w:val="18"/>
                    </w:rPr>
                  </w:pPr>
                  <w:r>
                    <w:rPr>
                      <w:rFonts w:ascii="Times New Roman" w:hAnsi="Times New Roman"/>
                      <w:b/>
                      <w:bCs/>
                      <w:sz w:val="18"/>
                      <w:szCs w:val="18"/>
                    </w:rPr>
                    <w:t>工程内容及规模</w:t>
                  </w:r>
                </w:p>
              </w:tc>
              <w:tc>
                <w:tcPr>
                  <w:tcW w:w="0" w:type="auto"/>
                  <w:vAlign w:val="center"/>
                </w:tcPr>
                <w:p w14:paraId="2C0A5D6C">
                  <w:pPr>
                    <w:pStyle w:val="57"/>
                    <w:adjustRightInd w:val="0"/>
                    <w:snapToGrid w:val="0"/>
                    <w:jc w:val="center"/>
                    <w:rPr>
                      <w:rFonts w:ascii="Times New Roman" w:hAnsi="Times New Roman"/>
                      <w:b/>
                      <w:sz w:val="18"/>
                      <w:szCs w:val="18"/>
                    </w:rPr>
                  </w:pPr>
                  <w:r>
                    <w:rPr>
                      <w:rFonts w:ascii="Times New Roman" w:hAnsi="Times New Roman"/>
                      <w:b/>
                      <w:sz w:val="18"/>
                      <w:szCs w:val="18"/>
                    </w:rPr>
                    <w:t>备注</w:t>
                  </w:r>
                </w:p>
              </w:tc>
            </w:tr>
            <w:tr w14:paraId="00F3A4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5F3CF16A">
                  <w:pPr>
                    <w:pStyle w:val="57"/>
                    <w:adjustRightInd w:val="0"/>
                    <w:snapToGrid w:val="0"/>
                    <w:jc w:val="center"/>
                    <w:rPr>
                      <w:rFonts w:ascii="Times New Roman" w:hAnsi="Times New Roman"/>
                      <w:bCs/>
                      <w:color w:val="FF0000"/>
                      <w:sz w:val="18"/>
                      <w:szCs w:val="18"/>
                    </w:rPr>
                  </w:pPr>
                  <w:r>
                    <w:rPr>
                      <w:rFonts w:ascii="Times New Roman" w:hAnsi="Times New Roman"/>
                      <w:bCs/>
                      <w:sz w:val="18"/>
                      <w:szCs w:val="18"/>
                    </w:rPr>
                    <w:t>主体工程</w:t>
                  </w:r>
                </w:p>
              </w:tc>
              <w:tc>
                <w:tcPr>
                  <w:tcW w:w="0" w:type="auto"/>
                  <w:vAlign w:val="center"/>
                </w:tcPr>
                <w:p w14:paraId="20823CBD">
                  <w:pPr>
                    <w:pStyle w:val="57"/>
                    <w:adjustRightInd w:val="0"/>
                    <w:snapToGrid w:val="0"/>
                    <w:jc w:val="center"/>
                    <w:rPr>
                      <w:rFonts w:ascii="Times New Roman" w:hAnsi="Times New Roman"/>
                      <w:bCs/>
                      <w:sz w:val="18"/>
                      <w:szCs w:val="18"/>
                    </w:rPr>
                  </w:pPr>
                  <w:r>
                    <w:rPr>
                      <w:rFonts w:ascii="Times New Roman" w:hAnsi="Times New Roman"/>
                      <w:sz w:val="18"/>
                      <w:szCs w:val="18"/>
                    </w:rPr>
                    <w:t>注塑车间（1F）</w:t>
                  </w:r>
                </w:p>
              </w:tc>
              <w:tc>
                <w:tcPr>
                  <w:tcW w:w="0" w:type="auto"/>
                  <w:vAlign w:val="center"/>
                </w:tcPr>
                <w:p w14:paraId="40501C75">
                  <w:pPr>
                    <w:pStyle w:val="57"/>
                    <w:adjustRightInd w:val="0"/>
                    <w:snapToGrid w:val="0"/>
                    <w:jc w:val="left"/>
                    <w:rPr>
                      <w:rFonts w:hint="default" w:ascii="Times New Roman" w:hAnsi="Times New Roman" w:eastAsia="宋体"/>
                      <w:bCs/>
                      <w:sz w:val="18"/>
                      <w:szCs w:val="18"/>
                      <w:lang w:val="en-US" w:eastAsia="zh-CN"/>
                    </w:rPr>
                  </w:pPr>
                  <w:r>
                    <w:rPr>
                      <w:rFonts w:ascii="Times New Roman" w:hAnsi="Times New Roman"/>
                      <w:sz w:val="18"/>
                      <w:szCs w:val="18"/>
                    </w:rPr>
                    <w:t>钢结构，位于厂区</w:t>
                  </w:r>
                  <w:r>
                    <w:rPr>
                      <w:rFonts w:hint="eastAsia" w:ascii="Times New Roman" w:hAnsi="Times New Roman"/>
                      <w:sz w:val="18"/>
                      <w:szCs w:val="18"/>
                      <w:lang w:val="en-US" w:eastAsia="zh-CN"/>
                    </w:rPr>
                    <w:t>东南</w:t>
                  </w:r>
                  <w:r>
                    <w:rPr>
                      <w:rFonts w:ascii="Times New Roman" w:hAnsi="Times New Roman"/>
                      <w:sz w:val="18"/>
                      <w:szCs w:val="18"/>
                    </w:rPr>
                    <w:t>，建筑面积约</w:t>
                  </w:r>
                  <w:r>
                    <w:rPr>
                      <w:rFonts w:hint="eastAsia" w:ascii="Times New Roman" w:hAnsi="Times New Roman"/>
                      <w:sz w:val="18"/>
                      <w:szCs w:val="18"/>
                      <w:lang w:val="en-US" w:eastAsia="zh-CN"/>
                    </w:rPr>
                    <w:t>10</w:t>
                  </w:r>
                  <w:r>
                    <w:rPr>
                      <w:rFonts w:ascii="Times New Roman" w:hAnsi="Times New Roman"/>
                      <w:sz w:val="18"/>
                      <w:szCs w:val="18"/>
                    </w:rPr>
                    <w:t>00m</w:t>
                  </w:r>
                  <w:r>
                    <w:rPr>
                      <w:rFonts w:ascii="Times New Roman" w:hAnsi="Times New Roman"/>
                      <w:sz w:val="18"/>
                      <w:szCs w:val="18"/>
                      <w:vertAlign w:val="superscript"/>
                    </w:rPr>
                    <w:t>2</w:t>
                  </w:r>
                  <w:r>
                    <w:rPr>
                      <w:rFonts w:ascii="Times New Roman" w:hAnsi="Times New Roman"/>
                      <w:sz w:val="18"/>
                      <w:szCs w:val="18"/>
                    </w:rPr>
                    <w:t>，内置注塑机</w:t>
                  </w:r>
                  <w:r>
                    <w:rPr>
                      <w:rFonts w:hint="eastAsia" w:ascii="Times New Roman" w:hAnsi="Times New Roman"/>
                      <w:sz w:val="18"/>
                      <w:szCs w:val="18"/>
                      <w:lang w:eastAsia="zh-CN"/>
                    </w:rPr>
                    <w:t>、</w:t>
                  </w:r>
                  <w:r>
                    <w:rPr>
                      <w:rFonts w:hint="eastAsia" w:ascii="Times New Roman" w:hAnsi="Times New Roman"/>
                      <w:sz w:val="18"/>
                      <w:szCs w:val="18"/>
                      <w:lang w:val="en-US" w:eastAsia="zh-CN"/>
                    </w:rPr>
                    <w:t>破碎机</w:t>
                  </w:r>
                </w:p>
              </w:tc>
              <w:tc>
                <w:tcPr>
                  <w:tcW w:w="0" w:type="auto"/>
                  <w:vMerge w:val="restart"/>
                  <w:vAlign w:val="center"/>
                </w:tcPr>
                <w:p w14:paraId="45591DA0">
                  <w:pPr>
                    <w:pStyle w:val="57"/>
                    <w:adjustRightInd w:val="0"/>
                    <w:snapToGrid w:val="0"/>
                    <w:jc w:val="left"/>
                    <w:rPr>
                      <w:rFonts w:ascii="Times New Roman" w:hAnsi="Times New Roman"/>
                      <w:bCs/>
                      <w:sz w:val="18"/>
                      <w:szCs w:val="18"/>
                    </w:rPr>
                  </w:pPr>
                  <w:r>
                    <w:rPr>
                      <w:rFonts w:ascii="Times New Roman" w:hAnsi="Times New Roman"/>
                      <w:sz w:val="18"/>
                      <w:szCs w:val="18"/>
                    </w:rPr>
                    <w:t>可实现年产电竞椅约3万张</w:t>
                  </w:r>
                </w:p>
              </w:tc>
              <w:tc>
                <w:tcPr>
                  <w:tcW w:w="0" w:type="auto"/>
                  <w:vMerge w:val="restart"/>
                  <w:vAlign w:val="center"/>
                </w:tcPr>
                <w:p w14:paraId="5C6099A8">
                  <w:pPr>
                    <w:pStyle w:val="57"/>
                    <w:adjustRightInd w:val="0"/>
                    <w:snapToGrid w:val="0"/>
                    <w:jc w:val="center"/>
                    <w:rPr>
                      <w:rFonts w:ascii="Times New Roman" w:hAnsi="Times New Roman"/>
                      <w:bCs/>
                      <w:color w:val="FF0000"/>
                      <w:sz w:val="18"/>
                      <w:szCs w:val="18"/>
                    </w:rPr>
                  </w:pPr>
                  <w:r>
                    <w:rPr>
                      <w:rFonts w:ascii="Times New Roman" w:hAnsi="Times New Roman"/>
                      <w:bCs/>
                      <w:sz w:val="18"/>
                      <w:szCs w:val="18"/>
                    </w:rPr>
                    <w:t>已建</w:t>
                  </w:r>
                </w:p>
              </w:tc>
            </w:tr>
            <w:tr w14:paraId="7872A9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0" w:type="auto"/>
                  <w:vMerge w:val="continue"/>
                  <w:vAlign w:val="center"/>
                </w:tcPr>
                <w:p w14:paraId="677702DA">
                  <w:pPr>
                    <w:pStyle w:val="57"/>
                    <w:adjustRightInd w:val="0"/>
                    <w:snapToGrid w:val="0"/>
                    <w:jc w:val="center"/>
                    <w:rPr>
                      <w:rFonts w:ascii="Times New Roman" w:hAnsi="Times New Roman"/>
                      <w:bCs/>
                      <w:sz w:val="18"/>
                      <w:szCs w:val="18"/>
                    </w:rPr>
                  </w:pPr>
                </w:p>
              </w:tc>
              <w:tc>
                <w:tcPr>
                  <w:tcW w:w="0" w:type="auto"/>
                  <w:vAlign w:val="center"/>
                </w:tcPr>
                <w:p w14:paraId="4080A95C">
                  <w:pPr>
                    <w:pStyle w:val="57"/>
                    <w:adjustRightInd w:val="0"/>
                    <w:snapToGrid w:val="0"/>
                    <w:jc w:val="center"/>
                    <w:rPr>
                      <w:rFonts w:hint="default" w:ascii="Times New Roman" w:hAnsi="Times New Roman" w:eastAsia="宋体"/>
                      <w:sz w:val="18"/>
                      <w:szCs w:val="18"/>
                      <w:lang w:val="en-US" w:eastAsia="zh-CN"/>
                    </w:rPr>
                  </w:pPr>
                  <w:r>
                    <w:rPr>
                      <w:rFonts w:hint="eastAsia" w:ascii="Times New Roman" w:hAnsi="Times New Roman"/>
                      <w:sz w:val="18"/>
                      <w:szCs w:val="18"/>
                      <w:lang w:val="en-US" w:eastAsia="zh-CN"/>
                    </w:rPr>
                    <w:t>五金加工车间（1F）</w:t>
                  </w:r>
                </w:p>
              </w:tc>
              <w:tc>
                <w:tcPr>
                  <w:tcW w:w="0" w:type="auto"/>
                  <w:vAlign w:val="center"/>
                </w:tcPr>
                <w:p w14:paraId="69463484">
                  <w:pPr>
                    <w:pStyle w:val="57"/>
                    <w:adjustRightInd w:val="0"/>
                    <w:snapToGrid w:val="0"/>
                    <w:jc w:val="left"/>
                    <w:rPr>
                      <w:rFonts w:hint="default" w:ascii="Times New Roman" w:hAnsi="Times New Roman" w:eastAsia="宋体"/>
                      <w:sz w:val="18"/>
                      <w:szCs w:val="18"/>
                      <w:lang w:val="en-US" w:eastAsia="zh-CN"/>
                    </w:rPr>
                  </w:pPr>
                  <w:r>
                    <w:rPr>
                      <w:rFonts w:hint="eastAsia" w:ascii="Times New Roman" w:hAnsi="Times New Roman"/>
                      <w:sz w:val="18"/>
                      <w:szCs w:val="18"/>
                      <w:lang w:val="en-US" w:eastAsia="zh-CN"/>
                    </w:rPr>
                    <w:t>钢结构，位于厂区西侧，建筑面积约500</w:t>
                  </w:r>
                  <w:r>
                    <w:rPr>
                      <w:rFonts w:ascii="Times New Roman" w:hAnsi="Times New Roman"/>
                      <w:sz w:val="18"/>
                      <w:szCs w:val="18"/>
                    </w:rPr>
                    <w:t>m</w:t>
                  </w:r>
                  <w:r>
                    <w:rPr>
                      <w:rFonts w:ascii="Times New Roman" w:hAnsi="Times New Roman"/>
                      <w:sz w:val="18"/>
                      <w:szCs w:val="18"/>
                      <w:vertAlign w:val="superscript"/>
                    </w:rPr>
                    <w:t>2</w:t>
                  </w:r>
                  <w:r>
                    <w:rPr>
                      <w:rFonts w:ascii="Times New Roman" w:hAnsi="Times New Roman"/>
                      <w:sz w:val="18"/>
                      <w:szCs w:val="18"/>
                    </w:rPr>
                    <w:t>，内置</w:t>
                  </w:r>
                  <w:r>
                    <w:rPr>
                      <w:rFonts w:hint="eastAsia" w:ascii="Times New Roman" w:hAnsi="Times New Roman"/>
                      <w:sz w:val="18"/>
                      <w:szCs w:val="18"/>
                      <w:lang w:val="en-US" w:eastAsia="zh-CN"/>
                    </w:rPr>
                    <w:t>打磨机、焊接机</w:t>
                  </w:r>
                </w:p>
              </w:tc>
              <w:tc>
                <w:tcPr>
                  <w:tcW w:w="0" w:type="auto"/>
                  <w:vMerge w:val="continue"/>
                  <w:vAlign w:val="center"/>
                </w:tcPr>
                <w:p w14:paraId="1B78C305">
                  <w:pPr>
                    <w:pStyle w:val="57"/>
                    <w:adjustRightInd w:val="0"/>
                    <w:snapToGrid w:val="0"/>
                    <w:jc w:val="left"/>
                    <w:rPr>
                      <w:rFonts w:ascii="Times New Roman" w:hAnsi="Times New Roman"/>
                      <w:sz w:val="18"/>
                      <w:szCs w:val="18"/>
                    </w:rPr>
                  </w:pPr>
                </w:p>
              </w:tc>
              <w:tc>
                <w:tcPr>
                  <w:tcW w:w="0" w:type="auto"/>
                  <w:vMerge w:val="continue"/>
                  <w:vAlign w:val="center"/>
                </w:tcPr>
                <w:p w14:paraId="6D82A587">
                  <w:pPr>
                    <w:pStyle w:val="57"/>
                    <w:adjustRightInd w:val="0"/>
                    <w:snapToGrid w:val="0"/>
                    <w:jc w:val="center"/>
                    <w:rPr>
                      <w:rFonts w:ascii="Times New Roman" w:hAnsi="Times New Roman"/>
                      <w:bCs/>
                      <w:sz w:val="18"/>
                      <w:szCs w:val="18"/>
                    </w:rPr>
                  </w:pPr>
                </w:p>
              </w:tc>
            </w:tr>
            <w:tr w14:paraId="5CA189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547E117D">
                  <w:pPr>
                    <w:pStyle w:val="57"/>
                    <w:adjustRightInd w:val="0"/>
                    <w:snapToGrid w:val="0"/>
                    <w:jc w:val="center"/>
                    <w:rPr>
                      <w:rFonts w:ascii="Times New Roman" w:hAnsi="Times New Roman"/>
                      <w:bCs/>
                      <w:sz w:val="18"/>
                      <w:szCs w:val="18"/>
                    </w:rPr>
                  </w:pPr>
                </w:p>
              </w:tc>
              <w:tc>
                <w:tcPr>
                  <w:tcW w:w="0" w:type="auto"/>
                  <w:vAlign w:val="center"/>
                </w:tcPr>
                <w:p w14:paraId="5BB56087">
                  <w:pPr>
                    <w:pStyle w:val="57"/>
                    <w:adjustRightInd w:val="0"/>
                    <w:snapToGrid w:val="0"/>
                    <w:jc w:val="center"/>
                    <w:rPr>
                      <w:rFonts w:ascii="Times New Roman" w:hAnsi="Times New Roman"/>
                      <w:sz w:val="18"/>
                      <w:szCs w:val="18"/>
                    </w:rPr>
                  </w:pPr>
                  <w:r>
                    <w:rPr>
                      <w:rFonts w:ascii="Times New Roman" w:hAnsi="Times New Roman"/>
                      <w:sz w:val="18"/>
                      <w:szCs w:val="18"/>
                    </w:rPr>
                    <w:t>组装车间（1F）</w:t>
                  </w:r>
                </w:p>
              </w:tc>
              <w:tc>
                <w:tcPr>
                  <w:tcW w:w="0" w:type="auto"/>
                  <w:vAlign w:val="center"/>
                </w:tcPr>
                <w:p w14:paraId="5844F422">
                  <w:pPr>
                    <w:pStyle w:val="57"/>
                    <w:adjustRightInd w:val="0"/>
                    <w:snapToGrid w:val="0"/>
                    <w:jc w:val="left"/>
                    <w:rPr>
                      <w:rFonts w:ascii="Times New Roman" w:hAnsi="Times New Roman"/>
                      <w:sz w:val="18"/>
                      <w:szCs w:val="18"/>
                    </w:rPr>
                  </w:pPr>
                  <w:r>
                    <w:rPr>
                      <w:rFonts w:ascii="Times New Roman" w:hAnsi="Times New Roman"/>
                      <w:sz w:val="18"/>
                      <w:szCs w:val="18"/>
                    </w:rPr>
                    <w:t>钢结构，位于厂区东侧，建筑面积约</w:t>
                  </w:r>
                  <w:r>
                    <w:rPr>
                      <w:rFonts w:hint="eastAsia" w:ascii="Times New Roman" w:hAnsi="Times New Roman"/>
                      <w:sz w:val="18"/>
                      <w:szCs w:val="18"/>
                      <w:lang w:val="en-US" w:eastAsia="zh-CN"/>
                    </w:rPr>
                    <w:t>10</w:t>
                  </w:r>
                  <w:r>
                    <w:rPr>
                      <w:rFonts w:ascii="Times New Roman" w:hAnsi="Times New Roman"/>
                      <w:sz w:val="18"/>
                      <w:szCs w:val="18"/>
                    </w:rPr>
                    <w:t>00m</w:t>
                  </w:r>
                  <w:r>
                    <w:rPr>
                      <w:rFonts w:ascii="Times New Roman" w:hAnsi="Times New Roman"/>
                      <w:sz w:val="18"/>
                      <w:szCs w:val="18"/>
                      <w:vertAlign w:val="superscript"/>
                    </w:rPr>
                    <w:t>2</w:t>
                  </w:r>
                  <w:r>
                    <w:rPr>
                      <w:rFonts w:ascii="Times New Roman" w:hAnsi="Times New Roman"/>
                      <w:sz w:val="18"/>
                      <w:szCs w:val="18"/>
                    </w:rPr>
                    <w:t>，内置缝纫机、绣花机、枪钉、组装线等设备</w:t>
                  </w:r>
                </w:p>
              </w:tc>
              <w:tc>
                <w:tcPr>
                  <w:tcW w:w="0" w:type="auto"/>
                  <w:vMerge w:val="continue"/>
                  <w:vAlign w:val="center"/>
                </w:tcPr>
                <w:p w14:paraId="17A7982E">
                  <w:pPr>
                    <w:pStyle w:val="57"/>
                    <w:adjustRightInd w:val="0"/>
                    <w:snapToGrid w:val="0"/>
                    <w:jc w:val="left"/>
                    <w:rPr>
                      <w:rFonts w:ascii="Times New Roman" w:hAnsi="Times New Roman"/>
                      <w:sz w:val="18"/>
                      <w:szCs w:val="18"/>
                    </w:rPr>
                  </w:pPr>
                </w:p>
              </w:tc>
              <w:tc>
                <w:tcPr>
                  <w:tcW w:w="0" w:type="auto"/>
                  <w:vMerge w:val="continue"/>
                  <w:vAlign w:val="center"/>
                </w:tcPr>
                <w:p w14:paraId="68569511">
                  <w:pPr>
                    <w:pStyle w:val="57"/>
                    <w:adjustRightInd w:val="0"/>
                    <w:snapToGrid w:val="0"/>
                    <w:jc w:val="center"/>
                    <w:rPr>
                      <w:rFonts w:ascii="Times New Roman" w:hAnsi="Times New Roman"/>
                      <w:bCs/>
                      <w:sz w:val="18"/>
                      <w:szCs w:val="18"/>
                    </w:rPr>
                  </w:pPr>
                </w:p>
              </w:tc>
            </w:tr>
            <w:tr w14:paraId="6E54F7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8DA1B21">
                  <w:pPr>
                    <w:pStyle w:val="57"/>
                    <w:adjustRightInd w:val="0"/>
                    <w:snapToGrid w:val="0"/>
                    <w:jc w:val="center"/>
                    <w:rPr>
                      <w:rFonts w:ascii="Times New Roman" w:hAnsi="Times New Roman"/>
                      <w:bCs/>
                      <w:color w:val="FF0000"/>
                      <w:sz w:val="18"/>
                      <w:szCs w:val="18"/>
                    </w:rPr>
                  </w:pPr>
                  <w:r>
                    <w:rPr>
                      <w:rFonts w:ascii="Times New Roman" w:hAnsi="Times New Roman"/>
                      <w:bCs/>
                      <w:sz w:val="18"/>
                      <w:szCs w:val="18"/>
                    </w:rPr>
                    <w:t>辅助工程</w:t>
                  </w:r>
                </w:p>
              </w:tc>
              <w:tc>
                <w:tcPr>
                  <w:tcW w:w="0" w:type="auto"/>
                  <w:vAlign w:val="center"/>
                </w:tcPr>
                <w:p w14:paraId="524F77E9">
                  <w:pPr>
                    <w:pStyle w:val="57"/>
                    <w:adjustRightInd w:val="0"/>
                    <w:snapToGrid w:val="0"/>
                    <w:jc w:val="center"/>
                    <w:rPr>
                      <w:rFonts w:ascii="Times New Roman" w:hAnsi="Times New Roman"/>
                      <w:bCs/>
                      <w:sz w:val="18"/>
                      <w:szCs w:val="18"/>
                    </w:rPr>
                  </w:pPr>
                  <w:r>
                    <w:rPr>
                      <w:rFonts w:ascii="Times New Roman" w:hAnsi="Times New Roman"/>
                      <w:bCs/>
                      <w:sz w:val="18"/>
                      <w:szCs w:val="18"/>
                    </w:rPr>
                    <w:t>办公区</w:t>
                  </w:r>
                </w:p>
              </w:tc>
              <w:tc>
                <w:tcPr>
                  <w:tcW w:w="0" w:type="auto"/>
                  <w:gridSpan w:val="2"/>
                  <w:vAlign w:val="center"/>
                </w:tcPr>
                <w:p w14:paraId="27A2E048">
                  <w:pPr>
                    <w:pStyle w:val="57"/>
                    <w:adjustRightInd w:val="0"/>
                    <w:snapToGrid w:val="0"/>
                    <w:jc w:val="left"/>
                    <w:rPr>
                      <w:rFonts w:ascii="Times New Roman" w:hAnsi="Times New Roman"/>
                      <w:bCs/>
                      <w:sz w:val="18"/>
                      <w:szCs w:val="18"/>
                    </w:rPr>
                  </w:pPr>
                  <w:r>
                    <w:rPr>
                      <w:rFonts w:ascii="Times New Roman" w:hAnsi="Times New Roman"/>
                      <w:sz w:val="18"/>
                      <w:szCs w:val="18"/>
                    </w:rPr>
                    <w:t>混凝土结构，建筑面积1000m</w:t>
                  </w:r>
                  <w:r>
                    <w:rPr>
                      <w:rFonts w:ascii="Times New Roman" w:hAnsi="Times New Roman"/>
                      <w:sz w:val="18"/>
                      <w:szCs w:val="18"/>
                      <w:vertAlign w:val="superscript"/>
                    </w:rPr>
                    <w:t>2</w:t>
                  </w:r>
                  <w:r>
                    <w:rPr>
                      <w:rFonts w:ascii="Times New Roman" w:hAnsi="Times New Roman"/>
                      <w:sz w:val="18"/>
                      <w:szCs w:val="18"/>
                    </w:rPr>
                    <w:t>，位于注塑车间东南角，用于厂区职工办公。</w:t>
                  </w:r>
                </w:p>
              </w:tc>
              <w:tc>
                <w:tcPr>
                  <w:tcW w:w="0" w:type="auto"/>
                  <w:vMerge w:val="continue"/>
                  <w:vAlign w:val="center"/>
                </w:tcPr>
                <w:p w14:paraId="2E82E341">
                  <w:pPr>
                    <w:pStyle w:val="57"/>
                    <w:adjustRightInd w:val="0"/>
                    <w:snapToGrid w:val="0"/>
                    <w:jc w:val="center"/>
                    <w:rPr>
                      <w:rFonts w:ascii="Times New Roman" w:hAnsi="Times New Roman"/>
                      <w:bCs/>
                      <w:color w:val="FF0000"/>
                      <w:sz w:val="18"/>
                      <w:szCs w:val="18"/>
                    </w:rPr>
                  </w:pPr>
                </w:p>
              </w:tc>
            </w:tr>
            <w:tr w14:paraId="4DA902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4CB430DE">
                  <w:pPr>
                    <w:pStyle w:val="57"/>
                    <w:adjustRightInd w:val="0"/>
                    <w:snapToGrid w:val="0"/>
                    <w:jc w:val="center"/>
                    <w:rPr>
                      <w:rFonts w:ascii="Times New Roman" w:hAnsi="Times New Roman"/>
                      <w:bCs/>
                      <w:color w:val="FF0000"/>
                      <w:sz w:val="18"/>
                      <w:szCs w:val="18"/>
                    </w:rPr>
                  </w:pPr>
                  <w:r>
                    <w:rPr>
                      <w:rFonts w:ascii="Times New Roman" w:hAnsi="Times New Roman"/>
                      <w:bCs/>
                      <w:sz w:val="18"/>
                      <w:szCs w:val="18"/>
                    </w:rPr>
                    <w:t>公用工程</w:t>
                  </w:r>
                </w:p>
              </w:tc>
              <w:tc>
                <w:tcPr>
                  <w:tcW w:w="0" w:type="auto"/>
                  <w:vAlign w:val="center"/>
                </w:tcPr>
                <w:p w14:paraId="37C39EF9">
                  <w:pPr>
                    <w:pStyle w:val="57"/>
                    <w:adjustRightInd w:val="0"/>
                    <w:snapToGrid w:val="0"/>
                    <w:jc w:val="center"/>
                    <w:rPr>
                      <w:rFonts w:ascii="Times New Roman" w:hAnsi="Times New Roman"/>
                      <w:bCs/>
                      <w:sz w:val="18"/>
                      <w:szCs w:val="18"/>
                    </w:rPr>
                  </w:pPr>
                  <w:r>
                    <w:rPr>
                      <w:rFonts w:ascii="Times New Roman" w:hAnsi="Times New Roman"/>
                      <w:bCs/>
                      <w:sz w:val="18"/>
                      <w:szCs w:val="18"/>
                    </w:rPr>
                    <w:t>供水</w:t>
                  </w:r>
                </w:p>
              </w:tc>
              <w:tc>
                <w:tcPr>
                  <w:tcW w:w="0" w:type="auto"/>
                  <w:gridSpan w:val="2"/>
                  <w:vAlign w:val="center"/>
                </w:tcPr>
                <w:p w14:paraId="0357B5F8">
                  <w:pPr>
                    <w:pStyle w:val="57"/>
                    <w:adjustRightInd w:val="0"/>
                    <w:snapToGrid w:val="0"/>
                    <w:jc w:val="left"/>
                    <w:rPr>
                      <w:rFonts w:ascii="Times New Roman" w:hAnsi="Times New Roman"/>
                      <w:bCs/>
                      <w:sz w:val="18"/>
                      <w:szCs w:val="18"/>
                    </w:rPr>
                  </w:pPr>
                  <w:r>
                    <w:rPr>
                      <w:rFonts w:ascii="Times New Roman" w:hAnsi="Times New Roman"/>
                      <w:bCs/>
                      <w:sz w:val="18"/>
                      <w:szCs w:val="18"/>
                    </w:rPr>
                    <w:t>园区供水管网提供，年用水量600t/a</w:t>
                  </w:r>
                </w:p>
              </w:tc>
              <w:tc>
                <w:tcPr>
                  <w:tcW w:w="0" w:type="auto"/>
                  <w:vMerge w:val="restart"/>
                  <w:vAlign w:val="center"/>
                </w:tcPr>
                <w:p w14:paraId="56EC98A6">
                  <w:pPr>
                    <w:pStyle w:val="57"/>
                    <w:adjustRightInd w:val="0"/>
                    <w:snapToGrid w:val="0"/>
                    <w:jc w:val="center"/>
                    <w:rPr>
                      <w:rFonts w:ascii="Times New Roman" w:hAnsi="Times New Roman"/>
                      <w:bCs/>
                      <w:sz w:val="18"/>
                      <w:szCs w:val="18"/>
                    </w:rPr>
                  </w:pPr>
                  <w:r>
                    <w:rPr>
                      <w:rFonts w:ascii="Times New Roman" w:hAnsi="Times New Roman"/>
                      <w:bCs/>
                      <w:sz w:val="18"/>
                      <w:szCs w:val="18"/>
                    </w:rPr>
                    <w:t>已建</w:t>
                  </w:r>
                </w:p>
              </w:tc>
            </w:tr>
            <w:tr w14:paraId="7FA1EB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716B9B95">
                  <w:pPr>
                    <w:pStyle w:val="57"/>
                    <w:adjustRightInd w:val="0"/>
                    <w:snapToGrid w:val="0"/>
                    <w:jc w:val="center"/>
                    <w:rPr>
                      <w:rFonts w:ascii="Times New Roman" w:hAnsi="Times New Roman"/>
                      <w:bCs/>
                      <w:color w:val="FF0000"/>
                      <w:sz w:val="18"/>
                      <w:szCs w:val="18"/>
                    </w:rPr>
                  </w:pPr>
                </w:p>
              </w:tc>
              <w:tc>
                <w:tcPr>
                  <w:tcW w:w="0" w:type="auto"/>
                  <w:vAlign w:val="center"/>
                </w:tcPr>
                <w:p w14:paraId="483C84C3">
                  <w:pPr>
                    <w:pStyle w:val="57"/>
                    <w:adjustRightInd w:val="0"/>
                    <w:snapToGrid w:val="0"/>
                    <w:jc w:val="center"/>
                    <w:rPr>
                      <w:rFonts w:ascii="Times New Roman" w:hAnsi="Times New Roman"/>
                      <w:bCs/>
                      <w:sz w:val="18"/>
                      <w:szCs w:val="18"/>
                    </w:rPr>
                  </w:pPr>
                  <w:r>
                    <w:rPr>
                      <w:rFonts w:ascii="Times New Roman" w:hAnsi="Times New Roman"/>
                      <w:bCs/>
                      <w:sz w:val="18"/>
                      <w:szCs w:val="18"/>
                    </w:rPr>
                    <w:t>排水</w:t>
                  </w:r>
                </w:p>
              </w:tc>
              <w:tc>
                <w:tcPr>
                  <w:tcW w:w="0" w:type="auto"/>
                  <w:gridSpan w:val="2"/>
                  <w:vAlign w:val="center"/>
                </w:tcPr>
                <w:p w14:paraId="173BA818">
                  <w:pPr>
                    <w:pStyle w:val="57"/>
                    <w:adjustRightInd w:val="0"/>
                    <w:snapToGrid w:val="0"/>
                    <w:jc w:val="left"/>
                    <w:rPr>
                      <w:rFonts w:ascii="Times New Roman" w:hAnsi="Times New Roman"/>
                      <w:bCs/>
                      <w:sz w:val="18"/>
                      <w:szCs w:val="18"/>
                    </w:rPr>
                  </w:pPr>
                  <w:r>
                    <w:rPr>
                      <w:rFonts w:ascii="Times New Roman" w:hAnsi="Times New Roman"/>
                      <w:bCs/>
                      <w:sz w:val="18"/>
                      <w:szCs w:val="18"/>
                    </w:rPr>
                    <w:t>排水实行雨、污分流，生活污水依托厂房已建化粪池预处理后经吸粪车定期清掏。</w:t>
                  </w:r>
                </w:p>
              </w:tc>
              <w:tc>
                <w:tcPr>
                  <w:tcW w:w="0" w:type="auto"/>
                  <w:vMerge w:val="continue"/>
                  <w:vAlign w:val="center"/>
                </w:tcPr>
                <w:p w14:paraId="66AC6B6C">
                  <w:pPr>
                    <w:pStyle w:val="57"/>
                    <w:adjustRightInd w:val="0"/>
                    <w:snapToGrid w:val="0"/>
                    <w:jc w:val="center"/>
                    <w:rPr>
                      <w:rFonts w:ascii="Times New Roman" w:hAnsi="Times New Roman"/>
                      <w:bCs/>
                      <w:sz w:val="18"/>
                      <w:szCs w:val="18"/>
                    </w:rPr>
                  </w:pPr>
                </w:p>
              </w:tc>
            </w:tr>
            <w:tr w14:paraId="0171E0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67E22A24">
                  <w:pPr>
                    <w:pStyle w:val="57"/>
                    <w:adjustRightInd w:val="0"/>
                    <w:snapToGrid w:val="0"/>
                    <w:jc w:val="center"/>
                    <w:rPr>
                      <w:rFonts w:ascii="Times New Roman" w:hAnsi="Times New Roman"/>
                      <w:bCs/>
                      <w:color w:val="FF0000"/>
                      <w:sz w:val="18"/>
                      <w:szCs w:val="18"/>
                    </w:rPr>
                  </w:pPr>
                </w:p>
              </w:tc>
              <w:tc>
                <w:tcPr>
                  <w:tcW w:w="0" w:type="auto"/>
                  <w:vAlign w:val="center"/>
                </w:tcPr>
                <w:p w14:paraId="6A77A46E">
                  <w:pPr>
                    <w:pStyle w:val="57"/>
                    <w:adjustRightInd w:val="0"/>
                    <w:snapToGrid w:val="0"/>
                    <w:jc w:val="center"/>
                    <w:rPr>
                      <w:rFonts w:ascii="Times New Roman" w:hAnsi="Times New Roman"/>
                      <w:bCs/>
                      <w:sz w:val="18"/>
                      <w:szCs w:val="18"/>
                    </w:rPr>
                  </w:pPr>
                  <w:r>
                    <w:rPr>
                      <w:rFonts w:ascii="Times New Roman" w:hAnsi="Times New Roman"/>
                      <w:bCs/>
                      <w:sz w:val="18"/>
                      <w:szCs w:val="18"/>
                    </w:rPr>
                    <w:t>供电</w:t>
                  </w:r>
                </w:p>
              </w:tc>
              <w:tc>
                <w:tcPr>
                  <w:tcW w:w="0" w:type="auto"/>
                  <w:gridSpan w:val="2"/>
                  <w:vAlign w:val="center"/>
                </w:tcPr>
                <w:p w14:paraId="1C8B5490">
                  <w:pPr>
                    <w:pStyle w:val="57"/>
                    <w:adjustRightInd w:val="0"/>
                    <w:snapToGrid w:val="0"/>
                    <w:jc w:val="left"/>
                    <w:rPr>
                      <w:rFonts w:ascii="Times New Roman" w:hAnsi="Times New Roman"/>
                      <w:bCs/>
                      <w:sz w:val="18"/>
                      <w:szCs w:val="18"/>
                    </w:rPr>
                  </w:pPr>
                  <w:r>
                    <w:rPr>
                      <w:rFonts w:ascii="Times New Roman" w:hAnsi="Times New Roman"/>
                      <w:bCs/>
                      <w:sz w:val="18"/>
                      <w:szCs w:val="18"/>
                    </w:rPr>
                    <w:t>园区供电所供电，年用电量约40万kw·h</w:t>
                  </w:r>
                </w:p>
              </w:tc>
              <w:tc>
                <w:tcPr>
                  <w:tcW w:w="0" w:type="auto"/>
                  <w:vMerge w:val="continue"/>
                  <w:vAlign w:val="center"/>
                </w:tcPr>
                <w:p w14:paraId="2837D84E">
                  <w:pPr>
                    <w:pStyle w:val="57"/>
                    <w:adjustRightInd w:val="0"/>
                    <w:snapToGrid w:val="0"/>
                    <w:jc w:val="center"/>
                    <w:rPr>
                      <w:rFonts w:ascii="Times New Roman" w:hAnsi="Times New Roman"/>
                      <w:bCs/>
                      <w:color w:val="FF0000"/>
                      <w:sz w:val="18"/>
                      <w:szCs w:val="18"/>
                    </w:rPr>
                  </w:pPr>
                </w:p>
              </w:tc>
            </w:tr>
            <w:tr w14:paraId="17BFEB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08BCC438">
                  <w:pPr>
                    <w:pStyle w:val="57"/>
                    <w:adjustRightInd w:val="0"/>
                    <w:snapToGrid w:val="0"/>
                    <w:jc w:val="center"/>
                    <w:rPr>
                      <w:rFonts w:ascii="Times New Roman" w:hAnsi="Times New Roman"/>
                      <w:bCs/>
                      <w:sz w:val="18"/>
                      <w:szCs w:val="18"/>
                    </w:rPr>
                  </w:pPr>
                  <w:r>
                    <w:rPr>
                      <w:rFonts w:ascii="Times New Roman" w:hAnsi="Times New Roman"/>
                      <w:sz w:val="18"/>
                      <w:szCs w:val="18"/>
                    </w:rPr>
                    <w:t>贮运工程</w:t>
                  </w:r>
                </w:p>
              </w:tc>
              <w:tc>
                <w:tcPr>
                  <w:tcW w:w="0" w:type="auto"/>
                  <w:vAlign w:val="center"/>
                </w:tcPr>
                <w:p w14:paraId="4CC05868">
                  <w:pPr>
                    <w:tabs>
                      <w:tab w:val="left" w:pos="3255"/>
                    </w:tabs>
                    <w:adjustRightInd w:val="0"/>
                    <w:snapToGrid w:val="0"/>
                    <w:jc w:val="center"/>
                    <w:rPr>
                      <w:rFonts w:ascii="Times New Roman" w:hAnsi="Times New Roman"/>
                      <w:sz w:val="18"/>
                      <w:szCs w:val="18"/>
                    </w:rPr>
                  </w:pPr>
                  <w:r>
                    <w:rPr>
                      <w:rFonts w:ascii="Times New Roman" w:hAnsi="Times New Roman"/>
                      <w:sz w:val="18"/>
                      <w:szCs w:val="18"/>
                    </w:rPr>
                    <w:t>原材料仓库</w:t>
                  </w:r>
                </w:p>
              </w:tc>
              <w:tc>
                <w:tcPr>
                  <w:tcW w:w="0" w:type="auto"/>
                  <w:gridSpan w:val="2"/>
                  <w:vAlign w:val="center"/>
                </w:tcPr>
                <w:p w14:paraId="1C66D880">
                  <w:pPr>
                    <w:adjustRightInd w:val="0"/>
                    <w:snapToGrid w:val="0"/>
                    <w:jc w:val="left"/>
                    <w:rPr>
                      <w:rFonts w:ascii="Times New Roman" w:hAnsi="Times New Roman"/>
                      <w:sz w:val="18"/>
                      <w:szCs w:val="18"/>
                    </w:rPr>
                  </w:pPr>
                  <w:r>
                    <w:rPr>
                      <w:rFonts w:ascii="Times New Roman" w:hAnsi="Times New Roman"/>
                      <w:sz w:val="18"/>
                      <w:szCs w:val="18"/>
                    </w:rPr>
                    <w:t>钢结构，占地面积100m</w:t>
                  </w:r>
                  <w:r>
                    <w:rPr>
                      <w:rFonts w:ascii="Times New Roman" w:hAnsi="Times New Roman"/>
                      <w:sz w:val="18"/>
                      <w:szCs w:val="18"/>
                      <w:vertAlign w:val="superscript"/>
                    </w:rPr>
                    <w:t>2</w:t>
                  </w:r>
                  <w:r>
                    <w:rPr>
                      <w:rFonts w:ascii="Times New Roman" w:hAnsi="Times New Roman"/>
                      <w:sz w:val="18"/>
                      <w:szCs w:val="18"/>
                    </w:rPr>
                    <w:t>，位于</w:t>
                  </w:r>
                  <w:r>
                    <w:rPr>
                      <w:rFonts w:hint="eastAsia"/>
                      <w:sz w:val="18"/>
                      <w:szCs w:val="18"/>
                      <w:lang w:val="en-US" w:eastAsia="zh-CN"/>
                    </w:rPr>
                    <w:t>厂区西北</w:t>
                  </w:r>
                  <w:r>
                    <w:rPr>
                      <w:rFonts w:ascii="Times New Roman" w:hAnsi="Times New Roman"/>
                      <w:sz w:val="18"/>
                      <w:szCs w:val="18"/>
                    </w:rPr>
                    <w:t>，用于存放项目生产所需零配件。</w:t>
                  </w:r>
                </w:p>
              </w:tc>
              <w:tc>
                <w:tcPr>
                  <w:tcW w:w="0" w:type="auto"/>
                  <w:vMerge w:val="restart"/>
                  <w:vAlign w:val="center"/>
                </w:tcPr>
                <w:p w14:paraId="308C770D">
                  <w:pPr>
                    <w:snapToGrid w:val="0"/>
                    <w:jc w:val="center"/>
                    <w:rPr>
                      <w:rFonts w:ascii="Times New Roman" w:hAnsi="Times New Roman"/>
                      <w:bCs/>
                      <w:sz w:val="18"/>
                      <w:szCs w:val="18"/>
                    </w:rPr>
                  </w:pPr>
                  <w:r>
                    <w:rPr>
                      <w:rFonts w:ascii="Times New Roman" w:hAnsi="Times New Roman"/>
                      <w:bCs/>
                      <w:sz w:val="18"/>
                      <w:szCs w:val="18"/>
                    </w:rPr>
                    <w:t>已建</w:t>
                  </w:r>
                </w:p>
              </w:tc>
            </w:tr>
            <w:tr w14:paraId="6FFF8A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38B341BE">
                  <w:pPr>
                    <w:pStyle w:val="57"/>
                    <w:adjustRightInd w:val="0"/>
                    <w:snapToGrid w:val="0"/>
                    <w:jc w:val="center"/>
                    <w:rPr>
                      <w:rFonts w:ascii="Times New Roman" w:hAnsi="Times New Roman"/>
                      <w:bCs/>
                      <w:sz w:val="18"/>
                      <w:szCs w:val="18"/>
                    </w:rPr>
                  </w:pPr>
                </w:p>
              </w:tc>
              <w:tc>
                <w:tcPr>
                  <w:tcW w:w="0" w:type="auto"/>
                  <w:vAlign w:val="center"/>
                </w:tcPr>
                <w:p w14:paraId="4FEDDC28">
                  <w:pPr>
                    <w:tabs>
                      <w:tab w:val="left" w:pos="3255"/>
                    </w:tabs>
                    <w:adjustRightInd w:val="0"/>
                    <w:snapToGrid w:val="0"/>
                    <w:jc w:val="center"/>
                    <w:rPr>
                      <w:rFonts w:ascii="Times New Roman" w:hAnsi="Times New Roman"/>
                      <w:sz w:val="18"/>
                      <w:szCs w:val="18"/>
                    </w:rPr>
                  </w:pPr>
                  <w:r>
                    <w:rPr>
                      <w:rFonts w:ascii="Times New Roman" w:hAnsi="Times New Roman"/>
                      <w:sz w:val="18"/>
                      <w:szCs w:val="18"/>
                    </w:rPr>
                    <w:t>成品暂存区</w:t>
                  </w:r>
                </w:p>
              </w:tc>
              <w:tc>
                <w:tcPr>
                  <w:tcW w:w="0" w:type="auto"/>
                  <w:gridSpan w:val="2"/>
                  <w:vAlign w:val="center"/>
                </w:tcPr>
                <w:p w14:paraId="3E484126">
                  <w:pPr>
                    <w:adjustRightInd w:val="0"/>
                    <w:snapToGrid w:val="0"/>
                    <w:jc w:val="left"/>
                    <w:rPr>
                      <w:rFonts w:ascii="Times New Roman" w:hAnsi="Times New Roman"/>
                      <w:sz w:val="18"/>
                      <w:szCs w:val="18"/>
                    </w:rPr>
                  </w:pPr>
                  <w:r>
                    <w:rPr>
                      <w:rFonts w:ascii="Times New Roman" w:hAnsi="Times New Roman"/>
                      <w:sz w:val="18"/>
                      <w:szCs w:val="18"/>
                    </w:rPr>
                    <w:t>钢结构，占地面积200m</w:t>
                  </w:r>
                  <w:r>
                    <w:rPr>
                      <w:rFonts w:ascii="Times New Roman" w:hAnsi="Times New Roman"/>
                      <w:sz w:val="18"/>
                      <w:szCs w:val="18"/>
                      <w:vertAlign w:val="superscript"/>
                    </w:rPr>
                    <w:t>2</w:t>
                  </w:r>
                  <w:r>
                    <w:rPr>
                      <w:rFonts w:ascii="Times New Roman" w:hAnsi="Times New Roman"/>
                      <w:sz w:val="18"/>
                      <w:szCs w:val="18"/>
                    </w:rPr>
                    <w:t>，位于</w:t>
                  </w:r>
                  <w:r>
                    <w:rPr>
                      <w:rFonts w:hint="eastAsia"/>
                      <w:sz w:val="18"/>
                      <w:szCs w:val="18"/>
                      <w:lang w:val="en-US" w:eastAsia="zh-CN"/>
                    </w:rPr>
                    <w:t>厂区北</w:t>
                  </w:r>
                  <w:r>
                    <w:rPr>
                      <w:rFonts w:ascii="Times New Roman" w:hAnsi="Times New Roman"/>
                      <w:sz w:val="18"/>
                      <w:szCs w:val="18"/>
                    </w:rPr>
                    <w:t>侧，用于存放项目成品。</w:t>
                  </w:r>
                </w:p>
              </w:tc>
              <w:tc>
                <w:tcPr>
                  <w:tcW w:w="0" w:type="auto"/>
                  <w:vMerge w:val="continue"/>
                  <w:vAlign w:val="center"/>
                </w:tcPr>
                <w:p w14:paraId="74F82DBC">
                  <w:pPr>
                    <w:snapToGrid w:val="0"/>
                    <w:rPr>
                      <w:rFonts w:ascii="Times New Roman" w:hAnsi="Times New Roman"/>
                      <w:bCs/>
                      <w:sz w:val="18"/>
                      <w:szCs w:val="18"/>
                    </w:rPr>
                  </w:pPr>
                </w:p>
              </w:tc>
            </w:tr>
            <w:tr w14:paraId="4DF099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397D6824">
                  <w:pPr>
                    <w:pStyle w:val="57"/>
                    <w:adjustRightInd w:val="0"/>
                    <w:snapToGrid w:val="0"/>
                    <w:jc w:val="center"/>
                    <w:rPr>
                      <w:rFonts w:ascii="Times New Roman" w:hAnsi="Times New Roman"/>
                      <w:bCs/>
                      <w:sz w:val="18"/>
                      <w:szCs w:val="18"/>
                    </w:rPr>
                  </w:pPr>
                </w:p>
              </w:tc>
              <w:tc>
                <w:tcPr>
                  <w:tcW w:w="0" w:type="auto"/>
                  <w:vAlign w:val="center"/>
                </w:tcPr>
                <w:p w14:paraId="1B10FC6E">
                  <w:pPr>
                    <w:tabs>
                      <w:tab w:val="left" w:pos="3255"/>
                    </w:tabs>
                    <w:adjustRightInd w:val="0"/>
                    <w:snapToGrid w:val="0"/>
                    <w:jc w:val="center"/>
                    <w:rPr>
                      <w:rFonts w:ascii="Times New Roman" w:hAnsi="Times New Roman"/>
                      <w:sz w:val="18"/>
                      <w:szCs w:val="18"/>
                    </w:rPr>
                  </w:pPr>
                  <w:r>
                    <w:rPr>
                      <w:rFonts w:ascii="Times New Roman" w:hAnsi="Times New Roman"/>
                      <w:sz w:val="18"/>
                      <w:szCs w:val="18"/>
                    </w:rPr>
                    <w:t>半成品暂存区</w:t>
                  </w:r>
                </w:p>
              </w:tc>
              <w:tc>
                <w:tcPr>
                  <w:tcW w:w="0" w:type="auto"/>
                  <w:gridSpan w:val="2"/>
                  <w:vAlign w:val="center"/>
                </w:tcPr>
                <w:p w14:paraId="1A2191B2">
                  <w:pPr>
                    <w:adjustRightInd w:val="0"/>
                    <w:snapToGrid w:val="0"/>
                    <w:jc w:val="left"/>
                    <w:rPr>
                      <w:rFonts w:ascii="Times New Roman" w:hAnsi="Times New Roman"/>
                      <w:sz w:val="18"/>
                      <w:szCs w:val="18"/>
                    </w:rPr>
                  </w:pPr>
                  <w:r>
                    <w:rPr>
                      <w:rFonts w:ascii="Times New Roman" w:hAnsi="Times New Roman"/>
                      <w:sz w:val="18"/>
                      <w:szCs w:val="18"/>
                    </w:rPr>
                    <w:t>钢结构，占地面积60m</w:t>
                  </w:r>
                  <w:r>
                    <w:rPr>
                      <w:rFonts w:ascii="Times New Roman" w:hAnsi="Times New Roman"/>
                      <w:sz w:val="18"/>
                      <w:szCs w:val="18"/>
                      <w:vertAlign w:val="superscript"/>
                    </w:rPr>
                    <w:t>2</w:t>
                  </w:r>
                  <w:r>
                    <w:rPr>
                      <w:rFonts w:ascii="Times New Roman" w:hAnsi="Times New Roman"/>
                      <w:sz w:val="18"/>
                      <w:szCs w:val="18"/>
                    </w:rPr>
                    <w:t>，位于</w:t>
                  </w:r>
                  <w:r>
                    <w:rPr>
                      <w:rFonts w:hint="eastAsia"/>
                      <w:sz w:val="18"/>
                      <w:szCs w:val="18"/>
                      <w:lang w:val="en-US" w:eastAsia="zh-CN"/>
                    </w:rPr>
                    <w:t>厂区西</w:t>
                  </w:r>
                  <w:r>
                    <w:rPr>
                      <w:rFonts w:ascii="Times New Roman" w:hAnsi="Times New Roman"/>
                      <w:sz w:val="18"/>
                      <w:szCs w:val="18"/>
                    </w:rPr>
                    <w:t>侧，用于存放项目半成品。</w:t>
                  </w:r>
                </w:p>
              </w:tc>
              <w:tc>
                <w:tcPr>
                  <w:tcW w:w="0" w:type="auto"/>
                  <w:vMerge w:val="continue"/>
                  <w:vAlign w:val="center"/>
                </w:tcPr>
                <w:p w14:paraId="14DF19E1">
                  <w:pPr>
                    <w:snapToGrid w:val="0"/>
                    <w:rPr>
                      <w:rFonts w:ascii="Times New Roman" w:hAnsi="Times New Roman"/>
                      <w:bCs/>
                      <w:sz w:val="18"/>
                      <w:szCs w:val="18"/>
                    </w:rPr>
                  </w:pPr>
                </w:p>
              </w:tc>
            </w:tr>
            <w:tr w14:paraId="13B332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2247C38E">
                  <w:pPr>
                    <w:pStyle w:val="57"/>
                    <w:adjustRightInd w:val="0"/>
                    <w:snapToGrid w:val="0"/>
                    <w:jc w:val="center"/>
                    <w:rPr>
                      <w:rFonts w:ascii="Times New Roman" w:hAnsi="Times New Roman"/>
                      <w:bCs/>
                      <w:sz w:val="18"/>
                      <w:szCs w:val="18"/>
                    </w:rPr>
                  </w:pPr>
                  <w:r>
                    <w:rPr>
                      <w:rFonts w:ascii="Times New Roman" w:hAnsi="Times New Roman"/>
                      <w:bCs/>
                      <w:sz w:val="18"/>
                      <w:szCs w:val="18"/>
                    </w:rPr>
                    <w:t>环保工程</w:t>
                  </w:r>
                </w:p>
              </w:tc>
              <w:tc>
                <w:tcPr>
                  <w:tcW w:w="0" w:type="auto"/>
                  <w:vAlign w:val="center"/>
                </w:tcPr>
                <w:p w14:paraId="3625DFC6">
                  <w:pPr>
                    <w:snapToGrid w:val="0"/>
                    <w:jc w:val="center"/>
                    <w:rPr>
                      <w:rFonts w:ascii="Times New Roman" w:hAnsi="Times New Roman"/>
                      <w:bCs/>
                      <w:sz w:val="18"/>
                      <w:szCs w:val="18"/>
                    </w:rPr>
                  </w:pPr>
                  <w:r>
                    <w:rPr>
                      <w:rFonts w:ascii="Times New Roman" w:hAnsi="Times New Roman"/>
                      <w:bCs/>
                      <w:sz w:val="18"/>
                      <w:szCs w:val="18"/>
                    </w:rPr>
                    <w:t>废气</w:t>
                  </w:r>
                </w:p>
              </w:tc>
              <w:tc>
                <w:tcPr>
                  <w:tcW w:w="0" w:type="auto"/>
                  <w:gridSpan w:val="2"/>
                  <w:vAlign w:val="center"/>
                </w:tcPr>
                <w:p w14:paraId="439329F2">
                  <w:pPr>
                    <w:snapToGrid w:val="0"/>
                    <w:jc w:val="left"/>
                    <w:textAlignment w:val="baseline"/>
                    <w:rPr>
                      <w:rFonts w:ascii="Times New Roman" w:hAnsi="Times New Roman"/>
                      <w:sz w:val="18"/>
                      <w:szCs w:val="18"/>
                    </w:rPr>
                  </w:pPr>
                  <w:r>
                    <w:rPr>
                      <w:rFonts w:ascii="Times New Roman" w:hAnsi="Times New Roman"/>
                      <w:sz w:val="18"/>
                      <w:szCs w:val="18"/>
                    </w:rPr>
                    <w:t>注塑废气：在注塑机上方设置集气罩和集气管道，废气经收集后通过二级活性炭吸附装置处理后引至15m高排气筒（DA001）排放；</w:t>
                  </w:r>
                </w:p>
                <w:p w14:paraId="4A69B58E">
                  <w:pPr>
                    <w:pStyle w:val="2"/>
                    <w:rPr>
                      <w:rFonts w:hint="default" w:eastAsia="宋体"/>
                      <w:lang w:val="en-US" w:eastAsia="zh-CN"/>
                    </w:rPr>
                  </w:pPr>
                  <w:r>
                    <w:rPr>
                      <w:rFonts w:hint="eastAsia"/>
                      <w:sz w:val="18"/>
                      <w:szCs w:val="18"/>
                      <w:lang w:val="en-US" w:eastAsia="zh-CN"/>
                    </w:rPr>
                    <w:t>破碎废气：在粉碎机上方设置集气罩和集气管道，废气经收集后通过布袋除尘器处理后引至15m高排气筒（DA002）排放。</w:t>
                  </w:r>
                </w:p>
              </w:tc>
              <w:tc>
                <w:tcPr>
                  <w:tcW w:w="0" w:type="auto"/>
                  <w:vAlign w:val="center"/>
                </w:tcPr>
                <w:p w14:paraId="2FC42B05">
                  <w:pPr>
                    <w:snapToGrid w:val="0"/>
                    <w:jc w:val="center"/>
                    <w:rPr>
                      <w:rFonts w:ascii="Times New Roman" w:hAnsi="Times New Roman"/>
                      <w:bCs/>
                      <w:sz w:val="18"/>
                      <w:szCs w:val="18"/>
                    </w:rPr>
                  </w:pPr>
                  <w:r>
                    <w:rPr>
                      <w:rFonts w:ascii="Times New Roman" w:hAnsi="Times New Roman"/>
                      <w:bCs/>
                      <w:sz w:val="18"/>
                      <w:szCs w:val="18"/>
                    </w:rPr>
                    <w:t>新建</w:t>
                  </w:r>
                </w:p>
              </w:tc>
            </w:tr>
            <w:tr w14:paraId="0BF251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507E28A0">
                  <w:pPr>
                    <w:pStyle w:val="57"/>
                    <w:adjustRightInd w:val="0"/>
                    <w:snapToGrid w:val="0"/>
                    <w:jc w:val="center"/>
                    <w:rPr>
                      <w:rFonts w:ascii="Times New Roman" w:hAnsi="Times New Roman"/>
                      <w:bCs/>
                      <w:color w:val="FF0000"/>
                      <w:sz w:val="18"/>
                      <w:szCs w:val="18"/>
                    </w:rPr>
                  </w:pPr>
                </w:p>
              </w:tc>
              <w:tc>
                <w:tcPr>
                  <w:tcW w:w="0" w:type="auto"/>
                  <w:vAlign w:val="center"/>
                </w:tcPr>
                <w:p w14:paraId="12E9687B">
                  <w:pPr>
                    <w:snapToGrid w:val="0"/>
                    <w:jc w:val="center"/>
                    <w:rPr>
                      <w:rFonts w:ascii="Times New Roman" w:hAnsi="Times New Roman"/>
                      <w:bCs/>
                      <w:sz w:val="18"/>
                      <w:szCs w:val="18"/>
                    </w:rPr>
                  </w:pPr>
                  <w:r>
                    <w:rPr>
                      <w:rFonts w:ascii="Times New Roman" w:hAnsi="Times New Roman"/>
                      <w:sz w:val="18"/>
                      <w:szCs w:val="18"/>
                    </w:rPr>
                    <w:t>废水治理</w:t>
                  </w:r>
                </w:p>
              </w:tc>
              <w:tc>
                <w:tcPr>
                  <w:tcW w:w="0" w:type="auto"/>
                  <w:gridSpan w:val="2"/>
                  <w:vAlign w:val="center"/>
                </w:tcPr>
                <w:p w14:paraId="1F59EECF">
                  <w:pPr>
                    <w:pStyle w:val="23"/>
                    <w:snapToGrid w:val="0"/>
                    <w:jc w:val="left"/>
                    <w:rPr>
                      <w:rFonts w:ascii="Times New Roman" w:hAnsi="Times New Roman"/>
                      <w:bCs/>
                      <w:sz w:val="18"/>
                      <w:szCs w:val="18"/>
                    </w:rPr>
                  </w:pPr>
                  <w:r>
                    <w:rPr>
                      <w:rFonts w:ascii="Times New Roman" w:hAnsi="Times New Roman"/>
                      <w:sz w:val="18"/>
                      <w:szCs w:val="18"/>
                    </w:rPr>
                    <w:t>排水实行雨、污分流；项目无生产废水产生，</w:t>
                  </w:r>
                  <w:r>
                    <w:rPr>
                      <w:rFonts w:ascii="Times New Roman" w:hAnsi="Times New Roman"/>
                      <w:bCs/>
                      <w:sz w:val="18"/>
                      <w:szCs w:val="18"/>
                    </w:rPr>
                    <w:t>生活污水依托厂房已建化粪池预处理后经吸粪车定期清掏。</w:t>
                  </w:r>
                </w:p>
              </w:tc>
              <w:tc>
                <w:tcPr>
                  <w:tcW w:w="0" w:type="auto"/>
                  <w:vAlign w:val="center"/>
                </w:tcPr>
                <w:p w14:paraId="582B308C">
                  <w:pPr>
                    <w:snapToGrid w:val="0"/>
                    <w:jc w:val="center"/>
                    <w:rPr>
                      <w:rFonts w:ascii="Times New Roman" w:hAnsi="Times New Roman"/>
                      <w:sz w:val="18"/>
                      <w:szCs w:val="18"/>
                    </w:rPr>
                  </w:pPr>
                  <w:r>
                    <w:rPr>
                      <w:rFonts w:ascii="Times New Roman" w:hAnsi="Times New Roman"/>
                      <w:bCs/>
                      <w:sz w:val="18"/>
                      <w:szCs w:val="18"/>
                    </w:rPr>
                    <w:t>新建</w:t>
                  </w:r>
                </w:p>
              </w:tc>
            </w:tr>
            <w:tr w14:paraId="7EDEEA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6A2542F8">
                  <w:pPr>
                    <w:pStyle w:val="57"/>
                    <w:adjustRightInd w:val="0"/>
                    <w:snapToGrid w:val="0"/>
                    <w:jc w:val="center"/>
                    <w:rPr>
                      <w:rFonts w:ascii="Times New Roman" w:hAnsi="Times New Roman"/>
                      <w:bCs/>
                      <w:color w:val="FF0000"/>
                      <w:sz w:val="18"/>
                      <w:szCs w:val="18"/>
                    </w:rPr>
                  </w:pPr>
                </w:p>
              </w:tc>
              <w:tc>
                <w:tcPr>
                  <w:tcW w:w="0" w:type="auto"/>
                  <w:vAlign w:val="center"/>
                </w:tcPr>
                <w:p w14:paraId="3287220D">
                  <w:pPr>
                    <w:snapToGrid w:val="0"/>
                    <w:jc w:val="center"/>
                    <w:rPr>
                      <w:rFonts w:ascii="Times New Roman" w:hAnsi="Times New Roman"/>
                      <w:bCs/>
                      <w:sz w:val="18"/>
                      <w:szCs w:val="18"/>
                    </w:rPr>
                  </w:pPr>
                  <w:r>
                    <w:rPr>
                      <w:rFonts w:ascii="Times New Roman" w:hAnsi="Times New Roman"/>
                      <w:sz w:val="18"/>
                      <w:szCs w:val="18"/>
                    </w:rPr>
                    <w:t>噪声治理</w:t>
                  </w:r>
                </w:p>
              </w:tc>
              <w:tc>
                <w:tcPr>
                  <w:tcW w:w="0" w:type="auto"/>
                  <w:gridSpan w:val="2"/>
                  <w:vAlign w:val="center"/>
                </w:tcPr>
                <w:p w14:paraId="05320D2A">
                  <w:pPr>
                    <w:snapToGrid w:val="0"/>
                    <w:jc w:val="left"/>
                    <w:rPr>
                      <w:rFonts w:ascii="Times New Roman" w:hAnsi="Times New Roman"/>
                      <w:bCs/>
                      <w:sz w:val="18"/>
                      <w:szCs w:val="18"/>
                    </w:rPr>
                  </w:pPr>
                  <w:r>
                    <w:rPr>
                      <w:rFonts w:ascii="Times New Roman" w:hAnsi="Times New Roman"/>
                      <w:sz w:val="18"/>
                      <w:szCs w:val="18"/>
                    </w:rPr>
                    <w:t>隔声、消声、减振、设备定期保养等。</w:t>
                  </w:r>
                </w:p>
              </w:tc>
              <w:tc>
                <w:tcPr>
                  <w:tcW w:w="0" w:type="auto"/>
                  <w:vAlign w:val="center"/>
                </w:tcPr>
                <w:p w14:paraId="6C2FBFD3">
                  <w:pPr>
                    <w:snapToGrid w:val="0"/>
                    <w:jc w:val="center"/>
                    <w:rPr>
                      <w:rFonts w:ascii="Times New Roman" w:hAnsi="Times New Roman"/>
                      <w:sz w:val="18"/>
                      <w:szCs w:val="18"/>
                    </w:rPr>
                  </w:pPr>
                  <w:r>
                    <w:rPr>
                      <w:rFonts w:ascii="Times New Roman" w:hAnsi="Times New Roman"/>
                      <w:bCs/>
                      <w:sz w:val="18"/>
                      <w:szCs w:val="18"/>
                    </w:rPr>
                    <w:t>新建</w:t>
                  </w:r>
                </w:p>
              </w:tc>
            </w:tr>
            <w:tr w14:paraId="43BFC9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48EA47D3">
                  <w:pPr>
                    <w:pStyle w:val="57"/>
                    <w:adjustRightInd w:val="0"/>
                    <w:snapToGrid w:val="0"/>
                    <w:jc w:val="center"/>
                    <w:rPr>
                      <w:rFonts w:ascii="Times New Roman" w:hAnsi="Times New Roman"/>
                      <w:bCs/>
                      <w:color w:val="FF0000"/>
                      <w:sz w:val="18"/>
                      <w:szCs w:val="18"/>
                    </w:rPr>
                  </w:pPr>
                </w:p>
              </w:tc>
              <w:tc>
                <w:tcPr>
                  <w:tcW w:w="0" w:type="auto"/>
                  <w:vAlign w:val="center"/>
                </w:tcPr>
                <w:p w14:paraId="5ED247FC">
                  <w:pPr>
                    <w:snapToGrid w:val="0"/>
                    <w:jc w:val="center"/>
                    <w:rPr>
                      <w:rFonts w:ascii="Times New Roman" w:hAnsi="Times New Roman"/>
                      <w:bCs/>
                      <w:sz w:val="18"/>
                      <w:szCs w:val="18"/>
                    </w:rPr>
                  </w:pPr>
                  <w:r>
                    <w:rPr>
                      <w:rFonts w:ascii="Times New Roman" w:hAnsi="Times New Roman"/>
                      <w:sz w:val="18"/>
                      <w:szCs w:val="18"/>
                    </w:rPr>
                    <w:t>固废治理</w:t>
                  </w:r>
                </w:p>
              </w:tc>
              <w:tc>
                <w:tcPr>
                  <w:tcW w:w="0" w:type="auto"/>
                  <w:gridSpan w:val="2"/>
                  <w:vAlign w:val="center"/>
                </w:tcPr>
                <w:p w14:paraId="6DB46A00">
                  <w:pPr>
                    <w:snapToGrid w:val="0"/>
                    <w:jc w:val="left"/>
                    <w:rPr>
                      <w:rFonts w:ascii="Times New Roman" w:hAnsi="Times New Roman"/>
                      <w:bCs/>
                      <w:sz w:val="18"/>
                      <w:szCs w:val="18"/>
                    </w:rPr>
                  </w:pPr>
                  <w:r>
                    <w:rPr>
                      <w:rFonts w:ascii="Times New Roman" w:hAnsi="Times New Roman"/>
                      <w:bCs/>
                      <w:sz w:val="18"/>
                      <w:szCs w:val="18"/>
                    </w:rPr>
                    <w:t>一般工业固体废物：设1处一般工业固体废物暂存场所，占地面积为10</w:t>
                  </w:r>
                  <w:r>
                    <w:rPr>
                      <w:rFonts w:ascii="Times New Roman" w:hAnsi="Times New Roman"/>
                      <w:sz w:val="18"/>
                      <w:szCs w:val="18"/>
                    </w:rPr>
                    <w:t>m</w:t>
                  </w:r>
                  <w:r>
                    <w:rPr>
                      <w:rFonts w:ascii="Times New Roman" w:hAnsi="Times New Roman"/>
                      <w:sz w:val="18"/>
                      <w:szCs w:val="18"/>
                      <w:vertAlign w:val="superscript"/>
                    </w:rPr>
                    <w:t>2</w:t>
                  </w:r>
                  <w:r>
                    <w:rPr>
                      <w:rFonts w:ascii="Times New Roman" w:hAnsi="Times New Roman"/>
                      <w:bCs/>
                      <w:sz w:val="18"/>
                      <w:szCs w:val="18"/>
                    </w:rPr>
                    <w:t>；</w:t>
                  </w:r>
                </w:p>
                <w:p w14:paraId="203C15BB">
                  <w:pPr>
                    <w:pStyle w:val="12"/>
                    <w:spacing w:before="0" w:after="0" w:line="240" w:lineRule="auto"/>
                    <w:rPr>
                      <w:rFonts w:ascii="Times New Roman" w:hAnsi="Times New Roman"/>
                      <w:bCs/>
                      <w:kern w:val="2"/>
                      <w:szCs w:val="18"/>
                    </w:rPr>
                  </w:pPr>
                  <w:r>
                    <w:rPr>
                      <w:rFonts w:ascii="Times New Roman" w:hAnsi="Times New Roman"/>
                      <w:bCs/>
                      <w:kern w:val="2"/>
                      <w:szCs w:val="18"/>
                    </w:rPr>
                    <w:t>废活性炭、废液压油统一收集，暂存于厂区危险废物暂存场所，占地面积为</w:t>
                  </w:r>
                  <w:r>
                    <w:rPr>
                      <w:rFonts w:hint="eastAsia"/>
                      <w:bCs/>
                      <w:kern w:val="2"/>
                      <w:szCs w:val="18"/>
                      <w:lang w:val="en-US" w:eastAsia="zh-CN"/>
                    </w:rPr>
                    <w:t>6</w:t>
                  </w:r>
                  <w:r>
                    <w:rPr>
                      <w:rFonts w:ascii="Times New Roman" w:hAnsi="Times New Roman"/>
                      <w:bCs/>
                      <w:kern w:val="2"/>
                      <w:szCs w:val="18"/>
                    </w:rPr>
                    <w:t>m</w:t>
                  </w:r>
                  <w:r>
                    <w:rPr>
                      <w:rFonts w:ascii="Times New Roman" w:hAnsi="Times New Roman"/>
                      <w:bCs/>
                      <w:kern w:val="2"/>
                      <w:szCs w:val="18"/>
                      <w:vertAlign w:val="superscript"/>
                    </w:rPr>
                    <w:t>2</w:t>
                  </w:r>
                  <w:r>
                    <w:rPr>
                      <w:rFonts w:ascii="Times New Roman" w:hAnsi="Times New Roman"/>
                      <w:bCs/>
                      <w:kern w:val="2"/>
                      <w:szCs w:val="18"/>
                    </w:rPr>
                    <w:t>；定期交由有资质单位处理；</w:t>
                  </w:r>
                </w:p>
                <w:p w14:paraId="442082B0">
                  <w:pPr>
                    <w:snapToGrid w:val="0"/>
                    <w:jc w:val="left"/>
                    <w:rPr>
                      <w:rFonts w:ascii="Times New Roman" w:hAnsi="Times New Roman"/>
                      <w:bCs/>
                      <w:sz w:val="18"/>
                      <w:szCs w:val="18"/>
                    </w:rPr>
                  </w:pPr>
                  <w:r>
                    <w:rPr>
                      <w:rFonts w:ascii="Times New Roman" w:hAnsi="Times New Roman"/>
                      <w:bCs/>
                      <w:sz w:val="18"/>
                      <w:szCs w:val="18"/>
                    </w:rPr>
                    <w:t>生活垃圾：垃圾桶等。</w:t>
                  </w:r>
                </w:p>
              </w:tc>
              <w:tc>
                <w:tcPr>
                  <w:tcW w:w="0" w:type="auto"/>
                  <w:vAlign w:val="center"/>
                </w:tcPr>
                <w:p w14:paraId="2E42623F">
                  <w:pPr>
                    <w:snapToGrid w:val="0"/>
                    <w:jc w:val="center"/>
                    <w:rPr>
                      <w:rFonts w:ascii="Times New Roman" w:hAnsi="Times New Roman"/>
                      <w:sz w:val="18"/>
                      <w:szCs w:val="18"/>
                    </w:rPr>
                  </w:pPr>
                  <w:r>
                    <w:rPr>
                      <w:rFonts w:ascii="Times New Roman" w:hAnsi="Times New Roman"/>
                      <w:bCs/>
                      <w:sz w:val="18"/>
                      <w:szCs w:val="18"/>
                    </w:rPr>
                    <w:t>新建</w:t>
                  </w:r>
                </w:p>
              </w:tc>
            </w:tr>
            <w:bookmarkEnd w:id="3"/>
          </w:tbl>
          <w:p w14:paraId="6A4C5491">
            <w:pPr>
              <w:adjustRightInd w:val="0"/>
              <w:snapToGrid w:val="0"/>
              <w:spacing w:before="120" w:beforeLines="50" w:line="360" w:lineRule="auto"/>
              <w:ind w:firstLine="482" w:firstLineChars="200"/>
              <w:rPr>
                <w:b/>
                <w:bCs/>
                <w:sz w:val="24"/>
              </w:rPr>
            </w:pPr>
            <w:r>
              <w:rPr>
                <w:b/>
                <w:bCs/>
                <w:sz w:val="24"/>
              </w:rPr>
              <w:t>3、项目主要产品及产能</w:t>
            </w:r>
          </w:p>
          <w:p w14:paraId="0D552CD3">
            <w:pPr>
              <w:adjustRightInd w:val="0"/>
              <w:snapToGrid w:val="0"/>
              <w:spacing w:line="360" w:lineRule="auto"/>
              <w:ind w:firstLine="480" w:firstLineChars="200"/>
              <w:rPr>
                <w:sz w:val="24"/>
              </w:rPr>
            </w:pPr>
            <w:r>
              <w:rPr>
                <w:sz w:val="24"/>
              </w:rPr>
              <w:t>项目主要产品及产能见下表。</w:t>
            </w:r>
          </w:p>
          <w:p w14:paraId="17A56595">
            <w:pPr>
              <w:pStyle w:val="52"/>
              <w:numPr>
                <w:ilvl w:val="0"/>
                <w:numId w:val="1"/>
              </w:numPr>
              <w:spacing w:line="360" w:lineRule="auto"/>
              <w:ind w:left="419" w:hanging="130"/>
              <w:rPr>
                <w:rFonts w:cs="Times New Roman"/>
              </w:rPr>
            </w:pPr>
            <w:r>
              <w:rPr>
                <w:rFonts w:cs="Times New Roman"/>
              </w:rPr>
              <w:t>项目主要产品及产能一览表</w:t>
            </w:r>
          </w:p>
          <w:tbl>
            <w:tblPr>
              <w:tblStyle w:val="75"/>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13"/>
              <w:gridCol w:w="1117"/>
              <w:gridCol w:w="841"/>
              <w:gridCol w:w="978"/>
              <w:gridCol w:w="4483"/>
            </w:tblGrid>
            <w:tr w14:paraId="29F669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23" w:type="dxa"/>
                  <w:vAlign w:val="center"/>
                </w:tcPr>
                <w:p w14:paraId="3F36D12E">
                  <w:pPr>
                    <w:jc w:val="center"/>
                    <w:rPr>
                      <w:rFonts w:ascii="Times New Roman" w:hAnsi="Times New Roman"/>
                      <w:sz w:val="18"/>
                      <w:szCs w:val="21"/>
                    </w:rPr>
                  </w:pPr>
                  <w:bookmarkStart w:id="4" w:name="_Hlk81926969"/>
                  <w:r>
                    <w:rPr>
                      <w:rFonts w:ascii="Times New Roman" w:hAnsi="Times New Roman"/>
                      <w:sz w:val="18"/>
                      <w:szCs w:val="21"/>
                    </w:rPr>
                    <w:t>序号</w:t>
                  </w:r>
                </w:p>
              </w:tc>
              <w:tc>
                <w:tcPr>
                  <w:tcW w:w="1134" w:type="dxa"/>
                  <w:vAlign w:val="center"/>
                </w:tcPr>
                <w:p w14:paraId="3503B990">
                  <w:pPr>
                    <w:jc w:val="center"/>
                    <w:rPr>
                      <w:rFonts w:ascii="Times New Roman" w:hAnsi="Times New Roman"/>
                      <w:sz w:val="18"/>
                      <w:szCs w:val="21"/>
                    </w:rPr>
                  </w:pPr>
                  <w:r>
                    <w:rPr>
                      <w:rFonts w:ascii="Times New Roman" w:hAnsi="Times New Roman"/>
                      <w:sz w:val="18"/>
                      <w:szCs w:val="21"/>
                    </w:rPr>
                    <w:t>产品名称</w:t>
                  </w:r>
                </w:p>
              </w:tc>
              <w:tc>
                <w:tcPr>
                  <w:tcW w:w="851" w:type="dxa"/>
                  <w:vAlign w:val="center"/>
                </w:tcPr>
                <w:p w14:paraId="6AF299B5">
                  <w:pPr>
                    <w:jc w:val="center"/>
                    <w:rPr>
                      <w:rFonts w:ascii="Times New Roman" w:hAnsi="Times New Roman"/>
                      <w:sz w:val="18"/>
                      <w:szCs w:val="21"/>
                    </w:rPr>
                  </w:pPr>
                  <w:r>
                    <w:rPr>
                      <w:rFonts w:ascii="Times New Roman" w:hAnsi="Times New Roman"/>
                      <w:sz w:val="18"/>
                      <w:szCs w:val="21"/>
                    </w:rPr>
                    <w:t>单位</w:t>
                  </w:r>
                </w:p>
              </w:tc>
              <w:tc>
                <w:tcPr>
                  <w:tcW w:w="992" w:type="dxa"/>
                  <w:vAlign w:val="center"/>
                </w:tcPr>
                <w:p w14:paraId="77FFB122">
                  <w:pPr>
                    <w:jc w:val="center"/>
                    <w:rPr>
                      <w:rFonts w:ascii="Times New Roman" w:hAnsi="Times New Roman"/>
                      <w:sz w:val="18"/>
                      <w:szCs w:val="21"/>
                    </w:rPr>
                  </w:pPr>
                  <w:r>
                    <w:rPr>
                      <w:rFonts w:ascii="Times New Roman" w:hAnsi="Times New Roman"/>
                      <w:sz w:val="18"/>
                      <w:szCs w:val="21"/>
                    </w:rPr>
                    <w:t>规模</w:t>
                  </w:r>
                </w:p>
              </w:tc>
              <w:tc>
                <w:tcPr>
                  <w:tcW w:w="4574" w:type="dxa"/>
                  <w:vAlign w:val="center"/>
                </w:tcPr>
                <w:p w14:paraId="273B5346">
                  <w:pPr>
                    <w:jc w:val="center"/>
                    <w:rPr>
                      <w:rFonts w:ascii="Times New Roman" w:hAnsi="Times New Roman"/>
                      <w:sz w:val="18"/>
                      <w:szCs w:val="21"/>
                    </w:rPr>
                  </w:pPr>
                  <w:r>
                    <w:rPr>
                      <w:rFonts w:ascii="Times New Roman" w:hAnsi="Times New Roman"/>
                      <w:sz w:val="18"/>
                      <w:szCs w:val="21"/>
                    </w:rPr>
                    <w:t>备注</w:t>
                  </w:r>
                </w:p>
              </w:tc>
            </w:tr>
            <w:tr w14:paraId="5E9693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23" w:type="dxa"/>
                  <w:vAlign w:val="center"/>
                </w:tcPr>
                <w:p w14:paraId="6D4911EA">
                  <w:pPr>
                    <w:jc w:val="center"/>
                    <w:rPr>
                      <w:rFonts w:ascii="Times New Roman" w:hAnsi="Times New Roman"/>
                      <w:sz w:val="18"/>
                      <w:szCs w:val="21"/>
                    </w:rPr>
                  </w:pPr>
                  <w:r>
                    <w:rPr>
                      <w:rFonts w:ascii="Times New Roman" w:hAnsi="Times New Roman"/>
                      <w:sz w:val="18"/>
                      <w:szCs w:val="21"/>
                    </w:rPr>
                    <w:t>1</w:t>
                  </w:r>
                </w:p>
              </w:tc>
              <w:tc>
                <w:tcPr>
                  <w:tcW w:w="1134" w:type="dxa"/>
                  <w:vAlign w:val="center"/>
                </w:tcPr>
                <w:p w14:paraId="27411FCB">
                  <w:pPr>
                    <w:jc w:val="center"/>
                    <w:rPr>
                      <w:rFonts w:ascii="Times New Roman" w:hAnsi="Times New Roman"/>
                      <w:sz w:val="18"/>
                      <w:szCs w:val="21"/>
                    </w:rPr>
                  </w:pPr>
                  <w:r>
                    <w:rPr>
                      <w:rFonts w:ascii="Times New Roman" w:hAnsi="Times New Roman"/>
                      <w:sz w:val="18"/>
                      <w:szCs w:val="21"/>
                    </w:rPr>
                    <w:t>电竞椅</w:t>
                  </w:r>
                </w:p>
              </w:tc>
              <w:tc>
                <w:tcPr>
                  <w:tcW w:w="851" w:type="dxa"/>
                  <w:vAlign w:val="center"/>
                </w:tcPr>
                <w:p w14:paraId="086D63E0">
                  <w:pPr>
                    <w:jc w:val="center"/>
                    <w:rPr>
                      <w:rFonts w:ascii="Times New Roman" w:hAnsi="Times New Roman"/>
                      <w:sz w:val="18"/>
                      <w:szCs w:val="21"/>
                    </w:rPr>
                  </w:pPr>
                  <w:r>
                    <w:rPr>
                      <w:rFonts w:ascii="Times New Roman" w:hAnsi="Times New Roman"/>
                      <w:sz w:val="18"/>
                      <w:szCs w:val="21"/>
                    </w:rPr>
                    <w:t>万张/年</w:t>
                  </w:r>
                </w:p>
              </w:tc>
              <w:tc>
                <w:tcPr>
                  <w:tcW w:w="992" w:type="dxa"/>
                  <w:vAlign w:val="center"/>
                </w:tcPr>
                <w:p w14:paraId="679D3388">
                  <w:pPr>
                    <w:jc w:val="center"/>
                    <w:rPr>
                      <w:rFonts w:ascii="Times New Roman" w:hAnsi="Times New Roman"/>
                      <w:sz w:val="18"/>
                      <w:szCs w:val="21"/>
                    </w:rPr>
                  </w:pPr>
                  <w:r>
                    <w:rPr>
                      <w:rFonts w:ascii="Times New Roman" w:hAnsi="Times New Roman"/>
                      <w:sz w:val="18"/>
                      <w:szCs w:val="21"/>
                    </w:rPr>
                    <w:t>3</w:t>
                  </w:r>
                </w:p>
              </w:tc>
              <w:tc>
                <w:tcPr>
                  <w:tcW w:w="4574" w:type="dxa"/>
                  <w:vAlign w:val="center"/>
                </w:tcPr>
                <w:p w14:paraId="14CEDA3A">
                  <w:pPr>
                    <w:jc w:val="center"/>
                    <w:rPr>
                      <w:rFonts w:ascii="Times New Roman" w:hAnsi="Times New Roman"/>
                      <w:sz w:val="18"/>
                      <w:szCs w:val="21"/>
                    </w:rPr>
                  </w:pPr>
                  <w:r>
                    <w:rPr>
                      <w:rFonts w:ascii="Times New Roman" w:hAnsi="Times New Roman"/>
                      <w:sz w:val="18"/>
                      <w:szCs w:val="21"/>
                    </w:rPr>
                    <w:t>项目塑胶件在厂内注塑完成，其他零部件均外购，在厂内进行组装即为成品</w:t>
                  </w:r>
                </w:p>
              </w:tc>
            </w:tr>
            <w:bookmarkEnd w:id="4"/>
          </w:tbl>
          <w:p w14:paraId="5198F05A">
            <w:pPr>
              <w:adjustRightInd w:val="0"/>
              <w:snapToGrid w:val="0"/>
              <w:spacing w:before="120" w:beforeLines="50" w:line="360" w:lineRule="auto"/>
              <w:ind w:firstLine="482" w:firstLineChars="200"/>
              <w:rPr>
                <w:b/>
                <w:bCs/>
                <w:sz w:val="24"/>
              </w:rPr>
            </w:pPr>
            <w:r>
              <w:rPr>
                <w:b/>
                <w:bCs/>
                <w:sz w:val="24"/>
              </w:rPr>
              <w:t>4、主要设备</w:t>
            </w:r>
          </w:p>
          <w:p w14:paraId="73497FB7">
            <w:pPr>
              <w:pStyle w:val="52"/>
              <w:numPr>
                <w:ilvl w:val="0"/>
                <w:numId w:val="1"/>
              </w:numPr>
              <w:spacing w:line="360" w:lineRule="auto"/>
              <w:ind w:left="419" w:hanging="130"/>
              <w:rPr>
                <w:rFonts w:cs="Times New Roman"/>
              </w:rPr>
            </w:pPr>
            <w:r>
              <w:rPr>
                <w:rFonts w:cs="Times New Roman"/>
              </w:rPr>
              <w:t>项目主要设备一览表</w:t>
            </w:r>
          </w:p>
          <w:tbl>
            <w:tblPr>
              <w:tblStyle w:val="7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1419"/>
              <w:gridCol w:w="1420"/>
              <w:gridCol w:w="1701"/>
              <w:gridCol w:w="1420"/>
              <w:gridCol w:w="1420"/>
            </w:tblGrid>
            <w:tr w14:paraId="66D9E2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vAlign w:val="center"/>
                </w:tcPr>
                <w:p w14:paraId="1A5371FF">
                  <w:pPr>
                    <w:jc w:val="center"/>
                    <w:rPr>
                      <w:rFonts w:ascii="Times New Roman" w:hAnsi="Times New Roman"/>
                      <w:sz w:val="18"/>
                      <w:szCs w:val="18"/>
                    </w:rPr>
                  </w:pPr>
                  <w:bookmarkStart w:id="5" w:name="_Hlk78548018"/>
                  <w:r>
                    <w:rPr>
                      <w:rFonts w:ascii="Times New Roman" w:hAnsi="Times New Roman"/>
                      <w:sz w:val="18"/>
                      <w:szCs w:val="18"/>
                    </w:rPr>
                    <w:t>序号</w:t>
                  </w:r>
                </w:p>
              </w:tc>
              <w:tc>
                <w:tcPr>
                  <w:tcW w:w="862" w:type="pct"/>
                  <w:vAlign w:val="center"/>
                </w:tcPr>
                <w:p w14:paraId="0E48FB76">
                  <w:pPr>
                    <w:jc w:val="center"/>
                    <w:rPr>
                      <w:rFonts w:ascii="Times New Roman" w:hAnsi="Times New Roman"/>
                      <w:sz w:val="18"/>
                      <w:szCs w:val="18"/>
                    </w:rPr>
                  </w:pPr>
                  <w:r>
                    <w:rPr>
                      <w:rFonts w:ascii="Times New Roman" w:hAnsi="Times New Roman"/>
                      <w:sz w:val="18"/>
                      <w:szCs w:val="18"/>
                    </w:rPr>
                    <w:t>设备名称</w:t>
                  </w:r>
                </w:p>
              </w:tc>
              <w:tc>
                <w:tcPr>
                  <w:tcW w:w="862" w:type="pct"/>
                  <w:vAlign w:val="center"/>
                </w:tcPr>
                <w:p w14:paraId="20E39DB5">
                  <w:pPr>
                    <w:jc w:val="center"/>
                    <w:rPr>
                      <w:rFonts w:ascii="Times New Roman" w:hAnsi="Times New Roman"/>
                      <w:sz w:val="18"/>
                      <w:szCs w:val="18"/>
                    </w:rPr>
                  </w:pPr>
                  <w:r>
                    <w:rPr>
                      <w:rFonts w:ascii="Times New Roman" w:hAnsi="Times New Roman"/>
                      <w:sz w:val="18"/>
                      <w:szCs w:val="18"/>
                    </w:rPr>
                    <w:t>型号规格</w:t>
                  </w:r>
                </w:p>
              </w:tc>
              <w:tc>
                <w:tcPr>
                  <w:tcW w:w="1033" w:type="pct"/>
                  <w:vAlign w:val="center"/>
                </w:tcPr>
                <w:p w14:paraId="5725F94D">
                  <w:pPr>
                    <w:jc w:val="center"/>
                    <w:rPr>
                      <w:rFonts w:ascii="Times New Roman" w:hAnsi="Times New Roman"/>
                      <w:sz w:val="18"/>
                      <w:szCs w:val="18"/>
                    </w:rPr>
                  </w:pPr>
                  <w:r>
                    <w:rPr>
                      <w:rFonts w:ascii="Times New Roman" w:hAnsi="Times New Roman"/>
                      <w:sz w:val="18"/>
                      <w:szCs w:val="18"/>
                    </w:rPr>
                    <w:t>数量（台）</w:t>
                  </w:r>
                </w:p>
              </w:tc>
              <w:tc>
                <w:tcPr>
                  <w:tcW w:w="862" w:type="pct"/>
                  <w:vAlign w:val="center"/>
                </w:tcPr>
                <w:p w14:paraId="1C4C3429">
                  <w:pPr>
                    <w:jc w:val="center"/>
                    <w:rPr>
                      <w:rFonts w:ascii="Times New Roman" w:hAnsi="Times New Roman"/>
                      <w:sz w:val="18"/>
                      <w:szCs w:val="18"/>
                    </w:rPr>
                  </w:pPr>
                  <w:r>
                    <w:rPr>
                      <w:rFonts w:ascii="Times New Roman" w:hAnsi="Times New Roman"/>
                      <w:sz w:val="18"/>
                      <w:szCs w:val="18"/>
                    </w:rPr>
                    <w:t>使用工序</w:t>
                  </w:r>
                </w:p>
              </w:tc>
              <w:tc>
                <w:tcPr>
                  <w:tcW w:w="862" w:type="pct"/>
                  <w:vAlign w:val="center"/>
                </w:tcPr>
                <w:p w14:paraId="0687C3AF">
                  <w:pPr>
                    <w:jc w:val="center"/>
                    <w:rPr>
                      <w:rFonts w:ascii="Times New Roman" w:hAnsi="Times New Roman"/>
                      <w:sz w:val="18"/>
                      <w:szCs w:val="18"/>
                    </w:rPr>
                  </w:pPr>
                  <w:r>
                    <w:rPr>
                      <w:rFonts w:ascii="Times New Roman" w:hAnsi="Times New Roman"/>
                      <w:sz w:val="18"/>
                      <w:szCs w:val="18"/>
                    </w:rPr>
                    <w:t>使用能源</w:t>
                  </w:r>
                </w:p>
              </w:tc>
            </w:tr>
            <w:tr w14:paraId="3D12E7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vAlign w:val="center"/>
                </w:tcPr>
                <w:p w14:paraId="7348A031">
                  <w:pPr>
                    <w:jc w:val="center"/>
                    <w:rPr>
                      <w:rFonts w:ascii="Times New Roman" w:hAnsi="Times New Roman"/>
                      <w:sz w:val="18"/>
                      <w:szCs w:val="18"/>
                    </w:rPr>
                  </w:pPr>
                  <w:r>
                    <w:rPr>
                      <w:rFonts w:ascii="Times New Roman" w:hAnsi="Times New Roman"/>
                      <w:sz w:val="18"/>
                      <w:szCs w:val="18"/>
                    </w:rPr>
                    <w:t>1</w:t>
                  </w:r>
                </w:p>
              </w:tc>
              <w:tc>
                <w:tcPr>
                  <w:tcW w:w="862" w:type="pct"/>
                  <w:vAlign w:val="center"/>
                </w:tcPr>
                <w:p w14:paraId="443678C1">
                  <w:pPr>
                    <w:jc w:val="center"/>
                    <w:rPr>
                      <w:rFonts w:ascii="Times New Roman" w:hAnsi="Times New Roman"/>
                      <w:sz w:val="18"/>
                      <w:szCs w:val="18"/>
                    </w:rPr>
                  </w:pPr>
                  <w:r>
                    <w:rPr>
                      <w:rFonts w:ascii="Times New Roman" w:hAnsi="Times New Roman"/>
                      <w:sz w:val="18"/>
                      <w:szCs w:val="18"/>
                    </w:rPr>
                    <w:t>注塑机</w:t>
                  </w:r>
                </w:p>
              </w:tc>
              <w:tc>
                <w:tcPr>
                  <w:tcW w:w="862" w:type="pct"/>
                  <w:vAlign w:val="center"/>
                </w:tcPr>
                <w:p w14:paraId="78C34ED0">
                  <w:pPr>
                    <w:jc w:val="center"/>
                    <w:rPr>
                      <w:rFonts w:ascii="Times New Roman" w:hAnsi="Times New Roman"/>
                      <w:sz w:val="18"/>
                      <w:szCs w:val="18"/>
                    </w:rPr>
                  </w:pPr>
                  <w:r>
                    <w:rPr>
                      <w:rFonts w:ascii="Times New Roman" w:hAnsi="Times New Roman"/>
                      <w:sz w:val="18"/>
                      <w:szCs w:val="18"/>
                    </w:rPr>
                    <w:t>/</w:t>
                  </w:r>
                </w:p>
              </w:tc>
              <w:tc>
                <w:tcPr>
                  <w:tcW w:w="1033" w:type="pct"/>
                  <w:vAlign w:val="center"/>
                </w:tcPr>
                <w:p w14:paraId="77B3856F">
                  <w:pPr>
                    <w:jc w:val="center"/>
                    <w:rPr>
                      <w:rFonts w:ascii="Times New Roman" w:hAnsi="Times New Roman"/>
                      <w:sz w:val="18"/>
                      <w:szCs w:val="18"/>
                    </w:rPr>
                  </w:pPr>
                  <w:r>
                    <w:rPr>
                      <w:rFonts w:ascii="Times New Roman" w:hAnsi="Times New Roman"/>
                      <w:sz w:val="18"/>
                      <w:szCs w:val="18"/>
                    </w:rPr>
                    <w:t>15</w:t>
                  </w:r>
                </w:p>
              </w:tc>
              <w:tc>
                <w:tcPr>
                  <w:tcW w:w="862" w:type="pct"/>
                  <w:vAlign w:val="center"/>
                </w:tcPr>
                <w:p w14:paraId="05786074">
                  <w:pPr>
                    <w:jc w:val="center"/>
                    <w:rPr>
                      <w:rFonts w:ascii="Times New Roman" w:hAnsi="Times New Roman"/>
                      <w:sz w:val="18"/>
                      <w:szCs w:val="18"/>
                    </w:rPr>
                  </w:pPr>
                  <w:r>
                    <w:rPr>
                      <w:rFonts w:ascii="Times New Roman" w:hAnsi="Times New Roman"/>
                      <w:sz w:val="18"/>
                      <w:szCs w:val="18"/>
                    </w:rPr>
                    <w:t>注塑成型</w:t>
                  </w:r>
                </w:p>
              </w:tc>
              <w:tc>
                <w:tcPr>
                  <w:tcW w:w="862" w:type="pct"/>
                  <w:vAlign w:val="center"/>
                </w:tcPr>
                <w:p w14:paraId="188291CD">
                  <w:pPr>
                    <w:jc w:val="center"/>
                    <w:rPr>
                      <w:rFonts w:ascii="Times New Roman" w:hAnsi="Times New Roman"/>
                      <w:sz w:val="18"/>
                      <w:szCs w:val="18"/>
                    </w:rPr>
                  </w:pPr>
                  <w:r>
                    <w:rPr>
                      <w:rFonts w:ascii="Times New Roman" w:hAnsi="Times New Roman"/>
                      <w:sz w:val="18"/>
                      <w:szCs w:val="18"/>
                    </w:rPr>
                    <w:t>电</w:t>
                  </w:r>
                </w:p>
              </w:tc>
            </w:tr>
            <w:tr w14:paraId="735E89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vAlign w:val="center"/>
                </w:tcPr>
                <w:p w14:paraId="72CF9C4D">
                  <w:pPr>
                    <w:jc w:val="center"/>
                    <w:rPr>
                      <w:rFonts w:ascii="Times New Roman" w:hAnsi="Times New Roman"/>
                      <w:sz w:val="18"/>
                      <w:szCs w:val="18"/>
                    </w:rPr>
                  </w:pPr>
                  <w:r>
                    <w:rPr>
                      <w:rFonts w:ascii="Times New Roman" w:hAnsi="Times New Roman"/>
                      <w:sz w:val="18"/>
                      <w:szCs w:val="18"/>
                    </w:rPr>
                    <w:t>2</w:t>
                  </w:r>
                </w:p>
              </w:tc>
              <w:tc>
                <w:tcPr>
                  <w:tcW w:w="862" w:type="pct"/>
                  <w:vAlign w:val="center"/>
                </w:tcPr>
                <w:p w14:paraId="21AC191B">
                  <w:pPr>
                    <w:jc w:val="center"/>
                    <w:rPr>
                      <w:rFonts w:ascii="Times New Roman" w:hAnsi="Times New Roman"/>
                      <w:sz w:val="18"/>
                      <w:szCs w:val="18"/>
                    </w:rPr>
                  </w:pPr>
                  <w:r>
                    <w:rPr>
                      <w:rFonts w:ascii="Times New Roman" w:hAnsi="Times New Roman"/>
                      <w:sz w:val="18"/>
                      <w:szCs w:val="18"/>
                    </w:rPr>
                    <w:t>缝纫机</w:t>
                  </w:r>
                </w:p>
              </w:tc>
              <w:tc>
                <w:tcPr>
                  <w:tcW w:w="862" w:type="pct"/>
                  <w:vAlign w:val="center"/>
                </w:tcPr>
                <w:p w14:paraId="13E7B181">
                  <w:pPr>
                    <w:jc w:val="center"/>
                    <w:rPr>
                      <w:rFonts w:ascii="Times New Roman" w:hAnsi="Times New Roman"/>
                      <w:sz w:val="18"/>
                      <w:szCs w:val="18"/>
                    </w:rPr>
                  </w:pPr>
                  <w:r>
                    <w:rPr>
                      <w:rFonts w:ascii="Times New Roman" w:hAnsi="Times New Roman"/>
                      <w:sz w:val="18"/>
                      <w:szCs w:val="18"/>
                    </w:rPr>
                    <w:t>/</w:t>
                  </w:r>
                </w:p>
              </w:tc>
              <w:tc>
                <w:tcPr>
                  <w:tcW w:w="1033" w:type="pct"/>
                  <w:vAlign w:val="center"/>
                </w:tcPr>
                <w:p w14:paraId="3A914DB2">
                  <w:pPr>
                    <w:jc w:val="center"/>
                    <w:rPr>
                      <w:rFonts w:ascii="Times New Roman" w:hAnsi="Times New Roman"/>
                      <w:sz w:val="18"/>
                      <w:szCs w:val="18"/>
                    </w:rPr>
                  </w:pPr>
                  <w:r>
                    <w:rPr>
                      <w:rFonts w:ascii="Times New Roman" w:hAnsi="Times New Roman"/>
                      <w:sz w:val="18"/>
                      <w:szCs w:val="18"/>
                    </w:rPr>
                    <w:t>10</w:t>
                  </w:r>
                </w:p>
              </w:tc>
              <w:tc>
                <w:tcPr>
                  <w:tcW w:w="862" w:type="pct"/>
                  <w:vAlign w:val="center"/>
                </w:tcPr>
                <w:p w14:paraId="6D77FF34">
                  <w:pPr>
                    <w:jc w:val="center"/>
                    <w:rPr>
                      <w:rFonts w:hint="eastAsia" w:ascii="Times New Roman" w:hAnsi="Times New Roman"/>
                      <w:sz w:val="18"/>
                      <w:szCs w:val="18"/>
                    </w:rPr>
                  </w:pPr>
                  <w:r>
                    <w:rPr>
                      <w:rFonts w:hint="eastAsia" w:ascii="Times New Roman" w:hAnsi="Times New Roman"/>
                      <w:sz w:val="18"/>
                      <w:szCs w:val="18"/>
                    </w:rPr>
                    <w:t>座椅外套加工</w:t>
                  </w:r>
                </w:p>
              </w:tc>
              <w:tc>
                <w:tcPr>
                  <w:tcW w:w="862" w:type="pct"/>
                  <w:vAlign w:val="center"/>
                </w:tcPr>
                <w:p w14:paraId="2F625545">
                  <w:pPr>
                    <w:jc w:val="center"/>
                    <w:rPr>
                      <w:rFonts w:ascii="Times New Roman" w:hAnsi="Times New Roman"/>
                      <w:sz w:val="18"/>
                      <w:szCs w:val="18"/>
                    </w:rPr>
                  </w:pPr>
                  <w:r>
                    <w:rPr>
                      <w:rFonts w:ascii="Times New Roman" w:hAnsi="Times New Roman"/>
                      <w:sz w:val="18"/>
                      <w:szCs w:val="18"/>
                    </w:rPr>
                    <w:t>电</w:t>
                  </w:r>
                </w:p>
              </w:tc>
            </w:tr>
            <w:tr w14:paraId="65739B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vAlign w:val="center"/>
                </w:tcPr>
                <w:p w14:paraId="30562E81">
                  <w:pPr>
                    <w:jc w:val="center"/>
                    <w:rPr>
                      <w:rFonts w:ascii="Times New Roman" w:hAnsi="Times New Roman"/>
                      <w:sz w:val="18"/>
                      <w:szCs w:val="18"/>
                    </w:rPr>
                  </w:pPr>
                  <w:r>
                    <w:rPr>
                      <w:rFonts w:ascii="Times New Roman" w:hAnsi="Times New Roman"/>
                      <w:sz w:val="18"/>
                      <w:szCs w:val="18"/>
                    </w:rPr>
                    <w:t>3</w:t>
                  </w:r>
                </w:p>
              </w:tc>
              <w:tc>
                <w:tcPr>
                  <w:tcW w:w="862" w:type="pct"/>
                  <w:vAlign w:val="center"/>
                </w:tcPr>
                <w:p w14:paraId="7542E91F">
                  <w:pPr>
                    <w:jc w:val="center"/>
                    <w:rPr>
                      <w:rFonts w:ascii="Times New Roman" w:hAnsi="Times New Roman"/>
                      <w:sz w:val="18"/>
                      <w:szCs w:val="18"/>
                    </w:rPr>
                  </w:pPr>
                  <w:r>
                    <w:rPr>
                      <w:rFonts w:hint="eastAsia" w:ascii="Times New Roman" w:hAnsi="Times New Roman"/>
                      <w:sz w:val="18"/>
                      <w:szCs w:val="18"/>
                    </w:rPr>
                    <w:t>雕刻机</w:t>
                  </w:r>
                </w:p>
              </w:tc>
              <w:tc>
                <w:tcPr>
                  <w:tcW w:w="862" w:type="pct"/>
                  <w:vAlign w:val="center"/>
                </w:tcPr>
                <w:p w14:paraId="22F6376F">
                  <w:pPr>
                    <w:jc w:val="center"/>
                    <w:rPr>
                      <w:rFonts w:ascii="Times New Roman" w:hAnsi="Times New Roman"/>
                      <w:sz w:val="18"/>
                      <w:szCs w:val="18"/>
                    </w:rPr>
                  </w:pPr>
                  <w:r>
                    <w:rPr>
                      <w:rFonts w:ascii="Times New Roman" w:hAnsi="Times New Roman"/>
                      <w:sz w:val="18"/>
                      <w:szCs w:val="18"/>
                    </w:rPr>
                    <w:t>/</w:t>
                  </w:r>
                </w:p>
              </w:tc>
              <w:tc>
                <w:tcPr>
                  <w:tcW w:w="1033" w:type="pct"/>
                  <w:vAlign w:val="center"/>
                </w:tcPr>
                <w:p w14:paraId="5AB969D3">
                  <w:pPr>
                    <w:jc w:val="center"/>
                    <w:rPr>
                      <w:rFonts w:ascii="Times New Roman" w:hAnsi="Times New Roman"/>
                      <w:sz w:val="18"/>
                      <w:szCs w:val="18"/>
                    </w:rPr>
                  </w:pPr>
                  <w:r>
                    <w:rPr>
                      <w:rFonts w:ascii="Times New Roman" w:hAnsi="Times New Roman"/>
                      <w:sz w:val="18"/>
                      <w:szCs w:val="18"/>
                    </w:rPr>
                    <w:t>2</w:t>
                  </w:r>
                </w:p>
              </w:tc>
              <w:tc>
                <w:tcPr>
                  <w:tcW w:w="862" w:type="pct"/>
                  <w:vAlign w:val="center"/>
                </w:tcPr>
                <w:p w14:paraId="161DAEF4">
                  <w:pPr>
                    <w:jc w:val="center"/>
                    <w:rPr>
                      <w:rFonts w:ascii="Times New Roman" w:hAnsi="Times New Roman"/>
                      <w:sz w:val="18"/>
                      <w:szCs w:val="18"/>
                    </w:rPr>
                  </w:pPr>
                  <w:r>
                    <w:rPr>
                      <w:rFonts w:hint="eastAsia" w:ascii="Calibri" w:hAnsi="Calibri"/>
                      <w:sz w:val="18"/>
                      <w:szCs w:val="18"/>
                    </w:rPr>
                    <w:t>骨架零件加工</w:t>
                  </w:r>
                </w:p>
              </w:tc>
              <w:tc>
                <w:tcPr>
                  <w:tcW w:w="862" w:type="pct"/>
                  <w:vAlign w:val="center"/>
                </w:tcPr>
                <w:p w14:paraId="0BCD7E51">
                  <w:pPr>
                    <w:jc w:val="center"/>
                    <w:rPr>
                      <w:rFonts w:ascii="Times New Roman" w:hAnsi="Times New Roman"/>
                      <w:sz w:val="18"/>
                      <w:szCs w:val="18"/>
                    </w:rPr>
                  </w:pPr>
                  <w:r>
                    <w:rPr>
                      <w:rFonts w:ascii="Times New Roman" w:hAnsi="Times New Roman"/>
                      <w:sz w:val="18"/>
                      <w:szCs w:val="18"/>
                    </w:rPr>
                    <w:t>电</w:t>
                  </w:r>
                </w:p>
              </w:tc>
            </w:tr>
            <w:tr w14:paraId="613580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518" w:type="pct"/>
                  <w:vAlign w:val="center"/>
                </w:tcPr>
                <w:p w14:paraId="4EE6B42C">
                  <w:pPr>
                    <w:jc w:val="center"/>
                    <w:rPr>
                      <w:rFonts w:ascii="Times New Roman" w:hAnsi="Times New Roman"/>
                      <w:sz w:val="18"/>
                      <w:szCs w:val="18"/>
                    </w:rPr>
                  </w:pPr>
                  <w:r>
                    <w:rPr>
                      <w:rFonts w:ascii="Times New Roman" w:hAnsi="Times New Roman"/>
                      <w:sz w:val="18"/>
                      <w:szCs w:val="18"/>
                    </w:rPr>
                    <w:t>4</w:t>
                  </w:r>
                </w:p>
              </w:tc>
              <w:tc>
                <w:tcPr>
                  <w:tcW w:w="862" w:type="pct"/>
                  <w:vAlign w:val="center"/>
                </w:tcPr>
                <w:p w14:paraId="039ACCD6">
                  <w:pPr>
                    <w:jc w:val="center"/>
                    <w:rPr>
                      <w:rFonts w:ascii="Times New Roman" w:hAnsi="Times New Roman"/>
                      <w:sz w:val="18"/>
                      <w:szCs w:val="18"/>
                    </w:rPr>
                  </w:pPr>
                  <w:r>
                    <w:rPr>
                      <w:rFonts w:hint="eastAsia" w:ascii="Times New Roman" w:hAnsi="Times New Roman"/>
                      <w:sz w:val="18"/>
                      <w:szCs w:val="18"/>
                    </w:rPr>
                    <w:t>线切割机</w:t>
                  </w:r>
                </w:p>
              </w:tc>
              <w:tc>
                <w:tcPr>
                  <w:tcW w:w="862" w:type="pct"/>
                  <w:vAlign w:val="center"/>
                </w:tcPr>
                <w:p w14:paraId="64B0E0D7">
                  <w:pPr>
                    <w:jc w:val="center"/>
                    <w:rPr>
                      <w:rFonts w:ascii="Times New Roman" w:hAnsi="Times New Roman"/>
                      <w:sz w:val="18"/>
                      <w:szCs w:val="18"/>
                    </w:rPr>
                  </w:pPr>
                  <w:r>
                    <w:rPr>
                      <w:rFonts w:ascii="Times New Roman" w:hAnsi="Times New Roman"/>
                      <w:sz w:val="18"/>
                      <w:szCs w:val="18"/>
                    </w:rPr>
                    <w:t>/</w:t>
                  </w:r>
                </w:p>
              </w:tc>
              <w:tc>
                <w:tcPr>
                  <w:tcW w:w="1033" w:type="pct"/>
                  <w:vAlign w:val="center"/>
                </w:tcPr>
                <w:p w14:paraId="70AE93A9">
                  <w:pPr>
                    <w:jc w:val="center"/>
                    <w:rPr>
                      <w:rFonts w:ascii="Times New Roman" w:hAnsi="Times New Roman"/>
                      <w:sz w:val="18"/>
                      <w:szCs w:val="18"/>
                    </w:rPr>
                  </w:pPr>
                  <w:r>
                    <w:rPr>
                      <w:rFonts w:ascii="Times New Roman" w:hAnsi="Times New Roman"/>
                      <w:sz w:val="18"/>
                      <w:szCs w:val="18"/>
                    </w:rPr>
                    <w:t>3</w:t>
                  </w:r>
                </w:p>
              </w:tc>
              <w:tc>
                <w:tcPr>
                  <w:tcW w:w="862" w:type="pct"/>
                  <w:vAlign w:val="center"/>
                </w:tcPr>
                <w:p w14:paraId="7463A863">
                  <w:pPr>
                    <w:jc w:val="center"/>
                    <w:rPr>
                      <w:rFonts w:ascii="Times New Roman" w:hAnsi="Times New Roman"/>
                      <w:sz w:val="18"/>
                      <w:szCs w:val="18"/>
                    </w:rPr>
                  </w:pPr>
                  <w:r>
                    <w:rPr>
                      <w:rFonts w:hint="eastAsia" w:ascii="Calibri" w:hAnsi="Calibri"/>
                      <w:sz w:val="18"/>
                      <w:szCs w:val="18"/>
                    </w:rPr>
                    <w:t>骨架零件加工</w:t>
                  </w:r>
                </w:p>
              </w:tc>
              <w:tc>
                <w:tcPr>
                  <w:tcW w:w="862" w:type="pct"/>
                  <w:vAlign w:val="center"/>
                </w:tcPr>
                <w:p w14:paraId="2E3FD0AE">
                  <w:pPr>
                    <w:jc w:val="center"/>
                    <w:rPr>
                      <w:rFonts w:ascii="Times New Roman" w:hAnsi="Times New Roman"/>
                      <w:sz w:val="18"/>
                      <w:szCs w:val="18"/>
                    </w:rPr>
                  </w:pPr>
                  <w:r>
                    <w:rPr>
                      <w:rFonts w:ascii="Times New Roman" w:hAnsi="Times New Roman"/>
                      <w:sz w:val="18"/>
                      <w:szCs w:val="18"/>
                    </w:rPr>
                    <w:t>电</w:t>
                  </w:r>
                </w:p>
              </w:tc>
            </w:tr>
            <w:tr w14:paraId="12B5DB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518" w:type="pct"/>
                  <w:vAlign w:val="center"/>
                </w:tcPr>
                <w:p w14:paraId="4917010F">
                  <w:pPr>
                    <w:jc w:val="center"/>
                    <w:rPr>
                      <w:rFonts w:ascii="Times New Roman" w:hAnsi="Times New Roman"/>
                      <w:sz w:val="18"/>
                      <w:szCs w:val="18"/>
                    </w:rPr>
                  </w:pPr>
                  <w:r>
                    <w:rPr>
                      <w:rFonts w:ascii="Times New Roman" w:hAnsi="Times New Roman"/>
                      <w:sz w:val="18"/>
                      <w:szCs w:val="18"/>
                    </w:rPr>
                    <w:t>5</w:t>
                  </w:r>
                </w:p>
              </w:tc>
              <w:tc>
                <w:tcPr>
                  <w:tcW w:w="862" w:type="pct"/>
                  <w:vAlign w:val="center"/>
                </w:tcPr>
                <w:p w14:paraId="12906FFF">
                  <w:pPr>
                    <w:jc w:val="center"/>
                    <w:rPr>
                      <w:rFonts w:ascii="Times New Roman" w:hAnsi="Times New Roman"/>
                      <w:sz w:val="18"/>
                      <w:szCs w:val="18"/>
                    </w:rPr>
                  </w:pPr>
                  <w:r>
                    <w:rPr>
                      <w:rFonts w:hint="eastAsia" w:ascii="Times New Roman" w:hAnsi="Times New Roman"/>
                      <w:sz w:val="18"/>
                      <w:szCs w:val="18"/>
                    </w:rPr>
                    <w:t>电火花机</w:t>
                  </w:r>
                </w:p>
              </w:tc>
              <w:tc>
                <w:tcPr>
                  <w:tcW w:w="862" w:type="pct"/>
                  <w:vAlign w:val="center"/>
                </w:tcPr>
                <w:p w14:paraId="4A25516B">
                  <w:pPr>
                    <w:jc w:val="center"/>
                    <w:rPr>
                      <w:rFonts w:ascii="Times New Roman" w:hAnsi="Times New Roman"/>
                      <w:sz w:val="18"/>
                      <w:szCs w:val="18"/>
                    </w:rPr>
                  </w:pPr>
                  <w:r>
                    <w:rPr>
                      <w:rFonts w:ascii="Times New Roman" w:hAnsi="Times New Roman"/>
                      <w:sz w:val="18"/>
                      <w:szCs w:val="18"/>
                    </w:rPr>
                    <w:t>/</w:t>
                  </w:r>
                </w:p>
              </w:tc>
              <w:tc>
                <w:tcPr>
                  <w:tcW w:w="1033" w:type="pct"/>
                  <w:vAlign w:val="center"/>
                </w:tcPr>
                <w:p w14:paraId="14B1502A">
                  <w:pPr>
                    <w:jc w:val="center"/>
                    <w:rPr>
                      <w:rFonts w:ascii="Times New Roman" w:hAnsi="Times New Roman"/>
                      <w:sz w:val="18"/>
                      <w:szCs w:val="18"/>
                    </w:rPr>
                  </w:pPr>
                  <w:r>
                    <w:rPr>
                      <w:rFonts w:ascii="Times New Roman" w:hAnsi="Times New Roman"/>
                      <w:sz w:val="18"/>
                      <w:szCs w:val="18"/>
                    </w:rPr>
                    <w:t>1</w:t>
                  </w:r>
                </w:p>
              </w:tc>
              <w:tc>
                <w:tcPr>
                  <w:tcW w:w="862" w:type="pct"/>
                  <w:vAlign w:val="center"/>
                </w:tcPr>
                <w:p w14:paraId="715D0A03">
                  <w:pPr>
                    <w:jc w:val="center"/>
                    <w:rPr>
                      <w:rFonts w:ascii="Times New Roman" w:hAnsi="Times New Roman"/>
                      <w:sz w:val="18"/>
                      <w:szCs w:val="18"/>
                    </w:rPr>
                  </w:pPr>
                  <w:r>
                    <w:rPr>
                      <w:rFonts w:hint="eastAsia" w:ascii="Calibri" w:hAnsi="Calibri"/>
                      <w:sz w:val="18"/>
                      <w:szCs w:val="18"/>
                    </w:rPr>
                    <w:t>骨架零件加工</w:t>
                  </w:r>
                </w:p>
              </w:tc>
              <w:tc>
                <w:tcPr>
                  <w:tcW w:w="862" w:type="pct"/>
                  <w:vAlign w:val="center"/>
                </w:tcPr>
                <w:p w14:paraId="1955FC1E">
                  <w:pPr>
                    <w:jc w:val="center"/>
                    <w:rPr>
                      <w:rFonts w:ascii="Times New Roman" w:hAnsi="Times New Roman"/>
                      <w:sz w:val="18"/>
                      <w:szCs w:val="18"/>
                    </w:rPr>
                  </w:pPr>
                  <w:r>
                    <w:rPr>
                      <w:rFonts w:ascii="Times New Roman" w:hAnsi="Times New Roman"/>
                      <w:sz w:val="18"/>
                      <w:szCs w:val="18"/>
                    </w:rPr>
                    <w:t>电</w:t>
                  </w:r>
                </w:p>
              </w:tc>
            </w:tr>
            <w:tr w14:paraId="349DC9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vAlign w:val="center"/>
                </w:tcPr>
                <w:p w14:paraId="5B5EC5D7">
                  <w:pPr>
                    <w:jc w:val="center"/>
                    <w:rPr>
                      <w:rFonts w:hint="eastAsia" w:ascii="Calibri" w:hAnsi="Calibri" w:eastAsia="宋体"/>
                      <w:sz w:val="18"/>
                      <w:szCs w:val="18"/>
                      <w:lang w:val="en-US" w:eastAsia="zh-CN"/>
                    </w:rPr>
                  </w:pPr>
                  <w:r>
                    <w:rPr>
                      <w:rFonts w:hint="eastAsia" w:ascii="Calibri" w:hAnsi="Calibri"/>
                      <w:sz w:val="18"/>
                      <w:szCs w:val="18"/>
                      <w:lang w:val="en-US" w:eastAsia="zh-CN"/>
                    </w:rPr>
                    <w:t>6</w:t>
                  </w:r>
                </w:p>
              </w:tc>
              <w:tc>
                <w:tcPr>
                  <w:tcW w:w="862" w:type="pct"/>
                  <w:vAlign w:val="center"/>
                </w:tcPr>
                <w:p w14:paraId="5DD8A99D">
                  <w:pPr>
                    <w:jc w:val="center"/>
                    <w:rPr>
                      <w:rFonts w:ascii="Calibri" w:hAnsi="Calibri"/>
                      <w:sz w:val="18"/>
                      <w:szCs w:val="18"/>
                    </w:rPr>
                  </w:pPr>
                  <w:r>
                    <w:rPr>
                      <w:rFonts w:hint="eastAsia" w:ascii="Calibri" w:hAnsi="Calibri"/>
                      <w:sz w:val="18"/>
                      <w:szCs w:val="18"/>
                    </w:rPr>
                    <w:t>台钻</w:t>
                  </w:r>
                </w:p>
              </w:tc>
              <w:tc>
                <w:tcPr>
                  <w:tcW w:w="862" w:type="pct"/>
                  <w:vAlign w:val="center"/>
                </w:tcPr>
                <w:p w14:paraId="5BEFC413">
                  <w:pPr>
                    <w:jc w:val="center"/>
                    <w:rPr>
                      <w:rFonts w:ascii="Calibri" w:hAnsi="Calibri"/>
                      <w:sz w:val="18"/>
                      <w:szCs w:val="18"/>
                    </w:rPr>
                  </w:pPr>
                  <w:r>
                    <w:rPr>
                      <w:rFonts w:ascii="Times New Roman" w:hAnsi="Times New Roman"/>
                      <w:sz w:val="18"/>
                      <w:szCs w:val="18"/>
                    </w:rPr>
                    <w:t>/</w:t>
                  </w:r>
                </w:p>
              </w:tc>
              <w:tc>
                <w:tcPr>
                  <w:tcW w:w="1033" w:type="pct"/>
                  <w:vAlign w:val="center"/>
                </w:tcPr>
                <w:p w14:paraId="1841F727">
                  <w:pPr>
                    <w:jc w:val="center"/>
                    <w:rPr>
                      <w:rFonts w:ascii="Calibri" w:hAnsi="Calibri"/>
                      <w:sz w:val="18"/>
                      <w:szCs w:val="18"/>
                    </w:rPr>
                  </w:pPr>
                  <w:r>
                    <w:rPr>
                      <w:rFonts w:hint="eastAsia" w:ascii="Calibri" w:hAnsi="Calibri"/>
                      <w:sz w:val="18"/>
                      <w:szCs w:val="18"/>
                    </w:rPr>
                    <w:t>2</w:t>
                  </w:r>
                </w:p>
              </w:tc>
              <w:tc>
                <w:tcPr>
                  <w:tcW w:w="862" w:type="pct"/>
                  <w:vAlign w:val="center"/>
                </w:tcPr>
                <w:p w14:paraId="35B35C60">
                  <w:pPr>
                    <w:jc w:val="center"/>
                    <w:rPr>
                      <w:rFonts w:ascii="Calibri" w:hAnsi="Calibri"/>
                      <w:sz w:val="18"/>
                      <w:szCs w:val="18"/>
                    </w:rPr>
                  </w:pPr>
                  <w:r>
                    <w:rPr>
                      <w:rFonts w:hint="eastAsia" w:ascii="Calibri" w:hAnsi="Calibri"/>
                      <w:sz w:val="18"/>
                      <w:szCs w:val="18"/>
                    </w:rPr>
                    <w:t>骨架零件加工</w:t>
                  </w:r>
                </w:p>
              </w:tc>
              <w:tc>
                <w:tcPr>
                  <w:tcW w:w="862" w:type="pct"/>
                  <w:vAlign w:val="center"/>
                </w:tcPr>
                <w:p w14:paraId="3CEB941C">
                  <w:pPr>
                    <w:jc w:val="center"/>
                    <w:rPr>
                      <w:rFonts w:ascii="Calibri" w:hAnsi="Calibri"/>
                      <w:sz w:val="18"/>
                      <w:szCs w:val="18"/>
                    </w:rPr>
                  </w:pPr>
                  <w:r>
                    <w:rPr>
                      <w:rFonts w:ascii="Times New Roman" w:hAnsi="Times New Roman"/>
                      <w:sz w:val="18"/>
                      <w:szCs w:val="18"/>
                    </w:rPr>
                    <w:t>电</w:t>
                  </w:r>
                </w:p>
              </w:tc>
            </w:tr>
            <w:tr w14:paraId="0D06F4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vAlign w:val="center"/>
                </w:tcPr>
                <w:p w14:paraId="50216B77">
                  <w:pPr>
                    <w:jc w:val="center"/>
                    <w:rPr>
                      <w:rFonts w:hint="eastAsia" w:ascii="Calibri" w:hAnsi="Calibri" w:eastAsia="宋体"/>
                      <w:sz w:val="18"/>
                      <w:szCs w:val="18"/>
                      <w:lang w:val="en-US" w:eastAsia="zh-CN"/>
                    </w:rPr>
                  </w:pPr>
                  <w:r>
                    <w:rPr>
                      <w:rFonts w:hint="eastAsia" w:ascii="Calibri" w:hAnsi="Calibri"/>
                      <w:sz w:val="18"/>
                      <w:szCs w:val="18"/>
                      <w:lang w:val="en-US" w:eastAsia="zh-CN"/>
                    </w:rPr>
                    <w:t>7</w:t>
                  </w:r>
                </w:p>
              </w:tc>
              <w:tc>
                <w:tcPr>
                  <w:tcW w:w="862" w:type="pct"/>
                  <w:vAlign w:val="center"/>
                </w:tcPr>
                <w:p w14:paraId="2D249052">
                  <w:pPr>
                    <w:jc w:val="center"/>
                    <w:rPr>
                      <w:rFonts w:hint="eastAsia" w:ascii="Calibri" w:hAnsi="Calibri"/>
                      <w:sz w:val="18"/>
                      <w:szCs w:val="18"/>
                    </w:rPr>
                  </w:pPr>
                  <w:r>
                    <w:rPr>
                      <w:rFonts w:hint="eastAsia" w:ascii="Calibri" w:hAnsi="Calibri"/>
                      <w:sz w:val="18"/>
                      <w:szCs w:val="18"/>
                    </w:rPr>
                    <w:t>粉碎机</w:t>
                  </w:r>
                </w:p>
              </w:tc>
              <w:tc>
                <w:tcPr>
                  <w:tcW w:w="862" w:type="pct"/>
                  <w:vAlign w:val="center"/>
                </w:tcPr>
                <w:p w14:paraId="6EC15654">
                  <w:pPr>
                    <w:jc w:val="center"/>
                    <w:rPr>
                      <w:rFonts w:ascii="Calibri" w:hAnsi="Calibri"/>
                      <w:sz w:val="18"/>
                      <w:szCs w:val="18"/>
                    </w:rPr>
                  </w:pPr>
                  <w:r>
                    <w:rPr>
                      <w:rFonts w:ascii="Times New Roman" w:hAnsi="Times New Roman"/>
                      <w:sz w:val="18"/>
                      <w:szCs w:val="18"/>
                    </w:rPr>
                    <w:t>/</w:t>
                  </w:r>
                </w:p>
              </w:tc>
              <w:tc>
                <w:tcPr>
                  <w:tcW w:w="1033" w:type="pct"/>
                  <w:vAlign w:val="center"/>
                </w:tcPr>
                <w:p w14:paraId="0A19CBBB">
                  <w:pPr>
                    <w:jc w:val="center"/>
                    <w:rPr>
                      <w:rFonts w:ascii="Calibri" w:hAnsi="Calibri"/>
                      <w:sz w:val="18"/>
                      <w:szCs w:val="18"/>
                    </w:rPr>
                  </w:pPr>
                  <w:r>
                    <w:rPr>
                      <w:rFonts w:hint="eastAsia" w:ascii="Calibri" w:hAnsi="Calibri"/>
                      <w:sz w:val="18"/>
                      <w:szCs w:val="18"/>
                    </w:rPr>
                    <w:t>2</w:t>
                  </w:r>
                </w:p>
              </w:tc>
              <w:tc>
                <w:tcPr>
                  <w:tcW w:w="862" w:type="pct"/>
                  <w:vAlign w:val="center"/>
                </w:tcPr>
                <w:p w14:paraId="1AA9781D">
                  <w:pPr>
                    <w:jc w:val="center"/>
                    <w:rPr>
                      <w:rFonts w:ascii="Calibri" w:hAnsi="Calibri"/>
                      <w:sz w:val="18"/>
                      <w:szCs w:val="18"/>
                    </w:rPr>
                  </w:pPr>
                  <w:r>
                    <w:rPr>
                      <w:rFonts w:hint="eastAsia" w:ascii="Calibri" w:hAnsi="Calibri"/>
                      <w:sz w:val="18"/>
                      <w:szCs w:val="18"/>
                    </w:rPr>
                    <w:t>骨架零件加工</w:t>
                  </w:r>
                </w:p>
              </w:tc>
              <w:tc>
                <w:tcPr>
                  <w:tcW w:w="862" w:type="pct"/>
                  <w:vAlign w:val="center"/>
                </w:tcPr>
                <w:p w14:paraId="7271A655">
                  <w:pPr>
                    <w:jc w:val="center"/>
                    <w:rPr>
                      <w:rFonts w:ascii="Calibri" w:hAnsi="Calibri"/>
                      <w:sz w:val="18"/>
                      <w:szCs w:val="18"/>
                    </w:rPr>
                  </w:pPr>
                  <w:r>
                    <w:rPr>
                      <w:rFonts w:ascii="Times New Roman" w:hAnsi="Times New Roman"/>
                      <w:sz w:val="18"/>
                      <w:szCs w:val="18"/>
                    </w:rPr>
                    <w:t>电</w:t>
                  </w:r>
                </w:p>
              </w:tc>
            </w:tr>
            <w:tr w14:paraId="53932C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vAlign w:val="center"/>
                </w:tcPr>
                <w:p w14:paraId="0422BAE2">
                  <w:pPr>
                    <w:jc w:val="center"/>
                    <w:rPr>
                      <w:rFonts w:hint="eastAsia" w:ascii="Calibri" w:hAnsi="Calibri" w:eastAsia="宋体"/>
                      <w:sz w:val="18"/>
                      <w:szCs w:val="18"/>
                      <w:lang w:val="en-US" w:eastAsia="zh-CN"/>
                    </w:rPr>
                  </w:pPr>
                  <w:r>
                    <w:rPr>
                      <w:rFonts w:hint="eastAsia" w:ascii="Calibri" w:hAnsi="Calibri"/>
                      <w:sz w:val="18"/>
                      <w:szCs w:val="18"/>
                      <w:lang w:val="en-US" w:eastAsia="zh-CN"/>
                    </w:rPr>
                    <w:t>8</w:t>
                  </w:r>
                </w:p>
              </w:tc>
              <w:tc>
                <w:tcPr>
                  <w:tcW w:w="862" w:type="pct"/>
                  <w:vAlign w:val="center"/>
                </w:tcPr>
                <w:p w14:paraId="43681976">
                  <w:pPr>
                    <w:jc w:val="center"/>
                    <w:rPr>
                      <w:rFonts w:hint="eastAsia" w:ascii="Calibri" w:hAnsi="Calibri"/>
                      <w:sz w:val="18"/>
                      <w:szCs w:val="18"/>
                    </w:rPr>
                  </w:pPr>
                  <w:r>
                    <w:rPr>
                      <w:rFonts w:hint="eastAsia" w:ascii="Calibri" w:hAnsi="Calibri"/>
                      <w:sz w:val="18"/>
                      <w:szCs w:val="18"/>
                    </w:rPr>
                    <w:t>电焊机</w:t>
                  </w:r>
                </w:p>
              </w:tc>
              <w:tc>
                <w:tcPr>
                  <w:tcW w:w="862" w:type="pct"/>
                  <w:vAlign w:val="center"/>
                </w:tcPr>
                <w:p w14:paraId="0BA5A7E6">
                  <w:pPr>
                    <w:jc w:val="center"/>
                    <w:rPr>
                      <w:rFonts w:ascii="Calibri" w:hAnsi="Calibri"/>
                      <w:sz w:val="18"/>
                      <w:szCs w:val="18"/>
                    </w:rPr>
                  </w:pPr>
                  <w:r>
                    <w:rPr>
                      <w:rFonts w:ascii="Times New Roman" w:hAnsi="Times New Roman"/>
                      <w:sz w:val="18"/>
                      <w:szCs w:val="18"/>
                    </w:rPr>
                    <w:t>/</w:t>
                  </w:r>
                </w:p>
              </w:tc>
              <w:tc>
                <w:tcPr>
                  <w:tcW w:w="1033" w:type="pct"/>
                  <w:vAlign w:val="center"/>
                </w:tcPr>
                <w:p w14:paraId="6D26E8D6">
                  <w:pPr>
                    <w:jc w:val="center"/>
                    <w:rPr>
                      <w:rFonts w:ascii="Calibri" w:hAnsi="Calibri"/>
                      <w:sz w:val="18"/>
                      <w:szCs w:val="18"/>
                    </w:rPr>
                  </w:pPr>
                  <w:r>
                    <w:rPr>
                      <w:rFonts w:hint="eastAsia" w:ascii="Calibri" w:hAnsi="Calibri"/>
                      <w:sz w:val="18"/>
                      <w:szCs w:val="18"/>
                    </w:rPr>
                    <w:t>2</w:t>
                  </w:r>
                </w:p>
              </w:tc>
              <w:tc>
                <w:tcPr>
                  <w:tcW w:w="862" w:type="pct"/>
                  <w:vAlign w:val="center"/>
                </w:tcPr>
                <w:p w14:paraId="08BF421F">
                  <w:pPr>
                    <w:jc w:val="center"/>
                    <w:rPr>
                      <w:rFonts w:hint="eastAsia" w:ascii="Calibri" w:hAnsi="Calibri"/>
                      <w:sz w:val="18"/>
                      <w:szCs w:val="18"/>
                    </w:rPr>
                  </w:pPr>
                  <w:r>
                    <w:rPr>
                      <w:rFonts w:hint="eastAsia" w:ascii="Calibri" w:hAnsi="Calibri"/>
                      <w:sz w:val="18"/>
                      <w:szCs w:val="18"/>
                    </w:rPr>
                    <w:t>骨架零件加工</w:t>
                  </w:r>
                </w:p>
              </w:tc>
              <w:tc>
                <w:tcPr>
                  <w:tcW w:w="862" w:type="pct"/>
                  <w:vAlign w:val="center"/>
                </w:tcPr>
                <w:p w14:paraId="2C5853CA">
                  <w:pPr>
                    <w:jc w:val="center"/>
                    <w:rPr>
                      <w:rFonts w:ascii="Calibri" w:hAnsi="Calibri"/>
                      <w:sz w:val="18"/>
                      <w:szCs w:val="18"/>
                    </w:rPr>
                  </w:pPr>
                  <w:r>
                    <w:rPr>
                      <w:rFonts w:ascii="Times New Roman" w:hAnsi="Times New Roman"/>
                      <w:sz w:val="18"/>
                      <w:szCs w:val="18"/>
                    </w:rPr>
                    <w:t>电</w:t>
                  </w:r>
                </w:p>
              </w:tc>
            </w:tr>
            <w:tr w14:paraId="7BFF00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vAlign w:val="center"/>
                </w:tcPr>
                <w:p w14:paraId="077ADFF1">
                  <w:pPr>
                    <w:jc w:val="center"/>
                    <w:rPr>
                      <w:rFonts w:hint="eastAsia" w:ascii="Calibri" w:hAnsi="Calibri" w:eastAsia="宋体"/>
                      <w:sz w:val="18"/>
                      <w:szCs w:val="18"/>
                      <w:lang w:val="en-US" w:eastAsia="zh-CN"/>
                    </w:rPr>
                  </w:pPr>
                  <w:r>
                    <w:rPr>
                      <w:rFonts w:hint="eastAsia" w:ascii="Calibri" w:hAnsi="Calibri"/>
                      <w:sz w:val="18"/>
                      <w:szCs w:val="18"/>
                      <w:lang w:val="en-US" w:eastAsia="zh-CN"/>
                    </w:rPr>
                    <w:t>9</w:t>
                  </w:r>
                </w:p>
              </w:tc>
              <w:tc>
                <w:tcPr>
                  <w:tcW w:w="862" w:type="pct"/>
                  <w:vAlign w:val="center"/>
                </w:tcPr>
                <w:p w14:paraId="0FEDD4C7">
                  <w:pPr>
                    <w:jc w:val="center"/>
                    <w:rPr>
                      <w:rFonts w:hint="eastAsia" w:ascii="Calibri" w:hAnsi="Calibri"/>
                      <w:sz w:val="18"/>
                      <w:szCs w:val="18"/>
                    </w:rPr>
                  </w:pPr>
                  <w:r>
                    <w:rPr>
                      <w:rFonts w:hint="eastAsia" w:ascii="Calibri" w:hAnsi="Calibri"/>
                      <w:sz w:val="18"/>
                      <w:szCs w:val="18"/>
                    </w:rPr>
                    <w:t>切管机</w:t>
                  </w:r>
                </w:p>
              </w:tc>
              <w:tc>
                <w:tcPr>
                  <w:tcW w:w="862" w:type="pct"/>
                  <w:vAlign w:val="center"/>
                </w:tcPr>
                <w:p w14:paraId="3208A0EC">
                  <w:pPr>
                    <w:jc w:val="center"/>
                    <w:rPr>
                      <w:rFonts w:ascii="Calibri" w:hAnsi="Calibri"/>
                      <w:sz w:val="18"/>
                      <w:szCs w:val="18"/>
                    </w:rPr>
                  </w:pPr>
                  <w:r>
                    <w:rPr>
                      <w:rFonts w:ascii="Times New Roman" w:hAnsi="Times New Roman"/>
                      <w:sz w:val="18"/>
                      <w:szCs w:val="18"/>
                    </w:rPr>
                    <w:t>/</w:t>
                  </w:r>
                </w:p>
              </w:tc>
              <w:tc>
                <w:tcPr>
                  <w:tcW w:w="1033" w:type="pct"/>
                  <w:vAlign w:val="center"/>
                </w:tcPr>
                <w:p w14:paraId="10125448">
                  <w:pPr>
                    <w:jc w:val="center"/>
                    <w:rPr>
                      <w:rFonts w:ascii="Calibri" w:hAnsi="Calibri"/>
                      <w:sz w:val="18"/>
                      <w:szCs w:val="18"/>
                    </w:rPr>
                  </w:pPr>
                  <w:r>
                    <w:rPr>
                      <w:rFonts w:hint="eastAsia" w:ascii="Calibri" w:hAnsi="Calibri"/>
                      <w:sz w:val="18"/>
                      <w:szCs w:val="18"/>
                    </w:rPr>
                    <w:t>1</w:t>
                  </w:r>
                </w:p>
              </w:tc>
              <w:tc>
                <w:tcPr>
                  <w:tcW w:w="862" w:type="pct"/>
                  <w:vAlign w:val="center"/>
                </w:tcPr>
                <w:p w14:paraId="2A37F9C4">
                  <w:pPr>
                    <w:jc w:val="center"/>
                    <w:rPr>
                      <w:rFonts w:ascii="Calibri" w:hAnsi="Calibri"/>
                      <w:sz w:val="18"/>
                      <w:szCs w:val="18"/>
                    </w:rPr>
                  </w:pPr>
                  <w:r>
                    <w:rPr>
                      <w:rFonts w:hint="eastAsia" w:ascii="Calibri" w:hAnsi="Calibri"/>
                      <w:sz w:val="18"/>
                      <w:szCs w:val="18"/>
                    </w:rPr>
                    <w:t>骨架零件加工</w:t>
                  </w:r>
                </w:p>
              </w:tc>
              <w:tc>
                <w:tcPr>
                  <w:tcW w:w="862" w:type="pct"/>
                  <w:vAlign w:val="center"/>
                </w:tcPr>
                <w:p w14:paraId="4075A31A">
                  <w:pPr>
                    <w:jc w:val="center"/>
                    <w:rPr>
                      <w:rFonts w:ascii="Calibri" w:hAnsi="Calibri"/>
                      <w:sz w:val="18"/>
                      <w:szCs w:val="18"/>
                    </w:rPr>
                  </w:pPr>
                  <w:r>
                    <w:rPr>
                      <w:rFonts w:ascii="Times New Roman" w:hAnsi="Times New Roman"/>
                      <w:sz w:val="18"/>
                      <w:szCs w:val="18"/>
                    </w:rPr>
                    <w:t>电</w:t>
                  </w:r>
                </w:p>
              </w:tc>
            </w:tr>
            <w:tr w14:paraId="1C461C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8" w:type="pct"/>
                  <w:vAlign w:val="center"/>
                </w:tcPr>
                <w:p w14:paraId="194450FA">
                  <w:pPr>
                    <w:jc w:val="center"/>
                    <w:rPr>
                      <w:rFonts w:hint="default" w:ascii="Calibri" w:hAnsi="Calibri" w:eastAsia="宋体"/>
                      <w:sz w:val="18"/>
                      <w:szCs w:val="18"/>
                      <w:lang w:val="en-US" w:eastAsia="zh-CN"/>
                    </w:rPr>
                  </w:pPr>
                  <w:r>
                    <w:rPr>
                      <w:rFonts w:hint="eastAsia" w:ascii="Calibri" w:hAnsi="Calibri"/>
                      <w:sz w:val="18"/>
                      <w:szCs w:val="18"/>
                      <w:lang w:val="en-US" w:eastAsia="zh-CN"/>
                    </w:rPr>
                    <w:t>10</w:t>
                  </w:r>
                </w:p>
              </w:tc>
              <w:tc>
                <w:tcPr>
                  <w:tcW w:w="862" w:type="pct"/>
                  <w:vAlign w:val="center"/>
                </w:tcPr>
                <w:p w14:paraId="6CE33C51">
                  <w:pPr>
                    <w:jc w:val="center"/>
                    <w:rPr>
                      <w:rFonts w:hint="eastAsia" w:ascii="Calibri" w:hAnsi="Calibri"/>
                      <w:sz w:val="18"/>
                      <w:szCs w:val="18"/>
                    </w:rPr>
                  </w:pPr>
                  <w:r>
                    <w:rPr>
                      <w:rFonts w:hint="eastAsia" w:ascii="Calibri" w:hAnsi="Calibri"/>
                      <w:sz w:val="18"/>
                      <w:szCs w:val="18"/>
                    </w:rPr>
                    <w:t>空压机</w:t>
                  </w:r>
                </w:p>
              </w:tc>
              <w:tc>
                <w:tcPr>
                  <w:tcW w:w="862" w:type="pct"/>
                  <w:vAlign w:val="center"/>
                </w:tcPr>
                <w:p w14:paraId="648DE3CA">
                  <w:pPr>
                    <w:jc w:val="center"/>
                    <w:rPr>
                      <w:rFonts w:ascii="Calibri" w:hAnsi="Calibri"/>
                      <w:sz w:val="18"/>
                      <w:szCs w:val="18"/>
                    </w:rPr>
                  </w:pPr>
                  <w:r>
                    <w:rPr>
                      <w:rFonts w:ascii="Times New Roman" w:hAnsi="Times New Roman"/>
                      <w:sz w:val="18"/>
                      <w:szCs w:val="18"/>
                    </w:rPr>
                    <w:t>/</w:t>
                  </w:r>
                </w:p>
              </w:tc>
              <w:tc>
                <w:tcPr>
                  <w:tcW w:w="1033" w:type="pct"/>
                  <w:vAlign w:val="center"/>
                </w:tcPr>
                <w:p w14:paraId="326899AB">
                  <w:pPr>
                    <w:jc w:val="center"/>
                    <w:rPr>
                      <w:rFonts w:ascii="Calibri" w:hAnsi="Calibri"/>
                      <w:sz w:val="18"/>
                      <w:szCs w:val="18"/>
                    </w:rPr>
                  </w:pPr>
                  <w:r>
                    <w:rPr>
                      <w:rFonts w:hint="eastAsia" w:ascii="Calibri" w:hAnsi="Calibri"/>
                      <w:sz w:val="18"/>
                      <w:szCs w:val="18"/>
                    </w:rPr>
                    <w:t>3</w:t>
                  </w:r>
                </w:p>
              </w:tc>
              <w:tc>
                <w:tcPr>
                  <w:tcW w:w="862" w:type="pct"/>
                  <w:vAlign w:val="center"/>
                </w:tcPr>
                <w:p w14:paraId="71DC146D">
                  <w:pPr>
                    <w:jc w:val="center"/>
                    <w:rPr>
                      <w:rFonts w:ascii="Calibri" w:hAnsi="Calibri"/>
                      <w:sz w:val="18"/>
                      <w:szCs w:val="18"/>
                    </w:rPr>
                  </w:pPr>
                  <w:r>
                    <w:rPr>
                      <w:rFonts w:hint="eastAsia" w:ascii="Calibri" w:hAnsi="Calibri"/>
                      <w:sz w:val="18"/>
                      <w:szCs w:val="18"/>
                    </w:rPr>
                    <w:t>骨架零件加工</w:t>
                  </w:r>
                </w:p>
              </w:tc>
              <w:tc>
                <w:tcPr>
                  <w:tcW w:w="862" w:type="pct"/>
                  <w:vAlign w:val="center"/>
                </w:tcPr>
                <w:p w14:paraId="23089B9A">
                  <w:pPr>
                    <w:jc w:val="center"/>
                    <w:rPr>
                      <w:rFonts w:ascii="Calibri" w:hAnsi="Calibri"/>
                      <w:sz w:val="18"/>
                      <w:szCs w:val="18"/>
                    </w:rPr>
                  </w:pPr>
                  <w:r>
                    <w:rPr>
                      <w:rFonts w:ascii="Times New Roman" w:hAnsi="Times New Roman"/>
                      <w:sz w:val="18"/>
                      <w:szCs w:val="18"/>
                    </w:rPr>
                    <w:t>电</w:t>
                  </w:r>
                </w:p>
              </w:tc>
            </w:tr>
            <w:tr w14:paraId="42F883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vAlign w:val="center"/>
                </w:tcPr>
                <w:p w14:paraId="1424A2B2">
                  <w:pPr>
                    <w:jc w:val="center"/>
                    <w:rPr>
                      <w:rFonts w:hint="default" w:ascii="Calibri" w:hAnsi="Calibri" w:eastAsia="宋体"/>
                      <w:sz w:val="18"/>
                      <w:szCs w:val="18"/>
                      <w:lang w:val="en-US" w:eastAsia="zh-CN"/>
                    </w:rPr>
                  </w:pPr>
                  <w:r>
                    <w:rPr>
                      <w:rFonts w:hint="eastAsia" w:ascii="Calibri" w:hAnsi="Calibri"/>
                      <w:sz w:val="18"/>
                      <w:szCs w:val="18"/>
                      <w:lang w:val="en-US" w:eastAsia="zh-CN"/>
                    </w:rPr>
                    <w:t>11</w:t>
                  </w:r>
                </w:p>
              </w:tc>
              <w:tc>
                <w:tcPr>
                  <w:tcW w:w="862" w:type="pct"/>
                  <w:vAlign w:val="center"/>
                </w:tcPr>
                <w:p w14:paraId="5C824BBF">
                  <w:pPr>
                    <w:jc w:val="center"/>
                    <w:rPr>
                      <w:rFonts w:hint="eastAsia" w:ascii="Calibri" w:hAnsi="Calibri"/>
                      <w:sz w:val="18"/>
                      <w:szCs w:val="18"/>
                    </w:rPr>
                  </w:pPr>
                  <w:r>
                    <w:rPr>
                      <w:rFonts w:hint="eastAsia" w:ascii="Calibri" w:hAnsi="Calibri"/>
                      <w:sz w:val="18"/>
                      <w:szCs w:val="18"/>
                    </w:rPr>
                    <w:t>循环冷却水设备</w:t>
                  </w:r>
                </w:p>
              </w:tc>
              <w:tc>
                <w:tcPr>
                  <w:tcW w:w="862" w:type="pct"/>
                  <w:vAlign w:val="center"/>
                </w:tcPr>
                <w:p w14:paraId="0DA0CA5D">
                  <w:pPr>
                    <w:jc w:val="center"/>
                    <w:rPr>
                      <w:rFonts w:ascii="Calibri" w:hAnsi="Calibri"/>
                      <w:sz w:val="18"/>
                      <w:szCs w:val="18"/>
                    </w:rPr>
                  </w:pPr>
                  <w:r>
                    <w:rPr>
                      <w:rFonts w:ascii="Times New Roman" w:hAnsi="Times New Roman"/>
                      <w:sz w:val="18"/>
                      <w:szCs w:val="18"/>
                    </w:rPr>
                    <w:t>/</w:t>
                  </w:r>
                </w:p>
              </w:tc>
              <w:tc>
                <w:tcPr>
                  <w:tcW w:w="1033" w:type="pct"/>
                  <w:vAlign w:val="center"/>
                </w:tcPr>
                <w:p w14:paraId="6C7FFB71">
                  <w:pPr>
                    <w:jc w:val="center"/>
                    <w:rPr>
                      <w:rFonts w:ascii="Calibri" w:hAnsi="Calibri"/>
                      <w:sz w:val="18"/>
                      <w:szCs w:val="18"/>
                    </w:rPr>
                  </w:pPr>
                  <w:r>
                    <w:rPr>
                      <w:rFonts w:hint="eastAsia" w:ascii="Calibri" w:hAnsi="Calibri"/>
                      <w:sz w:val="18"/>
                      <w:szCs w:val="18"/>
                    </w:rPr>
                    <w:t>2</w:t>
                  </w:r>
                </w:p>
              </w:tc>
              <w:tc>
                <w:tcPr>
                  <w:tcW w:w="862" w:type="pct"/>
                  <w:vAlign w:val="center"/>
                </w:tcPr>
                <w:p w14:paraId="04DE1DF5">
                  <w:pPr>
                    <w:jc w:val="center"/>
                    <w:rPr>
                      <w:rFonts w:ascii="Calibri" w:hAnsi="Calibri"/>
                      <w:sz w:val="18"/>
                      <w:szCs w:val="18"/>
                    </w:rPr>
                  </w:pPr>
                  <w:r>
                    <w:rPr>
                      <w:rFonts w:hint="eastAsia" w:ascii="Calibri" w:hAnsi="Calibri"/>
                      <w:sz w:val="18"/>
                      <w:szCs w:val="18"/>
                    </w:rPr>
                    <w:t>注塑成型</w:t>
                  </w:r>
                </w:p>
              </w:tc>
              <w:tc>
                <w:tcPr>
                  <w:tcW w:w="862" w:type="pct"/>
                  <w:vAlign w:val="center"/>
                </w:tcPr>
                <w:p w14:paraId="582FF5E0">
                  <w:pPr>
                    <w:jc w:val="center"/>
                    <w:rPr>
                      <w:rFonts w:ascii="Calibri" w:hAnsi="Calibri"/>
                      <w:sz w:val="18"/>
                      <w:szCs w:val="18"/>
                    </w:rPr>
                  </w:pPr>
                  <w:r>
                    <w:rPr>
                      <w:rFonts w:ascii="Times New Roman" w:hAnsi="Times New Roman"/>
                      <w:sz w:val="18"/>
                      <w:szCs w:val="18"/>
                    </w:rPr>
                    <w:t>电</w:t>
                  </w:r>
                </w:p>
              </w:tc>
            </w:tr>
            <w:bookmarkEnd w:id="5"/>
          </w:tbl>
          <w:p w14:paraId="0DA09ABF">
            <w:pPr>
              <w:adjustRightInd w:val="0"/>
              <w:snapToGrid w:val="0"/>
              <w:spacing w:before="120" w:beforeLines="50" w:line="360" w:lineRule="auto"/>
              <w:ind w:firstLine="482" w:firstLineChars="200"/>
              <w:rPr>
                <w:b/>
                <w:bCs/>
                <w:sz w:val="24"/>
              </w:rPr>
            </w:pPr>
            <w:r>
              <w:rPr>
                <w:b/>
                <w:bCs/>
                <w:sz w:val="24"/>
              </w:rPr>
              <w:t>5、项目原辅材料及资源、能源消耗</w:t>
            </w:r>
          </w:p>
          <w:p w14:paraId="655D4A68">
            <w:pPr>
              <w:adjustRightInd w:val="0"/>
              <w:snapToGrid w:val="0"/>
              <w:spacing w:line="360" w:lineRule="auto"/>
              <w:ind w:firstLine="480" w:firstLineChars="200"/>
              <w:rPr>
                <w:sz w:val="24"/>
              </w:rPr>
            </w:pPr>
            <w:r>
              <w:rPr>
                <w:sz w:val="24"/>
              </w:rPr>
              <w:t>项目主要原辅材料及资源、能源消耗见下表。</w:t>
            </w:r>
          </w:p>
          <w:p w14:paraId="46FC5A63">
            <w:pPr>
              <w:pStyle w:val="52"/>
              <w:numPr>
                <w:ilvl w:val="0"/>
                <w:numId w:val="1"/>
              </w:numPr>
              <w:spacing w:line="360" w:lineRule="auto"/>
              <w:ind w:left="419" w:hanging="130"/>
              <w:rPr>
                <w:rFonts w:cs="Times New Roman"/>
              </w:rPr>
            </w:pPr>
            <w:r>
              <w:rPr>
                <w:rFonts w:cs="Times New Roman"/>
              </w:rPr>
              <w:t>项目原辅材料及资源、能源消耗一览表</w:t>
            </w:r>
          </w:p>
          <w:tbl>
            <w:tblPr>
              <w:tblStyle w:val="75"/>
              <w:tblW w:w="499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92"/>
              <w:gridCol w:w="727"/>
              <w:gridCol w:w="767"/>
              <w:gridCol w:w="1283"/>
              <w:gridCol w:w="923"/>
              <w:gridCol w:w="918"/>
              <w:gridCol w:w="717"/>
              <w:gridCol w:w="762"/>
              <w:gridCol w:w="765"/>
              <w:gridCol w:w="865"/>
            </w:tblGrid>
            <w:tr w14:paraId="1390C8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vAlign w:val="center"/>
                </w:tcPr>
                <w:p w14:paraId="4E7B7E6A">
                  <w:pPr>
                    <w:adjustRightInd w:val="0"/>
                    <w:snapToGrid w:val="0"/>
                    <w:jc w:val="center"/>
                    <w:rPr>
                      <w:rFonts w:ascii="Times New Roman" w:hAnsi="Times New Roman"/>
                      <w:b/>
                      <w:bCs/>
                      <w:sz w:val="18"/>
                      <w:szCs w:val="18"/>
                    </w:rPr>
                  </w:pPr>
                  <w:r>
                    <w:rPr>
                      <w:rFonts w:ascii="Times New Roman" w:hAnsi="Times New Roman"/>
                      <w:b/>
                      <w:bCs/>
                      <w:sz w:val="18"/>
                      <w:szCs w:val="18"/>
                    </w:rPr>
                    <w:t>序号</w:t>
                  </w:r>
                </w:p>
              </w:tc>
              <w:tc>
                <w:tcPr>
                  <w:tcW w:w="442" w:type="pct"/>
                  <w:vAlign w:val="center"/>
                </w:tcPr>
                <w:p w14:paraId="72AD8498">
                  <w:pPr>
                    <w:adjustRightInd w:val="0"/>
                    <w:snapToGrid w:val="0"/>
                    <w:jc w:val="center"/>
                    <w:rPr>
                      <w:rFonts w:ascii="Times New Roman" w:hAnsi="Times New Roman"/>
                      <w:b/>
                      <w:bCs/>
                      <w:sz w:val="18"/>
                      <w:szCs w:val="18"/>
                    </w:rPr>
                  </w:pPr>
                  <w:r>
                    <w:rPr>
                      <w:rFonts w:ascii="Times New Roman" w:hAnsi="Times New Roman"/>
                      <w:b/>
                      <w:bCs/>
                      <w:sz w:val="18"/>
                      <w:szCs w:val="18"/>
                    </w:rPr>
                    <w:t>主要生产单元</w:t>
                  </w:r>
                </w:p>
              </w:tc>
              <w:tc>
                <w:tcPr>
                  <w:tcW w:w="466" w:type="pct"/>
                  <w:vAlign w:val="center"/>
                </w:tcPr>
                <w:p w14:paraId="05C49E21">
                  <w:pPr>
                    <w:adjustRightInd w:val="0"/>
                    <w:snapToGrid w:val="0"/>
                    <w:jc w:val="center"/>
                    <w:rPr>
                      <w:rFonts w:ascii="Times New Roman" w:hAnsi="Times New Roman"/>
                      <w:b/>
                      <w:bCs/>
                      <w:sz w:val="18"/>
                      <w:szCs w:val="18"/>
                    </w:rPr>
                  </w:pPr>
                  <w:r>
                    <w:rPr>
                      <w:rFonts w:ascii="Times New Roman" w:hAnsi="Times New Roman"/>
                      <w:b/>
                      <w:bCs/>
                      <w:sz w:val="18"/>
                      <w:szCs w:val="18"/>
                    </w:rPr>
                    <w:t>种类</w:t>
                  </w:r>
                </w:p>
              </w:tc>
              <w:tc>
                <w:tcPr>
                  <w:tcW w:w="780" w:type="pct"/>
                  <w:vAlign w:val="center"/>
                </w:tcPr>
                <w:p w14:paraId="62F30279">
                  <w:pPr>
                    <w:adjustRightInd w:val="0"/>
                    <w:snapToGrid w:val="0"/>
                    <w:jc w:val="center"/>
                    <w:rPr>
                      <w:rFonts w:ascii="Times New Roman" w:hAnsi="Times New Roman"/>
                      <w:b/>
                      <w:bCs/>
                      <w:sz w:val="18"/>
                      <w:szCs w:val="18"/>
                    </w:rPr>
                  </w:pPr>
                  <w:r>
                    <w:rPr>
                      <w:rFonts w:ascii="Times New Roman" w:hAnsi="Times New Roman"/>
                      <w:b/>
                      <w:bCs/>
                      <w:sz w:val="18"/>
                      <w:szCs w:val="18"/>
                    </w:rPr>
                    <w:t>名称</w:t>
                  </w:r>
                </w:p>
              </w:tc>
              <w:tc>
                <w:tcPr>
                  <w:tcW w:w="561" w:type="pct"/>
                  <w:vAlign w:val="center"/>
                </w:tcPr>
                <w:p w14:paraId="1FB2B56C">
                  <w:pPr>
                    <w:adjustRightInd w:val="0"/>
                    <w:snapToGrid w:val="0"/>
                    <w:jc w:val="center"/>
                    <w:rPr>
                      <w:rFonts w:hint="default" w:ascii="Times New Roman" w:hAnsi="Times New Roman" w:eastAsia="宋体"/>
                      <w:b/>
                      <w:bCs/>
                      <w:sz w:val="18"/>
                      <w:szCs w:val="18"/>
                      <w:lang w:val="en-US" w:eastAsia="zh-CN"/>
                    </w:rPr>
                  </w:pPr>
                  <w:r>
                    <w:rPr>
                      <w:rFonts w:ascii="Times New Roman" w:hAnsi="Times New Roman"/>
                      <w:b/>
                      <w:bCs/>
                      <w:sz w:val="18"/>
                      <w:szCs w:val="18"/>
                    </w:rPr>
                    <w:t>设计年最大使用量</w:t>
                  </w:r>
                  <w:r>
                    <w:rPr>
                      <w:rFonts w:hint="eastAsia"/>
                      <w:b/>
                      <w:bCs/>
                      <w:sz w:val="18"/>
                      <w:szCs w:val="18"/>
                      <w:lang w:val="en-US" w:eastAsia="zh-CN"/>
                    </w:rPr>
                    <w:t>(t)</w:t>
                  </w:r>
                </w:p>
              </w:tc>
              <w:tc>
                <w:tcPr>
                  <w:tcW w:w="558" w:type="pct"/>
                  <w:vAlign w:val="center"/>
                </w:tcPr>
                <w:p w14:paraId="25E6C56E">
                  <w:pPr>
                    <w:adjustRightInd w:val="0"/>
                    <w:snapToGrid w:val="0"/>
                    <w:jc w:val="center"/>
                    <w:rPr>
                      <w:rFonts w:ascii="Times New Roman" w:hAnsi="Times New Roman"/>
                      <w:b/>
                      <w:bCs/>
                      <w:sz w:val="18"/>
                      <w:szCs w:val="18"/>
                    </w:rPr>
                  </w:pPr>
                  <w:r>
                    <w:rPr>
                      <w:rFonts w:ascii="Times New Roman" w:hAnsi="Times New Roman"/>
                      <w:b/>
                      <w:bCs/>
                      <w:sz w:val="18"/>
                      <w:szCs w:val="18"/>
                    </w:rPr>
                    <w:t>包装方式</w:t>
                  </w:r>
                </w:p>
              </w:tc>
              <w:tc>
                <w:tcPr>
                  <w:tcW w:w="436" w:type="pct"/>
                  <w:vAlign w:val="center"/>
                </w:tcPr>
                <w:p w14:paraId="2130D498">
                  <w:pPr>
                    <w:adjustRightInd w:val="0"/>
                    <w:snapToGrid w:val="0"/>
                    <w:jc w:val="center"/>
                    <w:rPr>
                      <w:rFonts w:ascii="Times New Roman" w:hAnsi="Times New Roman"/>
                      <w:b/>
                      <w:bCs/>
                      <w:sz w:val="18"/>
                      <w:szCs w:val="18"/>
                    </w:rPr>
                  </w:pPr>
                  <w:r>
                    <w:rPr>
                      <w:rFonts w:ascii="Times New Roman" w:hAnsi="Times New Roman"/>
                      <w:b/>
                      <w:bCs/>
                      <w:sz w:val="18"/>
                      <w:szCs w:val="18"/>
                    </w:rPr>
                    <w:t>计量单位</w:t>
                  </w:r>
                </w:p>
              </w:tc>
              <w:tc>
                <w:tcPr>
                  <w:tcW w:w="463" w:type="pct"/>
                  <w:vAlign w:val="center"/>
                </w:tcPr>
                <w:p w14:paraId="69589792">
                  <w:pPr>
                    <w:adjustRightInd w:val="0"/>
                    <w:snapToGrid w:val="0"/>
                    <w:jc w:val="center"/>
                    <w:rPr>
                      <w:rFonts w:ascii="Times New Roman" w:hAnsi="Times New Roman"/>
                      <w:b/>
                      <w:bCs/>
                      <w:sz w:val="18"/>
                      <w:szCs w:val="18"/>
                    </w:rPr>
                  </w:pPr>
                  <w:r>
                    <w:rPr>
                      <w:rFonts w:ascii="Times New Roman" w:hAnsi="Times New Roman"/>
                      <w:b/>
                      <w:bCs/>
                      <w:sz w:val="18"/>
                      <w:szCs w:val="18"/>
                    </w:rPr>
                    <w:t>最大储存量t/a</w:t>
                  </w:r>
                </w:p>
              </w:tc>
              <w:tc>
                <w:tcPr>
                  <w:tcW w:w="465" w:type="pct"/>
                  <w:vAlign w:val="center"/>
                </w:tcPr>
                <w:p w14:paraId="06BB9967">
                  <w:pPr>
                    <w:adjustRightInd w:val="0"/>
                    <w:snapToGrid w:val="0"/>
                    <w:jc w:val="center"/>
                    <w:rPr>
                      <w:rFonts w:ascii="Times New Roman" w:hAnsi="Times New Roman"/>
                      <w:b/>
                      <w:bCs/>
                      <w:sz w:val="18"/>
                      <w:szCs w:val="18"/>
                    </w:rPr>
                  </w:pPr>
                  <w:r>
                    <w:rPr>
                      <w:rFonts w:ascii="Times New Roman" w:hAnsi="Times New Roman"/>
                      <w:b/>
                      <w:bCs/>
                      <w:sz w:val="18"/>
                      <w:szCs w:val="18"/>
                    </w:rPr>
                    <w:t>有毒有害物质</w:t>
                  </w:r>
                </w:p>
              </w:tc>
              <w:tc>
                <w:tcPr>
                  <w:tcW w:w="526" w:type="pct"/>
                  <w:vAlign w:val="center"/>
                </w:tcPr>
                <w:p w14:paraId="65F8C454">
                  <w:pPr>
                    <w:adjustRightInd w:val="0"/>
                    <w:snapToGrid w:val="0"/>
                    <w:jc w:val="center"/>
                    <w:rPr>
                      <w:rFonts w:ascii="Times New Roman" w:hAnsi="Times New Roman"/>
                      <w:b/>
                      <w:bCs/>
                      <w:sz w:val="18"/>
                      <w:szCs w:val="18"/>
                    </w:rPr>
                  </w:pPr>
                  <w:r>
                    <w:rPr>
                      <w:rFonts w:ascii="Times New Roman" w:hAnsi="Times New Roman"/>
                      <w:b/>
                      <w:bCs/>
                      <w:sz w:val="18"/>
                      <w:szCs w:val="18"/>
                    </w:rPr>
                    <w:t>成分占比（%）</w:t>
                  </w:r>
                </w:p>
              </w:tc>
            </w:tr>
            <w:tr w14:paraId="486326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vAlign w:val="center"/>
                </w:tcPr>
                <w:p w14:paraId="3464AA87">
                  <w:pPr>
                    <w:adjustRightInd w:val="0"/>
                    <w:snapToGrid w:val="0"/>
                    <w:jc w:val="center"/>
                    <w:rPr>
                      <w:rFonts w:ascii="Times New Roman" w:hAnsi="Times New Roman"/>
                      <w:sz w:val="18"/>
                      <w:szCs w:val="18"/>
                    </w:rPr>
                  </w:pPr>
                  <w:r>
                    <w:rPr>
                      <w:rFonts w:ascii="Times New Roman" w:hAnsi="Times New Roman"/>
                      <w:sz w:val="18"/>
                      <w:szCs w:val="18"/>
                    </w:rPr>
                    <w:t>1</w:t>
                  </w:r>
                </w:p>
              </w:tc>
              <w:tc>
                <w:tcPr>
                  <w:tcW w:w="442" w:type="pct"/>
                  <w:vAlign w:val="center"/>
                </w:tcPr>
                <w:p w14:paraId="14EEBCBC">
                  <w:pPr>
                    <w:adjustRightInd w:val="0"/>
                    <w:snapToGrid w:val="0"/>
                    <w:jc w:val="center"/>
                    <w:rPr>
                      <w:rFonts w:ascii="Times New Roman" w:hAnsi="Times New Roman"/>
                      <w:sz w:val="18"/>
                      <w:szCs w:val="18"/>
                    </w:rPr>
                  </w:pPr>
                  <w:r>
                    <w:rPr>
                      <w:rFonts w:ascii="Times New Roman" w:hAnsi="Times New Roman"/>
                      <w:sz w:val="18"/>
                      <w:szCs w:val="18"/>
                    </w:rPr>
                    <w:t>注塑</w:t>
                  </w:r>
                </w:p>
              </w:tc>
              <w:tc>
                <w:tcPr>
                  <w:tcW w:w="466" w:type="pct"/>
                  <w:vAlign w:val="center"/>
                </w:tcPr>
                <w:p w14:paraId="009FC27B">
                  <w:pPr>
                    <w:adjustRightInd w:val="0"/>
                    <w:snapToGrid w:val="0"/>
                    <w:jc w:val="center"/>
                    <w:rPr>
                      <w:rFonts w:ascii="Times New Roman" w:hAnsi="Times New Roman"/>
                      <w:sz w:val="18"/>
                      <w:szCs w:val="18"/>
                    </w:rPr>
                  </w:pPr>
                  <w:r>
                    <w:rPr>
                      <w:rFonts w:ascii="Times New Roman" w:hAnsi="Times New Roman"/>
                      <w:sz w:val="18"/>
                      <w:szCs w:val="18"/>
                    </w:rPr>
                    <w:t>原料</w:t>
                  </w:r>
                </w:p>
              </w:tc>
              <w:tc>
                <w:tcPr>
                  <w:tcW w:w="780" w:type="pct"/>
                  <w:vAlign w:val="center"/>
                </w:tcPr>
                <w:p w14:paraId="0BF4A741">
                  <w:pPr>
                    <w:jc w:val="center"/>
                    <w:rPr>
                      <w:rFonts w:ascii="Times New Roman" w:hAnsi="Times New Roman"/>
                      <w:sz w:val="18"/>
                      <w:szCs w:val="18"/>
                    </w:rPr>
                  </w:pPr>
                  <w:r>
                    <w:rPr>
                      <w:rFonts w:ascii="Times New Roman" w:hAnsi="Times New Roman"/>
                      <w:color w:val="000000"/>
                      <w:sz w:val="18"/>
                      <w:szCs w:val="18"/>
                    </w:rPr>
                    <w:t>塑料粒子（PP</w:t>
                  </w:r>
                  <w:r>
                    <w:rPr>
                      <w:rFonts w:hint="eastAsia" w:ascii="Times New Roman" w:hAnsi="Times New Roman"/>
                      <w:color w:val="000000"/>
                      <w:sz w:val="18"/>
                      <w:szCs w:val="18"/>
                    </w:rPr>
                    <w:t>、</w:t>
                  </w:r>
                  <w:r>
                    <w:rPr>
                      <w:rFonts w:ascii="Times New Roman" w:hAnsi="Times New Roman"/>
                      <w:color w:val="000000"/>
                      <w:sz w:val="18"/>
                      <w:szCs w:val="18"/>
                    </w:rPr>
                    <w:t>PA）</w:t>
                  </w:r>
                </w:p>
              </w:tc>
              <w:tc>
                <w:tcPr>
                  <w:tcW w:w="561" w:type="pct"/>
                  <w:vAlign w:val="center"/>
                </w:tcPr>
                <w:p w14:paraId="43C10F6D">
                  <w:pPr>
                    <w:jc w:val="center"/>
                    <w:rPr>
                      <w:rFonts w:ascii="Times New Roman" w:hAnsi="Times New Roman"/>
                      <w:sz w:val="18"/>
                      <w:szCs w:val="18"/>
                    </w:rPr>
                  </w:pPr>
                  <w:r>
                    <w:rPr>
                      <w:rFonts w:ascii="Times New Roman" w:hAnsi="Times New Roman"/>
                      <w:color w:val="000000"/>
                      <w:sz w:val="18"/>
                      <w:szCs w:val="18"/>
                    </w:rPr>
                    <w:t>180</w:t>
                  </w:r>
                </w:p>
              </w:tc>
              <w:tc>
                <w:tcPr>
                  <w:tcW w:w="558" w:type="pct"/>
                  <w:vAlign w:val="center"/>
                </w:tcPr>
                <w:p w14:paraId="6079B162">
                  <w:pPr>
                    <w:adjustRightInd w:val="0"/>
                    <w:snapToGrid w:val="0"/>
                    <w:jc w:val="center"/>
                    <w:rPr>
                      <w:rFonts w:ascii="Times New Roman" w:hAnsi="Times New Roman"/>
                      <w:sz w:val="18"/>
                      <w:szCs w:val="18"/>
                    </w:rPr>
                  </w:pPr>
                  <w:r>
                    <w:rPr>
                      <w:rFonts w:ascii="Times New Roman" w:hAnsi="Times New Roman"/>
                      <w:sz w:val="18"/>
                      <w:szCs w:val="18"/>
                    </w:rPr>
                    <w:t>25kg/袋装</w:t>
                  </w:r>
                </w:p>
              </w:tc>
              <w:tc>
                <w:tcPr>
                  <w:tcW w:w="436" w:type="pct"/>
                  <w:vAlign w:val="center"/>
                </w:tcPr>
                <w:p w14:paraId="3796EA99">
                  <w:pPr>
                    <w:jc w:val="center"/>
                    <w:rPr>
                      <w:rFonts w:ascii="Times New Roman" w:hAnsi="Times New Roman"/>
                      <w:sz w:val="18"/>
                      <w:szCs w:val="18"/>
                    </w:rPr>
                  </w:pPr>
                  <w:r>
                    <w:rPr>
                      <w:rFonts w:ascii="Times New Roman" w:hAnsi="Times New Roman"/>
                      <w:color w:val="000000"/>
                      <w:sz w:val="18"/>
                      <w:szCs w:val="18"/>
                    </w:rPr>
                    <w:t>t/a</w:t>
                  </w:r>
                </w:p>
              </w:tc>
              <w:tc>
                <w:tcPr>
                  <w:tcW w:w="463" w:type="pct"/>
                  <w:vAlign w:val="center"/>
                </w:tcPr>
                <w:p w14:paraId="33B2BBEF">
                  <w:pPr>
                    <w:adjustRightInd w:val="0"/>
                    <w:snapToGrid w:val="0"/>
                    <w:jc w:val="center"/>
                    <w:rPr>
                      <w:rFonts w:ascii="Times New Roman" w:hAnsi="Times New Roman"/>
                      <w:sz w:val="18"/>
                      <w:szCs w:val="18"/>
                    </w:rPr>
                  </w:pPr>
                  <w:r>
                    <w:rPr>
                      <w:rFonts w:ascii="Times New Roman" w:hAnsi="Times New Roman"/>
                      <w:sz w:val="18"/>
                      <w:szCs w:val="18"/>
                    </w:rPr>
                    <w:t>10</w:t>
                  </w:r>
                </w:p>
              </w:tc>
              <w:tc>
                <w:tcPr>
                  <w:tcW w:w="465" w:type="pct"/>
                  <w:vAlign w:val="center"/>
                </w:tcPr>
                <w:p w14:paraId="6AE09D2F">
                  <w:pPr>
                    <w:adjustRightInd w:val="0"/>
                    <w:snapToGrid w:val="0"/>
                    <w:jc w:val="center"/>
                    <w:rPr>
                      <w:rFonts w:ascii="Times New Roman" w:hAnsi="Times New Roman"/>
                      <w:sz w:val="18"/>
                      <w:szCs w:val="18"/>
                    </w:rPr>
                  </w:pPr>
                  <w:r>
                    <w:rPr>
                      <w:rFonts w:ascii="Times New Roman" w:hAnsi="Times New Roman"/>
                      <w:sz w:val="18"/>
                      <w:szCs w:val="18"/>
                    </w:rPr>
                    <w:t>/</w:t>
                  </w:r>
                </w:p>
              </w:tc>
              <w:tc>
                <w:tcPr>
                  <w:tcW w:w="526" w:type="pct"/>
                  <w:vAlign w:val="center"/>
                </w:tcPr>
                <w:p w14:paraId="45FAFA5A">
                  <w:pPr>
                    <w:adjustRightInd w:val="0"/>
                    <w:snapToGrid w:val="0"/>
                    <w:jc w:val="center"/>
                    <w:rPr>
                      <w:rFonts w:ascii="Times New Roman" w:hAnsi="Times New Roman"/>
                      <w:sz w:val="18"/>
                      <w:szCs w:val="18"/>
                    </w:rPr>
                  </w:pPr>
                  <w:r>
                    <w:rPr>
                      <w:rFonts w:ascii="Times New Roman" w:hAnsi="Times New Roman"/>
                      <w:sz w:val="18"/>
                      <w:szCs w:val="18"/>
                    </w:rPr>
                    <w:t>/</w:t>
                  </w:r>
                </w:p>
              </w:tc>
            </w:tr>
            <w:tr w14:paraId="78C82D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vAlign w:val="center"/>
                </w:tcPr>
                <w:p w14:paraId="3465FFE3">
                  <w:pPr>
                    <w:adjustRightInd w:val="0"/>
                    <w:snapToGrid w:val="0"/>
                    <w:jc w:val="center"/>
                    <w:rPr>
                      <w:rFonts w:ascii="Times New Roman" w:hAnsi="Times New Roman"/>
                      <w:sz w:val="18"/>
                      <w:szCs w:val="18"/>
                    </w:rPr>
                  </w:pPr>
                  <w:r>
                    <w:rPr>
                      <w:rFonts w:ascii="Times New Roman" w:hAnsi="Times New Roman"/>
                      <w:sz w:val="18"/>
                      <w:szCs w:val="18"/>
                    </w:rPr>
                    <w:t>2</w:t>
                  </w:r>
                </w:p>
              </w:tc>
              <w:tc>
                <w:tcPr>
                  <w:tcW w:w="442" w:type="pct"/>
                  <w:vAlign w:val="center"/>
                </w:tcPr>
                <w:p w14:paraId="48168950">
                  <w:pPr>
                    <w:adjustRightInd w:val="0"/>
                    <w:snapToGrid w:val="0"/>
                    <w:jc w:val="center"/>
                    <w:rPr>
                      <w:rFonts w:ascii="Times New Roman" w:hAnsi="Times New Roman"/>
                      <w:sz w:val="18"/>
                      <w:szCs w:val="18"/>
                    </w:rPr>
                  </w:pPr>
                  <w:r>
                    <w:rPr>
                      <w:rFonts w:ascii="Times New Roman" w:hAnsi="Times New Roman"/>
                      <w:sz w:val="18"/>
                      <w:szCs w:val="18"/>
                    </w:rPr>
                    <w:t>组装</w:t>
                  </w:r>
                </w:p>
              </w:tc>
              <w:tc>
                <w:tcPr>
                  <w:tcW w:w="466" w:type="pct"/>
                  <w:vAlign w:val="center"/>
                </w:tcPr>
                <w:p w14:paraId="15CE7A21">
                  <w:pPr>
                    <w:adjustRightInd w:val="0"/>
                    <w:snapToGrid w:val="0"/>
                    <w:jc w:val="center"/>
                    <w:rPr>
                      <w:rFonts w:ascii="Times New Roman" w:hAnsi="Times New Roman"/>
                      <w:sz w:val="18"/>
                      <w:szCs w:val="18"/>
                    </w:rPr>
                  </w:pPr>
                  <w:r>
                    <w:rPr>
                      <w:rFonts w:ascii="Times New Roman" w:hAnsi="Times New Roman"/>
                      <w:sz w:val="18"/>
                      <w:szCs w:val="18"/>
                    </w:rPr>
                    <w:t>原料</w:t>
                  </w:r>
                </w:p>
              </w:tc>
              <w:tc>
                <w:tcPr>
                  <w:tcW w:w="780" w:type="pct"/>
                  <w:vAlign w:val="center"/>
                </w:tcPr>
                <w:p w14:paraId="2D300B19">
                  <w:pPr>
                    <w:jc w:val="center"/>
                    <w:rPr>
                      <w:rFonts w:ascii="Times New Roman" w:hAnsi="Times New Roman"/>
                      <w:sz w:val="18"/>
                      <w:szCs w:val="18"/>
                    </w:rPr>
                  </w:pPr>
                  <w:r>
                    <w:rPr>
                      <w:rFonts w:ascii="Times New Roman" w:hAnsi="Times New Roman"/>
                      <w:sz w:val="18"/>
                      <w:szCs w:val="18"/>
                    </w:rPr>
                    <w:t>皮革</w:t>
                  </w:r>
                  <w:r>
                    <w:rPr>
                      <w:rFonts w:hint="eastAsia" w:ascii="Times New Roman" w:hAnsi="Times New Roman"/>
                      <w:sz w:val="18"/>
                      <w:szCs w:val="18"/>
                    </w:rPr>
                    <w:t>和针织布</w:t>
                  </w:r>
                </w:p>
              </w:tc>
              <w:tc>
                <w:tcPr>
                  <w:tcW w:w="561" w:type="pct"/>
                  <w:vAlign w:val="center"/>
                </w:tcPr>
                <w:p w14:paraId="27268005">
                  <w:pPr>
                    <w:jc w:val="center"/>
                    <w:rPr>
                      <w:rFonts w:hint="eastAsia" w:ascii="Times New Roman" w:hAnsi="Times New Roman"/>
                      <w:sz w:val="18"/>
                      <w:szCs w:val="18"/>
                    </w:rPr>
                  </w:pPr>
                  <w:r>
                    <w:rPr>
                      <w:rFonts w:hint="eastAsia" w:ascii="Times New Roman" w:hAnsi="Times New Roman"/>
                      <w:sz w:val="18"/>
                      <w:szCs w:val="18"/>
                    </w:rPr>
                    <w:t>8</w:t>
                  </w:r>
                </w:p>
              </w:tc>
              <w:tc>
                <w:tcPr>
                  <w:tcW w:w="558" w:type="pct"/>
                  <w:vAlign w:val="center"/>
                </w:tcPr>
                <w:p w14:paraId="0B0A13AA">
                  <w:pPr>
                    <w:adjustRightInd w:val="0"/>
                    <w:snapToGrid w:val="0"/>
                    <w:jc w:val="center"/>
                    <w:rPr>
                      <w:rFonts w:ascii="Times New Roman" w:hAnsi="Times New Roman"/>
                      <w:sz w:val="18"/>
                      <w:szCs w:val="18"/>
                    </w:rPr>
                  </w:pPr>
                  <w:r>
                    <w:rPr>
                      <w:rFonts w:ascii="Times New Roman" w:hAnsi="Times New Roman"/>
                      <w:sz w:val="18"/>
                      <w:szCs w:val="18"/>
                    </w:rPr>
                    <w:t>箱装</w:t>
                  </w:r>
                </w:p>
              </w:tc>
              <w:tc>
                <w:tcPr>
                  <w:tcW w:w="436" w:type="pct"/>
                  <w:vAlign w:val="center"/>
                </w:tcPr>
                <w:p w14:paraId="1CA11E0D">
                  <w:pPr>
                    <w:jc w:val="center"/>
                    <w:rPr>
                      <w:rFonts w:ascii="Times New Roman" w:hAnsi="Times New Roman"/>
                      <w:sz w:val="18"/>
                      <w:szCs w:val="18"/>
                    </w:rPr>
                  </w:pPr>
                  <w:r>
                    <w:rPr>
                      <w:rFonts w:hint="eastAsia" w:ascii="Times New Roman" w:hAnsi="Times New Roman"/>
                      <w:sz w:val="18"/>
                      <w:szCs w:val="18"/>
                    </w:rPr>
                    <w:t>万米</w:t>
                  </w:r>
                  <w:r>
                    <w:rPr>
                      <w:rFonts w:ascii="Times New Roman" w:hAnsi="Times New Roman"/>
                      <w:color w:val="000000"/>
                      <w:sz w:val="18"/>
                      <w:szCs w:val="18"/>
                    </w:rPr>
                    <w:t>/a</w:t>
                  </w:r>
                </w:p>
              </w:tc>
              <w:tc>
                <w:tcPr>
                  <w:tcW w:w="463" w:type="pct"/>
                  <w:vAlign w:val="center"/>
                </w:tcPr>
                <w:p w14:paraId="6C0AA286">
                  <w:pPr>
                    <w:adjustRightInd w:val="0"/>
                    <w:snapToGrid w:val="0"/>
                    <w:jc w:val="center"/>
                    <w:rPr>
                      <w:rFonts w:ascii="Times New Roman" w:hAnsi="Times New Roman"/>
                      <w:sz w:val="18"/>
                      <w:szCs w:val="18"/>
                    </w:rPr>
                  </w:pPr>
                  <w:r>
                    <w:rPr>
                      <w:rFonts w:ascii="Times New Roman" w:hAnsi="Times New Roman"/>
                      <w:sz w:val="18"/>
                      <w:szCs w:val="18"/>
                    </w:rPr>
                    <w:t>1</w:t>
                  </w:r>
                </w:p>
              </w:tc>
              <w:tc>
                <w:tcPr>
                  <w:tcW w:w="465" w:type="pct"/>
                  <w:vAlign w:val="center"/>
                </w:tcPr>
                <w:p w14:paraId="6F09EBA8">
                  <w:pPr>
                    <w:adjustRightInd w:val="0"/>
                    <w:snapToGrid w:val="0"/>
                    <w:jc w:val="center"/>
                    <w:rPr>
                      <w:rFonts w:ascii="Times New Roman" w:hAnsi="Times New Roman"/>
                      <w:sz w:val="18"/>
                      <w:szCs w:val="18"/>
                    </w:rPr>
                  </w:pPr>
                  <w:r>
                    <w:rPr>
                      <w:rFonts w:ascii="Times New Roman" w:hAnsi="Times New Roman"/>
                      <w:sz w:val="18"/>
                      <w:szCs w:val="18"/>
                    </w:rPr>
                    <w:t>/</w:t>
                  </w:r>
                </w:p>
              </w:tc>
              <w:tc>
                <w:tcPr>
                  <w:tcW w:w="526" w:type="pct"/>
                  <w:vAlign w:val="center"/>
                </w:tcPr>
                <w:p w14:paraId="6AA28B55">
                  <w:pPr>
                    <w:adjustRightInd w:val="0"/>
                    <w:snapToGrid w:val="0"/>
                    <w:jc w:val="center"/>
                    <w:rPr>
                      <w:rFonts w:ascii="Times New Roman" w:hAnsi="Times New Roman"/>
                      <w:sz w:val="18"/>
                      <w:szCs w:val="18"/>
                    </w:rPr>
                  </w:pPr>
                  <w:r>
                    <w:rPr>
                      <w:rFonts w:ascii="Times New Roman" w:hAnsi="Times New Roman"/>
                      <w:sz w:val="18"/>
                      <w:szCs w:val="18"/>
                    </w:rPr>
                    <w:t>/</w:t>
                  </w:r>
                </w:p>
              </w:tc>
            </w:tr>
            <w:tr w14:paraId="39810A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vAlign w:val="center"/>
                </w:tcPr>
                <w:p w14:paraId="3276DD2B">
                  <w:pPr>
                    <w:adjustRightInd w:val="0"/>
                    <w:snapToGrid w:val="0"/>
                    <w:jc w:val="center"/>
                    <w:rPr>
                      <w:rFonts w:ascii="Times New Roman" w:hAnsi="Times New Roman"/>
                      <w:sz w:val="18"/>
                      <w:szCs w:val="18"/>
                    </w:rPr>
                  </w:pPr>
                  <w:r>
                    <w:rPr>
                      <w:rFonts w:ascii="Times New Roman" w:hAnsi="Times New Roman"/>
                      <w:sz w:val="18"/>
                      <w:szCs w:val="18"/>
                    </w:rPr>
                    <w:t>3</w:t>
                  </w:r>
                </w:p>
              </w:tc>
              <w:tc>
                <w:tcPr>
                  <w:tcW w:w="442" w:type="pct"/>
                  <w:vAlign w:val="center"/>
                </w:tcPr>
                <w:p w14:paraId="150F8062">
                  <w:pPr>
                    <w:adjustRightInd w:val="0"/>
                    <w:snapToGrid w:val="0"/>
                    <w:jc w:val="center"/>
                    <w:rPr>
                      <w:rFonts w:ascii="Times New Roman" w:hAnsi="Times New Roman"/>
                      <w:sz w:val="18"/>
                      <w:szCs w:val="18"/>
                    </w:rPr>
                  </w:pPr>
                  <w:r>
                    <w:rPr>
                      <w:rFonts w:ascii="Times New Roman" w:hAnsi="Times New Roman"/>
                      <w:sz w:val="18"/>
                      <w:szCs w:val="18"/>
                    </w:rPr>
                    <w:t>组装</w:t>
                  </w:r>
                </w:p>
              </w:tc>
              <w:tc>
                <w:tcPr>
                  <w:tcW w:w="466" w:type="pct"/>
                  <w:vAlign w:val="center"/>
                </w:tcPr>
                <w:p w14:paraId="7FFE60D2">
                  <w:pPr>
                    <w:adjustRightInd w:val="0"/>
                    <w:snapToGrid w:val="0"/>
                    <w:jc w:val="center"/>
                    <w:rPr>
                      <w:rFonts w:ascii="Times New Roman" w:hAnsi="Times New Roman"/>
                      <w:sz w:val="18"/>
                      <w:szCs w:val="18"/>
                    </w:rPr>
                  </w:pPr>
                  <w:r>
                    <w:rPr>
                      <w:rFonts w:ascii="Times New Roman" w:hAnsi="Times New Roman"/>
                      <w:sz w:val="18"/>
                      <w:szCs w:val="18"/>
                    </w:rPr>
                    <w:t>原料</w:t>
                  </w:r>
                </w:p>
              </w:tc>
              <w:tc>
                <w:tcPr>
                  <w:tcW w:w="780" w:type="pct"/>
                  <w:vAlign w:val="center"/>
                </w:tcPr>
                <w:p w14:paraId="5CD55B90">
                  <w:pPr>
                    <w:jc w:val="center"/>
                    <w:rPr>
                      <w:rFonts w:ascii="Times New Roman" w:hAnsi="Times New Roman"/>
                      <w:sz w:val="18"/>
                      <w:szCs w:val="18"/>
                    </w:rPr>
                  </w:pPr>
                  <w:r>
                    <w:rPr>
                      <w:rFonts w:hint="eastAsia" w:ascii="Times New Roman" w:hAnsi="Times New Roman"/>
                      <w:sz w:val="18"/>
                      <w:szCs w:val="18"/>
                    </w:rPr>
                    <w:t>座椅</w:t>
                  </w:r>
                  <w:r>
                    <w:rPr>
                      <w:rFonts w:ascii="Times New Roman" w:hAnsi="Times New Roman"/>
                      <w:sz w:val="18"/>
                      <w:szCs w:val="18"/>
                    </w:rPr>
                    <w:t>配件</w:t>
                  </w:r>
                </w:p>
              </w:tc>
              <w:tc>
                <w:tcPr>
                  <w:tcW w:w="561" w:type="pct"/>
                  <w:vAlign w:val="center"/>
                </w:tcPr>
                <w:p w14:paraId="00268626">
                  <w:pPr>
                    <w:jc w:val="center"/>
                    <w:rPr>
                      <w:rFonts w:ascii="Times New Roman" w:hAnsi="Times New Roman"/>
                      <w:sz w:val="18"/>
                      <w:szCs w:val="18"/>
                    </w:rPr>
                  </w:pPr>
                  <w:r>
                    <w:rPr>
                      <w:rFonts w:ascii="Times New Roman" w:hAnsi="Times New Roman"/>
                      <w:sz w:val="18"/>
                      <w:szCs w:val="18"/>
                    </w:rPr>
                    <w:t>3</w:t>
                  </w:r>
                </w:p>
              </w:tc>
              <w:tc>
                <w:tcPr>
                  <w:tcW w:w="558" w:type="pct"/>
                  <w:vAlign w:val="center"/>
                </w:tcPr>
                <w:p w14:paraId="60F50352">
                  <w:pPr>
                    <w:adjustRightInd w:val="0"/>
                    <w:snapToGrid w:val="0"/>
                    <w:jc w:val="center"/>
                    <w:rPr>
                      <w:rFonts w:ascii="Times New Roman" w:hAnsi="Times New Roman"/>
                      <w:sz w:val="18"/>
                      <w:szCs w:val="18"/>
                    </w:rPr>
                  </w:pPr>
                  <w:r>
                    <w:rPr>
                      <w:rFonts w:ascii="Times New Roman" w:hAnsi="Times New Roman"/>
                      <w:sz w:val="18"/>
                      <w:szCs w:val="18"/>
                    </w:rPr>
                    <w:t>箱装</w:t>
                  </w:r>
                </w:p>
              </w:tc>
              <w:tc>
                <w:tcPr>
                  <w:tcW w:w="436" w:type="pct"/>
                  <w:vAlign w:val="center"/>
                </w:tcPr>
                <w:p w14:paraId="328D3E61">
                  <w:pPr>
                    <w:jc w:val="center"/>
                    <w:rPr>
                      <w:rFonts w:ascii="Times New Roman" w:hAnsi="Times New Roman"/>
                      <w:sz w:val="18"/>
                      <w:szCs w:val="18"/>
                    </w:rPr>
                  </w:pPr>
                  <w:r>
                    <w:rPr>
                      <w:rFonts w:hint="eastAsia" w:ascii="Times New Roman" w:hAnsi="Times New Roman"/>
                      <w:sz w:val="18"/>
                      <w:szCs w:val="18"/>
                    </w:rPr>
                    <w:t>万套</w:t>
                  </w:r>
                  <w:r>
                    <w:rPr>
                      <w:rFonts w:ascii="Times New Roman" w:hAnsi="Times New Roman"/>
                      <w:color w:val="000000"/>
                      <w:sz w:val="18"/>
                      <w:szCs w:val="18"/>
                    </w:rPr>
                    <w:t>/a</w:t>
                  </w:r>
                </w:p>
              </w:tc>
              <w:tc>
                <w:tcPr>
                  <w:tcW w:w="463" w:type="pct"/>
                  <w:vAlign w:val="center"/>
                </w:tcPr>
                <w:p w14:paraId="6F9ECC14">
                  <w:pPr>
                    <w:adjustRightInd w:val="0"/>
                    <w:snapToGrid w:val="0"/>
                    <w:jc w:val="center"/>
                    <w:rPr>
                      <w:rFonts w:ascii="Times New Roman" w:hAnsi="Times New Roman"/>
                      <w:sz w:val="18"/>
                      <w:szCs w:val="18"/>
                    </w:rPr>
                  </w:pPr>
                  <w:r>
                    <w:rPr>
                      <w:rFonts w:ascii="Times New Roman" w:hAnsi="Times New Roman"/>
                      <w:sz w:val="18"/>
                      <w:szCs w:val="18"/>
                    </w:rPr>
                    <w:t>0.5</w:t>
                  </w:r>
                </w:p>
              </w:tc>
              <w:tc>
                <w:tcPr>
                  <w:tcW w:w="465" w:type="pct"/>
                  <w:vAlign w:val="center"/>
                </w:tcPr>
                <w:p w14:paraId="3A0807FD">
                  <w:pPr>
                    <w:adjustRightInd w:val="0"/>
                    <w:snapToGrid w:val="0"/>
                    <w:jc w:val="center"/>
                    <w:rPr>
                      <w:rFonts w:ascii="Times New Roman" w:hAnsi="Times New Roman"/>
                      <w:sz w:val="18"/>
                      <w:szCs w:val="18"/>
                    </w:rPr>
                  </w:pPr>
                  <w:r>
                    <w:rPr>
                      <w:rFonts w:ascii="Times New Roman" w:hAnsi="Times New Roman"/>
                      <w:sz w:val="18"/>
                      <w:szCs w:val="18"/>
                    </w:rPr>
                    <w:t>/</w:t>
                  </w:r>
                </w:p>
              </w:tc>
              <w:tc>
                <w:tcPr>
                  <w:tcW w:w="526" w:type="pct"/>
                  <w:vAlign w:val="center"/>
                </w:tcPr>
                <w:p w14:paraId="61273DF7">
                  <w:pPr>
                    <w:adjustRightInd w:val="0"/>
                    <w:snapToGrid w:val="0"/>
                    <w:jc w:val="center"/>
                    <w:rPr>
                      <w:rFonts w:ascii="Times New Roman" w:hAnsi="Times New Roman"/>
                      <w:sz w:val="18"/>
                      <w:szCs w:val="18"/>
                    </w:rPr>
                  </w:pPr>
                  <w:r>
                    <w:rPr>
                      <w:rFonts w:ascii="Times New Roman" w:hAnsi="Times New Roman"/>
                      <w:sz w:val="18"/>
                      <w:szCs w:val="18"/>
                    </w:rPr>
                    <w:t>/</w:t>
                  </w:r>
                </w:p>
              </w:tc>
            </w:tr>
            <w:tr w14:paraId="67C480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vAlign w:val="center"/>
                </w:tcPr>
                <w:p w14:paraId="340C9AB7">
                  <w:pPr>
                    <w:adjustRightInd w:val="0"/>
                    <w:snapToGrid w:val="0"/>
                    <w:jc w:val="center"/>
                    <w:rPr>
                      <w:rFonts w:ascii="Times New Roman" w:hAnsi="Times New Roman"/>
                      <w:sz w:val="18"/>
                      <w:szCs w:val="18"/>
                    </w:rPr>
                  </w:pPr>
                  <w:r>
                    <w:rPr>
                      <w:rFonts w:ascii="Times New Roman" w:hAnsi="Times New Roman"/>
                      <w:sz w:val="18"/>
                      <w:szCs w:val="18"/>
                    </w:rPr>
                    <w:t>4</w:t>
                  </w:r>
                </w:p>
              </w:tc>
              <w:tc>
                <w:tcPr>
                  <w:tcW w:w="442" w:type="pct"/>
                  <w:vAlign w:val="center"/>
                </w:tcPr>
                <w:p w14:paraId="62982C41">
                  <w:pPr>
                    <w:adjustRightInd w:val="0"/>
                    <w:snapToGrid w:val="0"/>
                    <w:jc w:val="center"/>
                    <w:rPr>
                      <w:rFonts w:ascii="Times New Roman" w:hAnsi="Times New Roman"/>
                      <w:sz w:val="18"/>
                      <w:szCs w:val="18"/>
                    </w:rPr>
                  </w:pPr>
                  <w:r>
                    <w:rPr>
                      <w:rFonts w:ascii="Times New Roman" w:hAnsi="Times New Roman"/>
                      <w:sz w:val="18"/>
                      <w:szCs w:val="18"/>
                    </w:rPr>
                    <w:t>组装</w:t>
                  </w:r>
                </w:p>
              </w:tc>
              <w:tc>
                <w:tcPr>
                  <w:tcW w:w="466" w:type="pct"/>
                  <w:vAlign w:val="center"/>
                </w:tcPr>
                <w:p w14:paraId="02E6A849">
                  <w:pPr>
                    <w:adjustRightInd w:val="0"/>
                    <w:snapToGrid w:val="0"/>
                    <w:jc w:val="center"/>
                    <w:rPr>
                      <w:rFonts w:ascii="Times New Roman" w:hAnsi="Times New Roman"/>
                      <w:sz w:val="18"/>
                      <w:szCs w:val="18"/>
                    </w:rPr>
                  </w:pPr>
                  <w:r>
                    <w:rPr>
                      <w:rFonts w:ascii="Times New Roman" w:hAnsi="Times New Roman"/>
                      <w:sz w:val="18"/>
                      <w:szCs w:val="18"/>
                    </w:rPr>
                    <w:t>原料</w:t>
                  </w:r>
                </w:p>
              </w:tc>
              <w:tc>
                <w:tcPr>
                  <w:tcW w:w="780" w:type="pct"/>
                  <w:vAlign w:val="center"/>
                </w:tcPr>
                <w:p w14:paraId="65D2B6DC">
                  <w:pPr>
                    <w:jc w:val="center"/>
                    <w:rPr>
                      <w:rFonts w:ascii="Times New Roman" w:hAnsi="Times New Roman"/>
                      <w:sz w:val="18"/>
                      <w:szCs w:val="18"/>
                    </w:rPr>
                  </w:pPr>
                  <w:r>
                    <w:rPr>
                      <w:rFonts w:ascii="Times New Roman" w:hAnsi="Times New Roman"/>
                      <w:kern w:val="0"/>
                      <w:sz w:val="18"/>
                      <w:szCs w:val="18"/>
                    </w:rPr>
                    <w:t>金属</w:t>
                  </w:r>
                  <w:r>
                    <w:rPr>
                      <w:rFonts w:hint="eastAsia" w:ascii="Times New Roman" w:hAnsi="Times New Roman"/>
                      <w:kern w:val="0"/>
                      <w:sz w:val="18"/>
                      <w:szCs w:val="18"/>
                    </w:rPr>
                    <w:t>板或管</w:t>
                  </w:r>
                </w:p>
              </w:tc>
              <w:tc>
                <w:tcPr>
                  <w:tcW w:w="561" w:type="pct"/>
                  <w:vAlign w:val="center"/>
                </w:tcPr>
                <w:p w14:paraId="5FBDF48F">
                  <w:pPr>
                    <w:jc w:val="center"/>
                    <w:rPr>
                      <w:rFonts w:ascii="Times New Roman" w:hAnsi="Times New Roman"/>
                      <w:sz w:val="18"/>
                      <w:szCs w:val="18"/>
                    </w:rPr>
                  </w:pPr>
                  <w:r>
                    <w:rPr>
                      <w:rFonts w:ascii="Times New Roman" w:hAnsi="Times New Roman"/>
                      <w:sz w:val="18"/>
                      <w:szCs w:val="18"/>
                    </w:rPr>
                    <w:t>100</w:t>
                  </w:r>
                </w:p>
              </w:tc>
              <w:tc>
                <w:tcPr>
                  <w:tcW w:w="558" w:type="pct"/>
                  <w:vAlign w:val="center"/>
                </w:tcPr>
                <w:p w14:paraId="155BEC3E">
                  <w:pPr>
                    <w:adjustRightInd w:val="0"/>
                    <w:snapToGrid w:val="0"/>
                    <w:jc w:val="center"/>
                    <w:rPr>
                      <w:rFonts w:ascii="Times New Roman" w:hAnsi="Times New Roman"/>
                      <w:sz w:val="18"/>
                      <w:szCs w:val="18"/>
                    </w:rPr>
                  </w:pPr>
                  <w:r>
                    <w:rPr>
                      <w:rFonts w:hint="eastAsia" w:ascii="Times New Roman" w:hAnsi="Times New Roman"/>
                      <w:sz w:val="18"/>
                      <w:szCs w:val="18"/>
                    </w:rPr>
                    <w:t>/</w:t>
                  </w:r>
                </w:p>
              </w:tc>
              <w:tc>
                <w:tcPr>
                  <w:tcW w:w="436" w:type="pct"/>
                  <w:vAlign w:val="center"/>
                </w:tcPr>
                <w:p w14:paraId="0282B548">
                  <w:pPr>
                    <w:jc w:val="center"/>
                    <w:rPr>
                      <w:rFonts w:ascii="Times New Roman" w:hAnsi="Times New Roman"/>
                      <w:color w:val="000000"/>
                      <w:sz w:val="18"/>
                      <w:szCs w:val="18"/>
                    </w:rPr>
                  </w:pPr>
                  <w:r>
                    <w:rPr>
                      <w:rFonts w:ascii="Times New Roman" w:hAnsi="Times New Roman"/>
                      <w:color w:val="000000"/>
                      <w:sz w:val="18"/>
                      <w:szCs w:val="18"/>
                    </w:rPr>
                    <w:t>t/a</w:t>
                  </w:r>
                </w:p>
              </w:tc>
              <w:tc>
                <w:tcPr>
                  <w:tcW w:w="463" w:type="pct"/>
                  <w:vAlign w:val="center"/>
                </w:tcPr>
                <w:p w14:paraId="6B714BD1">
                  <w:pPr>
                    <w:adjustRightInd w:val="0"/>
                    <w:snapToGrid w:val="0"/>
                    <w:jc w:val="center"/>
                    <w:rPr>
                      <w:rFonts w:ascii="Times New Roman" w:hAnsi="Times New Roman"/>
                      <w:sz w:val="18"/>
                      <w:szCs w:val="18"/>
                    </w:rPr>
                  </w:pPr>
                  <w:r>
                    <w:rPr>
                      <w:rFonts w:ascii="Times New Roman" w:hAnsi="Times New Roman"/>
                      <w:sz w:val="18"/>
                      <w:szCs w:val="18"/>
                    </w:rPr>
                    <w:t>10</w:t>
                  </w:r>
                </w:p>
              </w:tc>
              <w:tc>
                <w:tcPr>
                  <w:tcW w:w="465" w:type="pct"/>
                  <w:vAlign w:val="center"/>
                </w:tcPr>
                <w:p w14:paraId="747687C3">
                  <w:pPr>
                    <w:adjustRightInd w:val="0"/>
                    <w:snapToGrid w:val="0"/>
                    <w:jc w:val="center"/>
                    <w:rPr>
                      <w:rFonts w:ascii="Times New Roman" w:hAnsi="Times New Roman"/>
                      <w:sz w:val="18"/>
                      <w:szCs w:val="18"/>
                    </w:rPr>
                  </w:pPr>
                  <w:r>
                    <w:rPr>
                      <w:rFonts w:ascii="Times New Roman" w:hAnsi="Times New Roman"/>
                      <w:sz w:val="18"/>
                      <w:szCs w:val="18"/>
                    </w:rPr>
                    <w:t>/</w:t>
                  </w:r>
                </w:p>
              </w:tc>
              <w:tc>
                <w:tcPr>
                  <w:tcW w:w="526" w:type="pct"/>
                  <w:vAlign w:val="center"/>
                </w:tcPr>
                <w:p w14:paraId="024337E8">
                  <w:pPr>
                    <w:adjustRightInd w:val="0"/>
                    <w:snapToGrid w:val="0"/>
                    <w:jc w:val="center"/>
                    <w:rPr>
                      <w:rFonts w:ascii="Times New Roman" w:hAnsi="Times New Roman"/>
                      <w:sz w:val="18"/>
                      <w:szCs w:val="18"/>
                    </w:rPr>
                  </w:pPr>
                  <w:r>
                    <w:rPr>
                      <w:rFonts w:ascii="Times New Roman" w:hAnsi="Times New Roman"/>
                      <w:sz w:val="18"/>
                      <w:szCs w:val="18"/>
                    </w:rPr>
                    <w:t>/</w:t>
                  </w:r>
                </w:p>
              </w:tc>
            </w:tr>
            <w:tr w14:paraId="249DCA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vMerge w:val="restart"/>
                  <w:vAlign w:val="center"/>
                </w:tcPr>
                <w:p w14:paraId="24E661AE">
                  <w:pPr>
                    <w:adjustRightInd w:val="0"/>
                    <w:snapToGrid w:val="0"/>
                    <w:jc w:val="center"/>
                    <w:rPr>
                      <w:rFonts w:hint="eastAsia" w:ascii="Times New Roman" w:hAnsi="Times New Roman" w:eastAsia="宋体"/>
                      <w:sz w:val="18"/>
                      <w:szCs w:val="18"/>
                      <w:lang w:eastAsia="zh-CN"/>
                    </w:rPr>
                  </w:pPr>
                  <w:r>
                    <w:rPr>
                      <w:rFonts w:hint="eastAsia"/>
                      <w:sz w:val="18"/>
                      <w:szCs w:val="18"/>
                      <w:lang w:val="en-US" w:eastAsia="zh-CN"/>
                    </w:rPr>
                    <w:t>5</w:t>
                  </w:r>
                </w:p>
              </w:tc>
              <w:tc>
                <w:tcPr>
                  <w:tcW w:w="442" w:type="pct"/>
                  <w:vMerge w:val="restart"/>
                  <w:vAlign w:val="center"/>
                </w:tcPr>
                <w:p w14:paraId="353E038A">
                  <w:pPr>
                    <w:adjustRightInd w:val="0"/>
                    <w:snapToGrid w:val="0"/>
                    <w:jc w:val="center"/>
                    <w:rPr>
                      <w:rFonts w:ascii="Times New Roman" w:hAnsi="Times New Roman"/>
                      <w:sz w:val="18"/>
                      <w:szCs w:val="18"/>
                    </w:rPr>
                  </w:pPr>
                  <w:r>
                    <w:rPr>
                      <w:rFonts w:ascii="Times New Roman" w:hAnsi="Times New Roman"/>
                      <w:sz w:val="18"/>
                      <w:szCs w:val="18"/>
                    </w:rPr>
                    <w:t>能源</w:t>
                  </w:r>
                </w:p>
              </w:tc>
              <w:tc>
                <w:tcPr>
                  <w:tcW w:w="1246" w:type="pct"/>
                  <w:gridSpan w:val="2"/>
                  <w:vAlign w:val="center"/>
                </w:tcPr>
                <w:p w14:paraId="271A88DF">
                  <w:pPr>
                    <w:adjustRightInd w:val="0"/>
                    <w:snapToGrid w:val="0"/>
                    <w:jc w:val="center"/>
                    <w:rPr>
                      <w:rFonts w:ascii="Times New Roman" w:hAnsi="Times New Roman"/>
                      <w:sz w:val="18"/>
                      <w:szCs w:val="18"/>
                    </w:rPr>
                  </w:pPr>
                  <w:r>
                    <w:rPr>
                      <w:rFonts w:ascii="Times New Roman" w:hAnsi="Times New Roman"/>
                      <w:sz w:val="18"/>
                      <w:szCs w:val="18"/>
                    </w:rPr>
                    <w:t>水</w:t>
                  </w:r>
                </w:p>
              </w:tc>
              <w:tc>
                <w:tcPr>
                  <w:tcW w:w="561" w:type="pct"/>
                  <w:vAlign w:val="center"/>
                </w:tcPr>
                <w:p w14:paraId="40018E48">
                  <w:pPr>
                    <w:adjustRightInd w:val="0"/>
                    <w:snapToGrid w:val="0"/>
                    <w:jc w:val="center"/>
                    <w:rPr>
                      <w:rFonts w:ascii="Times New Roman" w:hAnsi="Times New Roman"/>
                      <w:sz w:val="18"/>
                      <w:szCs w:val="18"/>
                    </w:rPr>
                  </w:pPr>
                  <w:r>
                    <w:rPr>
                      <w:rFonts w:ascii="Times New Roman" w:hAnsi="Times New Roman"/>
                      <w:sz w:val="18"/>
                      <w:szCs w:val="18"/>
                    </w:rPr>
                    <w:t>600</w:t>
                  </w:r>
                </w:p>
              </w:tc>
              <w:tc>
                <w:tcPr>
                  <w:tcW w:w="558" w:type="pct"/>
                  <w:vAlign w:val="center"/>
                </w:tcPr>
                <w:p w14:paraId="16BC2DA3">
                  <w:pPr>
                    <w:adjustRightInd w:val="0"/>
                    <w:snapToGrid w:val="0"/>
                    <w:jc w:val="center"/>
                    <w:rPr>
                      <w:rFonts w:ascii="Times New Roman" w:hAnsi="Times New Roman"/>
                      <w:sz w:val="18"/>
                      <w:szCs w:val="18"/>
                    </w:rPr>
                  </w:pPr>
                  <w:r>
                    <w:rPr>
                      <w:rFonts w:ascii="Times New Roman" w:hAnsi="Times New Roman"/>
                      <w:sz w:val="18"/>
                      <w:szCs w:val="18"/>
                    </w:rPr>
                    <w:t>/</w:t>
                  </w:r>
                </w:p>
              </w:tc>
              <w:tc>
                <w:tcPr>
                  <w:tcW w:w="436" w:type="pct"/>
                  <w:vAlign w:val="center"/>
                </w:tcPr>
                <w:p w14:paraId="4C2F72A6">
                  <w:pPr>
                    <w:adjustRightInd w:val="0"/>
                    <w:snapToGrid w:val="0"/>
                    <w:jc w:val="center"/>
                    <w:rPr>
                      <w:rFonts w:ascii="Times New Roman" w:hAnsi="Times New Roman"/>
                      <w:sz w:val="18"/>
                      <w:szCs w:val="18"/>
                    </w:rPr>
                  </w:pPr>
                  <w:r>
                    <w:rPr>
                      <w:rFonts w:ascii="Times New Roman" w:hAnsi="Times New Roman"/>
                      <w:sz w:val="18"/>
                      <w:szCs w:val="18"/>
                    </w:rPr>
                    <w:t>m</w:t>
                  </w:r>
                  <w:r>
                    <w:rPr>
                      <w:rFonts w:ascii="Times New Roman" w:hAnsi="Times New Roman"/>
                      <w:sz w:val="18"/>
                      <w:szCs w:val="18"/>
                      <w:vertAlign w:val="superscript"/>
                    </w:rPr>
                    <w:t>3</w:t>
                  </w:r>
                  <w:r>
                    <w:rPr>
                      <w:rFonts w:ascii="Times New Roman" w:hAnsi="Times New Roman"/>
                      <w:sz w:val="18"/>
                      <w:szCs w:val="18"/>
                    </w:rPr>
                    <w:t>/a</w:t>
                  </w:r>
                </w:p>
              </w:tc>
              <w:tc>
                <w:tcPr>
                  <w:tcW w:w="463" w:type="pct"/>
                  <w:vAlign w:val="center"/>
                </w:tcPr>
                <w:p w14:paraId="534E1921">
                  <w:pPr>
                    <w:adjustRightInd w:val="0"/>
                    <w:snapToGrid w:val="0"/>
                    <w:jc w:val="center"/>
                    <w:rPr>
                      <w:rFonts w:ascii="Times New Roman" w:hAnsi="Times New Roman"/>
                      <w:sz w:val="18"/>
                      <w:szCs w:val="18"/>
                    </w:rPr>
                  </w:pPr>
                  <w:r>
                    <w:rPr>
                      <w:rFonts w:ascii="Times New Roman" w:hAnsi="Times New Roman"/>
                      <w:sz w:val="18"/>
                      <w:szCs w:val="18"/>
                    </w:rPr>
                    <w:t>/</w:t>
                  </w:r>
                </w:p>
              </w:tc>
              <w:tc>
                <w:tcPr>
                  <w:tcW w:w="465" w:type="pct"/>
                  <w:vAlign w:val="center"/>
                </w:tcPr>
                <w:p w14:paraId="7626E41F">
                  <w:pPr>
                    <w:adjustRightInd w:val="0"/>
                    <w:snapToGrid w:val="0"/>
                    <w:jc w:val="center"/>
                    <w:rPr>
                      <w:rFonts w:ascii="Times New Roman" w:hAnsi="Times New Roman"/>
                      <w:sz w:val="18"/>
                      <w:szCs w:val="18"/>
                    </w:rPr>
                  </w:pPr>
                  <w:r>
                    <w:rPr>
                      <w:rFonts w:ascii="Times New Roman" w:hAnsi="Times New Roman"/>
                      <w:sz w:val="18"/>
                      <w:szCs w:val="18"/>
                    </w:rPr>
                    <w:t>/</w:t>
                  </w:r>
                </w:p>
              </w:tc>
              <w:tc>
                <w:tcPr>
                  <w:tcW w:w="526" w:type="pct"/>
                  <w:vAlign w:val="center"/>
                </w:tcPr>
                <w:p w14:paraId="4D0A70FF">
                  <w:pPr>
                    <w:adjustRightInd w:val="0"/>
                    <w:snapToGrid w:val="0"/>
                    <w:jc w:val="center"/>
                    <w:rPr>
                      <w:rFonts w:ascii="Times New Roman" w:hAnsi="Times New Roman"/>
                      <w:sz w:val="18"/>
                      <w:szCs w:val="18"/>
                    </w:rPr>
                  </w:pPr>
                  <w:r>
                    <w:rPr>
                      <w:rFonts w:ascii="Times New Roman" w:hAnsi="Times New Roman"/>
                      <w:sz w:val="18"/>
                      <w:szCs w:val="18"/>
                    </w:rPr>
                    <w:t>/</w:t>
                  </w:r>
                </w:p>
              </w:tc>
            </w:tr>
            <w:tr w14:paraId="70C253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vMerge w:val="continue"/>
                  <w:vAlign w:val="center"/>
                </w:tcPr>
                <w:p w14:paraId="5474C867">
                  <w:pPr>
                    <w:adjustRightInd w:val="0"/>
                    <w:snapToGrid w:val="0"/>
                    <w:jc w:val="center"/>
                    <w:rPr>
                      <w:rFonts w:ascii="Times New Roman" w:hAnsi="Times New Roman"/>
                      <w:sz w:val="18"/>
                      <w:szCs w:val="18"/>
                    </w:rPr>
                  </w:pPr>
                </w:p>
              </w:tc>
              <w:tc>
                <w:tcPr>
                  <w:tcW w:w="442" w:type="pct"/>
                  <w:vMerge w:val="continue"/>
                  <w:vAlign w:val="center"/>
                </w:tcPr>
                <w:p w14:paraId="1F38FFCC">
                  <w:pPr>
                    <w:adjustRightInd w:val="0"/>
                    <w:snapToGrid w:val="0"/>
                    <w:jc w:val="center"/>
                    <w:rPr>
                      <w:rFonts w:ascii="Times New Roman" w:hAnsi="Times New Roman"/>
                      <w:sz w:val="18"/>
                      <w:szCs w:val="18"/>
                    </w:rPr>
                  </w:pPr>
                </w:p>
              </w:tc>
              <w:tc>
                <w:tcPr>
                  <w:tcW w:w="1246" w:type="pct"/>
                  <w:gridSpan w:val="2"/>
                  <w:vAlign w:val="center"/>
                </w:tcPr>
                <w:p w14:paraId="68B9E98F">
                  <w:pPr>
                    <w:adjustRightInd w:val="0"/>
                    <w:snapToGrid w:val="0"/>
                    <w:jc w:val="center"/>
                    <w:rPr>
                      <w:rFonts w:ascii="Times New Roman" w:hAnsi="Times New Roman"/>
                      <w:sz w:val="18"/>
                      <w:szCs w:val="18"/>
                    </w:rPr>
                  </w:pPr>
                  <w:r>
                    <w:rPr>
                      <w:rFonts w:ascii="Times New Roman" w:hAnsi="Times New Roman"/>
                      <w:sz w:val="18"/>
                      <w:szCs w:val="18"/>
                    </w:rPr>
                    <w:t>电</w:t>
                  </w:r>
                </w:p>
              </w:tc>
              <w:tc>
                <w:tcPr>
                  <w:tcW w:w="561" w:type="pct"/>
                  <w:vAlign w:val="center"/>
                </w:tcPr>
                <w:p w14:paraId="3F41F27C">
                  <w:pPr>
                    <w:adjustRightInd w:val="0"/>
                    <w:snapToGrid w:val="0"/>
                    <w:jc w:val="center"/>
                    <w:rPr>
                      <w:rFonts w:ascii="Times New Roman" w:hAnsi="Times New Roman"/>
                      <w:sz w:val="18"/>
                      <w:szCs w:val="18"/>
                    </w:rPr>
                  </w:pPr>
                  <w:r>
                    <w:rPr>
                      <w:rFonts w:ascii="Times New Roman" w:hAnsi="Times New Roman"/>
                      <w:sz w:val="18"/>
                      <w:szCs w:val="18"/>
                    </w:rPr>
                    <w:t>40</w:t>
                  </w:r>
                </w:p>
              </w:tc>
              <w:tc>
                <w:tcPr>
                  <w:tcW w:w="558" w:type="pct"/>
                  <w:vAlign w:val="center"/>
                </w:tcPr>
                <w:p w14:paraId="60004939">
                  <w:pPr>
                    <w:adjustRightInd w:val="0"/>
                    <w:snapToGrid w:val="0"/>
                    <w:jc w:val="center"/>
                    <w:rPr>
                      <w:rFonts w:ascii="Times New Roman" w:hAnsi="Times New Roman"/>
                      <w:sz w:val="18"/>
                      <w:szCs w:val="18"/>
                    </w:rPr>
                  </w:pPr>
                  <w:r>
                    <w:rPr>
                      <w:rFonts w:ascii="Times New Roman" w:hAnsi="Times New Roman"/>
                      <w:sz w:val="18"/>
                      <w:szCs w:val="18"/>
                    </w:rPr>
                    <w:t>/</w:t>
                  </w:r>
                </w:p>
              </w:tc>
              <w:tc>
                <w:tcPr>
                  <w:tcW w:w="436" w:type="pct"/>
                  <w:vAlign w:val="center"/>
                </w:tcPr>
                <w:p w14:paraId="0606092B">
                  <w:pPr>
                    <w:adjustRightInd w:val="0"/>
                    <w:snapToGrid w:val="0"/>
                    <w:jc w:val="center"/>
                    <w:rPr>
                      <w:rFonts w:ascii="Times New Roman" w:hAnsi="Times New Roman"/>
                      <w:sz w:val="18"/>
                      <w:szCs w:val="18"/>
                    </w:rPr>
                  </w:pPr>
                  <w:r>
                    <w:rPr>
                      <w:rFonts w:ascii="Times New Roman" w:hAnsi="Times New Roman"/>
                      <w:sz w:val="18"/>
                      <w:szCs w:val="18"/>
                    </w:rPr>
                    <w:t>万kW·h</w:t>
                  </w:r>
                </w:p>
              </w:tc>
              <w:tc>
                <w:tcPr>
                  <w:tcW w:w="463" w:type="pct"/>
                  <w:vAlign w:val="center"/>
                </w:tcPr>
                <w:p w14:paraId="309A7AF5">
                  <w:pPr>
                    <w:adjustRightInd w:val="0"/>
                    <w:snapToGrid w:val="0"/>
                    <w:jc w:val="center"/>
                    <w:rPr>
                      <w:rFonts w:ascii="Times New Roman" w:hAnsi="Times New Roman"/>
                      <w:sz w:val="18"/>
                      <w:szCs w:val="18"/>
                    </w:rPr>
                  </w:pPr>
                  <w:r>
                    <w:rPr>
                      <w:rFonts w:ascii="Times New Roman" w:hAnsi="Times New Roman"/>
                      <w:sz w:val="18"/>
                      <w:szCs w:val="18"/>
                    </w:rPr>
                    <w:t>/</w:t>
                  </w:r>
                </w:p>
              </w:tc>
              <w:tc>
                <w:tcPr>
                  <w:tcW w:w="465" w:type="pct"/>
                  <w:vAlign w:val="center"/>
                </w:tcPr>
                <w:p w14:paraId="316BD5A8">
                  <w:pPr>
                    <w:adjustRightInd w:val="0"/>
                    <w:snapToGrid w:val="0"/>
                    <w:jc w:val="center"/>
                    <w:rPr>
                      <w:rFonts w:ascii="Times New Roman" w:hAnsi="Times New Roman"/>
                      <w:sz w:val="18"/>
                      <w:szCs w:val="18"/>
                    </w:rPr>
                  </w:pPr>
                  <w:r>
                    <w:rPr>
                      <w:rFonts w:ascii="Times New Roman" w:hAnsi="Times New Roman"/>
                      <w:sz w:val="18"/>
                      <w:szCs w:val="18"/>
                    </w:rPr>
                    <w:t>/</w:t>
                  </w:r>
                </w:p>
              </w:tc>
              <w:tc>
                <w:tcPr>
                  <w:tcW w:w="526" w:type="pct"/>
                  <w:vAlign w:val="center"/>
                </w:tcPr>
                <w:p w14:paraId="10F060E8">
                  <w:pPr>
                    <w:adjustRightInd w:val="0"/>
                    <w:snapToGrid w:val="0"/>
                    <w:jc w:val="center"/>
                    <w:rPr>
                      <w:rFonts w:ascii="Times New Roman" w:hAnsi="Times New Roman"/>
                      <w:sz w:val="18"/>
                      <w:szCs w:val="18"/>
                    </w:rPr>
                  </w:pPr>
                  <w:r>
                    <w:rPr>
                      <w:rFonts w:ascii="Times New Roman" w:hAnsi="Times New Roman"/>
                      <w:sz w:val="18"/>
                      <w:szCs w:val="18"/>
                    </w:rPr>
                    <w:t>/</w:t>
                  </w:r>
                </w:p>
              </w:tc>
            </w:tr>
          </w:tbl>
          <w:p w14:paraId="15D5F296">
            <w:pPr>
              <w:spacing w:line="460" w:lineRule="exact"/>
              <w:ind w:firstLine="360"/>
              <w:rPr>
                <w:b/>
                <w:sz w:val="24"/>
              </w:rPr>
            </w:pPr>
            <w:r>
              <w:rPr>
                <w:b/>
                <w:sz w:val="24"/>
              </w:rPr>
              <w:t>理化性质：</w:t>
            </w:r>
          </w:p>
          <w:tbl>
            <w:tblPr>
              <w:tblStyle w:val="75"/>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785"/>
              <w:gridCol w:w="5782"/>
              <w:gridCol w:w="634"/>
              <w:gridCol w:w="575"/>
            </w:tblGrid>
            <w:tr w14:paraId="28CB61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0" w:type="auto"/>
                  <w:vAlign w:val="center"/>
                </w:tcPr>
                <w:p w14:paraId="4BC82FCB">
                  <w:pPr>
                    <w:snapToGrid w:val="0"/>
                    <w:jc w:val="center"/>
                    <w:rPr>
                      <w:rFonts w:ascii="Times New Roman" w:hAnsi="Times New Roman"/>
                      <w:b/>
                      <w:bCs/>
                      <w:sz w:val="18"/>
                      <w:szCs w:val="18"/>
                    </w:rPr>
                  </w:pPr>
                  <w:r>
                    <w:rPr>
                      <w:rFonts w:ascii="Times New Roman" w:hAnsi="Times New Roman"/>
                      <w:b/>
                      <w:bCs/>
                      <w:sz w:val="18"/>
                      <w:szCs w:val="18"/>
                    </w:rPr>
                    <w:t>序号</w:t>
                  </w:r>
                </w:p>
              </w:tc>
              <w:tc>
                <w:tcPr>
                  <w:tcW w:w="785" w:type="dxa"/>
                  <w:vAlign w:val="center"/>
                </w:tcPr>
                <w:p w14:paraId="59DE6DA4">
                  <w:pPr>
                    <w:snapToGrid w:val="0"/>
                    <w:jc w:val="center"/>
                    <w:rPr>
                      <w:rFonts w:ascii="Times New Roman" w:hAnsi="Times New Roman"/>
                      <w:b/>
                      <w:bCs/>
                      <w:sz w:val="18"/>
                      <w:szCs w:val="18"/>
                    </w:rPr>
                  </w:pPr>
                  <w:r>
                    <w:rPr>
                      <w:rFonts w:ascii="Times New Roman" w:hAnsi="Times New Roman"/>
                      <w:b/>
                      <w:bCs/>
                      <w:sz w:val="18"/>
                      <w:szCs w:val="18"/>
                    </w:rPr>
                    <w:t>名称</w:t>
                  </w:r>
                </w:p>
              </w:tc>
              <w:tc>
                <w:tcPr>
                  <w:tcW w:w="5782" w:type="dxa"/>
                  <w:vAlign w:val="center"/>
                </w:tcPr>
                <w:p w14:paraId="4520FFD3">
                  <w:pPr>
                    <w:snapToGrid w:val="0"/>
                    <w:jc w:val="center"/>
                    <w:rPr>
                      <w:rFonts w:ascii="Times New Roman" w:hAnsi="Times New Roman"/>
                      <w:b/>
                      <w:bCs/>
                      <w:sz w:val="18"/>
                      <w:szCs w:val="18"/>
                    </w:rPr>
                  </w:pPr>
                  <w:r>
                    <w:rPr>
                      <w:rFonts w:ascii="Times New Roman" w:hAnsi="Times New Roman"/>
                      <w:b/>
                      <w:bCs/>
                      <w:sz w:val="18"/>
                      <w:szCs w:val="18"/>
                    </w:rPr>
                    <w:t>理化性质</w:t>
                  </w:r>
                </w:p>
              </w:tc>
              <w:tc>
                <w:tcPr>
                  <w:tcW w:w="0" w:type="auto"/>
                  <w:vAlign w:val="center"/>
                </w:tcPr>
                <w:p w14:paraId="1E0313ED">
                  <w:pPr>
                    <w:snapToGrid w:val="0"/>
                    <w:jc w:val="center"/>
                    <w:rPr>
                      <w:rFonts w:ascii="Times New Roman" w:hAnsi="Times New Roman"/>
                      <w:b/>
                      <w:bCs/>
                      <w:sz w:val="18"/>
                      <w:szCs w:val="18"/>
                    </w:rPr>
                  </w:pPr>
                  <w:r>
                    <w:rPr>
                      <w:rFonts w:ascii="Times New Roman" w:hAnsi="Times New Roman"/>
                      <w:b/>
                      <w:bCs/>
                      <w:sz w:val="18"/>
                      <w:szCs w:val="18"/>
                    </w:rPr>
                    <w:t>燃烧爆炸性</w:t>
                  </w:r>
                </w:p>
              </w:tc>
              <w:tc>
                <w:tcPr>
                  <w:tcW w:w="0" w:type="auto"/>
                  <w:vAlign w:val="center"/>
                </w:tcPr>
                <w:p w14:paraId="77202F81">
                  <w:pPr>
                    <w:snapToGrid w:val="0"/>
                    <w:jc w:val="center"/>
                    <w:rPr>
                      <w:rFonts w:ascii="Times New Roman" w:hAnsi="Times New Roman"/>
                      <w:b/>
                      <w:bCs/>
                      <w:sz w:val="18"/>
                      <w:szCs w:val="18"/>
                    </w:rPr>
                  </w:pPr>
                  <w:r>
                    <w:rPr>
                      <w:rFonts w:ascii="Times New Roman" w:hAnsi="Times New Roman"/>
                      <w:b/>
                      <w:bCs/>
                      <w:sz w:val="18"/>
                      <w:szCs w:val="18"/>
                    </w:rPr>
                    <w:t>毒性毒理</w:t>
                  </w:r>
                </w:p>
              </w:tc>
            </w:tr>
            <w:tr w14:paraId="6FD559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411756F1">
                  <w:pPr>
                    <w:snapToGrid w:val="0"/>
                    <w:jc w:val="center"/>
                    <w:rPr>
                      <w:rFonts w:ascii="Times New Roman" w:hAnsi="Times New Roman"/>
                      <w:sz w:val="18"/>
                      <w:szCs w:val="18"/>
                    </w:rPr>
                  </w:pPr>
                  <w:r>
                    <w:rPr>
                      <w:rFonts w:ascii="Times New Roman" w:hAnsi="Times New Roman"/>
                      <w:sz w:val="18"/>
                      <w:szCs w:val="18"/>
                    </w:rPr>
                    <w:t>1</w:t>
                  </w:r>
                </w:p>
              </w:tc>
              <w:tc>
                <w:tcPr>
                  <w:tcW w:w="785" w:type="dxa"/>
                  <w:vAlign w:val="center"/>
                </w:tcPr>
                <w:p w14:paraId="376F21C2">
                  <w:pPr>
                    <w:snapToGrid w:val="0"/>
                    <w:jc w:val="center"/>
                    <w:rPr>
                      <w:rFonts w:ascii="Times New Roman" w:hAnsi="Times New Roman"/>
                      <w:sz w:val="18"/>
                      <w:szCs w:val="18"/>
                    </w:rPr>
                  </w:pPr>
                  <w:r>
                    <w:rPr>
                      <w:rFonts w:ascii="Times New Roman" w:hAnsi="Times New Roman"/>
                      <w:sz w:val="18"/>
                      <w:szCs w:val="18"/>
                    </w:rPr>
                    <w:t>聚丙烯</w:t>
                  </w:r>
                </w:p>
                <w:p w14:paraId="3D6EF0E2">
                  <w:pPr>
                    <w:snapToGrid w:val="0"/>
                    <w:jc w:val="center"/>
                    <w:rPr>
                      <w:rFonts w:ascii="Times New Roman" w:hAnsi="Times New Roman"/>
                      <w:sz w:val="18"/>
                      <w:szCs w:val="18"/>
                    </w:rPr>
                  </w:pPr>
                  <w:r>
                    <w:rPr>
                      <w:rFonts w:ascii="Times New Roman" w:hAnsi="Times New Roman"/>
                      <w:sz w:val="18"/>
                      <w:szCs w:val="18"/>
                    </w:rPr>
                    <w:t>PP</w:t>
                  </w:r>
                </w:p>
              </w:tc>
              <w:tc>
                <w:tcPr>
                  <w:tcW w:w="5782" w:type="dxa"/>
                  <w:vAlign w:val="center"/>
                </w:tcPr>
                <w:p w14:paraId="641BED09">
                  <w:pPr>
                    <w:snapToGrid w:val="0"/>
                    <w:jc w:val="center"/>
                    <w:rPr>
                      <w:rFonts w:ascii="Times New Roman" w:hAnsi="Times New Roman"/>
                      <w:sz w:val="18"/>
                      <w:szCs w:val="18"/>
                    </w:rPr>
                  </w:pPr>
                  <w:r>
                    <w:rPr>
                      <w:rFonts w:ascii="Times New Roman" w:hAnsi="Times New Roman"/>
                      <w:sz w:val="18"/>
                      <w:szCs w:val="18"/>
                    </w:rPr>
                    <w:t>1.性状：白色颗粒、2.密度（g/mLat25°C）：0.9、3.相对蒸汽密度（g/mL，空气=1）：未确定、4.熔点（ºC）：189、溶于二甲基甲酰胺或硫氰酸盐等溶剂</w:t>
                  </w:r>
                </w:p>
              </w:tc>
              <w:tc>
                <w:tcPr>
                  <w:tcW w:w="0" w:type="auto"/>
                  <w:vAlign w:val="center"/>
                </w:tcPr>
                <w:p w14:paraId="1E61516E">
                  <w:pPr>
                    <w:snapToGrid w:val="0"/>
                    <w:jc w:val="center"/>
                    <w:rPr>
                      <w:rFonts w:ascii="Times New Roman" w:hAnsi="Times New Roman"/>
                      <w:sz w:val="18"/>
                      <w:szCs w:val="18"/>
                    </w:rPr>
                  </w:pPr>
                  <w:r>
                    <w:rPr>
                      <w:rFonts w:ascii="Times New Roman" w:hAnsi="Times New Roman"/>
                      <w:sz w:val="18"/>
                      <w:szCs w:val="18"/>
                    </w:rPr>
                    <w:t>可燃</w:t>
                  </w:r>
                </w:p>
              </w:tc>
              <w:tc>
                <w:tcPr>
                  <w:tcW w:w="0" w:type="auto"/>
                  <w:vAlign w:val="center"/>
                </w:tcPr>
                <w:p w14:paraId="167DB6AA">
                  <w:pPr>
                    <w:snapToGrid w:val="0"/>
                    <w:jc w:val="center"/>
                    <w:rPr>
                      <w:rFonts w:ascii="Times New Roman" w:hAnsi="Times New Roman"/>
                      <w:sz w:val="18"/>
                      <w:szCs w:val="18"/>
                    </w:rPr>
                  </w:pPr>
                  <w:r>
                    <w:rPr>
                      <w:rFonts w:ascii="Times New Roman" w:hAnsi="Times New Roman"/>
                      <w:sz w:val="18"/>
                      <w:szCs w:val="18"/>
                    </w:rPr>
                    <w:t>无毒</w:t>
                  </w:r>
                </w:p>
              </w:tc>
            </w:tr>
            <w:tr w14:paraId="22E3B0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767F194B">
                  <w:pPr>
                    <w:snapToGrid w:val="0"/>
                    <w:jc w:val="center"/>
                    <w:rPr>
                      <w:rFonts w:ascii="Times New Roman" w:hAnsi="Times New Roman"/>
                      <w:sz w:val="18"/>
                      <w:szCs w:val="18"/>
                    </w:rPr>
                  </w:pPr>
                  <w:r>
                    <w:rPr>
                      <w:rFonts w:ascii="Times New Roman" w:hAnsi="Times New Roman"/>
                      <w:sz w:val="18"/>
                      <w:szCs w:val="18"/>
                    </w:rPr>
                    <w:t>2</w:t>
                  </w:r>
                </w:p>
              </w:tc>
              <w:tc>
                <w:tcPr>
                  <w:tcW w:w="785" w:type="dxa"/>
                  <w:vAlign w:val="center"/>
                </w:tcPr>
                <w:p w14:paraId="4E35B328">
                  <w:pPr>
                    <w:snapToGrid w:val="0"/>
                    <w:jc w:val="center"/>
                    <w:rPr>
                      <w:rFonts w:ascii="Times New Roman" w:hAnsi="Times New Roman"/>
                      <w:sz w:val="18"/>
                      <w:szCs w:val="18"/>
                    </w:rPr>
                  </w:pPr>
                  <w:r>
                    <w:rPr>
                      <w:rFonts w:ascii="Times New Roman" w:hAnsi="Times New Roman"/>
                      <w:sz w:val="18"/>
                      <w:szCs w:val="18"/>
                    </w:rPr>
                    <w:t>聚酰胺</w:t>
                  </w:r>
                </w:p>
                <w:p w14:paraId="04FA3DEC">
                  <w:pPr>
                    <w:snapToGrid w:val="0"/>
                    <w:jc w:val="center"/>
                    <w:rPr>
                      <w:rFonts w:ascii="Times New Roman" w:hAnsi="Times New Roman"/>
                      <w:sz w:val="18"/>
                      <w:szCs w:val="18"/>
                    </w:rPr>
                  </w:pPr>
                  <w:r>
                    <w:rPr>
                      <w:rFonts w:ascii="Times New Roman" w:hAnsi="Times New Roman"/>
                      <w:sz w:val="18"/>
                      <w:szCs w:val="18"/>
                    </w:rPr>
                    <w:t>PA</w:t>
                  </w:r>
                </w:p>
              </w:tc>
              <w:tc>
                <w:tcPr>
                  <w:tcW w:w="5782" w:type="dxa"/>
                  <w:vAlign w:val="center"/>
                </w:tcPr>
                <w:p w14:paraId="0F263AF6">
                  <w:pPr>
                    <w:snapToGrid w:val="0"/>
                    <w:jc w:val="center"/>
                    <w:rPr>
                      <w:rFonts w:ascii="Times New Roman" w:hAnsi="Times New Roman"/>
                      <w:sz w:val="18"/>
                      <w:szCs w:val="18"/>
                    </w:rPr>
                  </w:pPr>
                  <w:r>
                    <w:rPr>
                      <w:rFonts w:ascii="Times New Roman" w:hAnsi="Times New Roman"/>
                      <w:sz w:val="18"/>
                      <w:szCs w:val="18"/>
                    </w:rPr>
                    <w:t>聚酰胺是大分子主链重复单元中含有酰胺基团的高聚物的总称，是五大通用工程塑料中用途最广的品种，为半透明或乳白色结晶性树脂，强度高，韧性好，具有优良的耐热性及电绝缘性能。其热变形温度很高，约为150℃。具有较大的吸水性，自润性及耐摩擦性。</w:t>
                  </w:r>
                </w:p>
              </w:tc>
              <w:tc>
                <w:tcPr>
                  <w:tcW w:w="0" w:type="auto"/>
                  <w:vAlign w:val="center"/>
                </w:tcPr>
                <w:p w14:paraId="48B0B9FF">
                  <w:pPr>
                    <w:snapToGrid w:val="0"/>
                    <w:jc w:val="center"/>
                    <w:rPr>
                      <w:rFonts w:ascii="Times New Roman" w:hAnsi="Times New Roman"/>
                      <w:sz w:val="18"/>
                      <w:szCs w:val="18"/>
                    </w:rPr>
                  </w:pPr>
                  <w:r>
                    <w:rPr>
                      <w:rFonts w:ascii="Times New Roman" w:hAnsi="Times New Roman"/>
                      <w:sz w:val="18"/>
                      <w:szCs w:val="18"/>
                    </w:rPr>
                    <w:t>可燃</w:t>
                  </w:r>
                </w:p>
              </w:tc>
              <w:tc>
                <w:tcPr>
                  <w:tcW w:w="0" w:type="auto"/>
                  <w:vAlign w:val="center"/>
                </w:tcPr>
                <w:p w14:paraId="3EDC422E">
                  <w:pPr>
                    <w:snapToGrid w:val="0"/>
                    <w:jc w:val="center"/>
                    <w:rPr>
                      <w:rFonts w:ascii="Times New Roman" w:hAnsi="Times New Roman"/>
                      <w:sz w:val="18"/>
                      <w:szCs w:val="18"/>
                    </w:rPr>
                  </w:pPr>
                  <w:r>
                    <w:rPr>
                      <w:rFonts w:ascii="Times New Roman" w:hAnsi="Times New Roman"/>
                      <w:sz w:val="18"/>
                      <w:szCs w:val="18"/>
                    </w:rPr>
                    <w:t>无毒</w:t>
                  </w:r>
                </w:p>
              </w:tc>
            </w:tr>
          </w:tbl>
          <w:p w14:paraId="6FBC3E14">
            <w:pPr>
              <w:adjustRightInd w:val="0"/>
              <w:snapToGrid w:val="0"/>
              <w:spacing w:before="120" w:beforeLines="50" w:line="360" w:lineRule="auto"/>
              <w:ind w:firstLine="482" w:firstLineChars="200"/>
              <w:rPr>
                <w:b/>
                <w:bCs/>
                <w:sz w:val="24"/>
              </w:rPr>
            </w:pPr>
            <w:r>
              <w:rPr>
                <w:b/>
                <w:bCs/>
                <w:sz w:val="24"/>
              </w:rPr>
              <w:t>6、劳动定员及工作制度</w:t>
            </w:r>
          </w:p>
          <w:p w14:paraId="4E6D5F13">
            <w:pPr>
              <w:pStyle w:val="39"/>
              <w:spacing w:line="360" w:lineRule="auto"/>
              <w:rPr>
                <w:rFonts w:ascii="Times New Roman" w:hAnsi="Times New Roman" w:eastAsia="宋体"/>
              </w:rPr>
            </w:pPr>
            <w:r>
              <w:rPr>
                <w:rFonts w:ascii="Times New Roman" w:hAnsi="Times New Roman" w:eastAsia="宋体"/>
              </w:rPr>
              <w:t>本项目劳动定员30人，其中管理人员5人，技术人员5人，其余为生产工人及其他辅助人员。每天工作8小时，年工作天数为300天，年工作2400小时。厂区不设置员工食堂和宿舍。</w:t>
            </w:r>
          </w:p>
          <w:p w14:paraId="01A05272">
            <w:pPr>
              <w:adjustRightInd w:val="0"/>
              <w:snapToGrid w:val="0"/>
              <w:spacing w:before="120" w:beforeLines="50" w:line="360" w:lineRule="auto"/>
              <w:ind w:firstLine="482" w:firstLineChars="200"/>
              <w:rPr>
                <w:b/>
                <w:bCs/>
                <w:sz w:val="24"/>
              </w:rPr>
            </w:pPr>
            <w:r>
              <w:rPr>
                <w:b/>
                <w:bCs/>
                <w:sz w:val="24"/>
              </w:rPr>
              <w:t>7、厂区平面布置</w:t>
            </w:r>
          </w:p>
          <w:p w14:paraId="7E878D91">
            <w:pPr>
              <w:adjustRightInd w:val="0"/>
              <w:spacing w:line="360" w:lineRule="auto"/>
              <w:ind w:firstLine="480" w:firstLineChars="200"/>
              <w:rPr>
                <w:sz w:val="24"/>
              </w:rPr>
            </w:pPr>
            <w:r>
              <w:rPr>
                <w:sz w:val="24"/>
              </w:rPr>
              <w:t>（1）项目整体布置</w:t>
            </w:r>
          </w:p>
          <w:p w14:paraId="314EEFAF">
            <w:pPr>
              <w:adjustRightInd w:val="0"/>
              <w:spacing w:line="360" w:lineRule="auto"/>
              <w:ind w:firstLine="480" w:firstLineChars="200"/>
              <w:rPr>
                <w:sz w:val="24"/>
              </w:rPr>
            </w:pPr>
            <w:r>
              <w:rPr>
                <w:sz w:val="24"/>
              </w:rPr>
              <w:t>项目建设地点位于安徽省宿州市埇桥区符离镇埇北工业园内。</w:t>
            </w:r>
            <w:r>
              <w:rPr>
                <w:rFonts w:hint="eastAsia"/>
                <w:sz w:val="24"/>
              </w:rPr>
              <w:t>项目主要分为注塑加工区、五金加工区、组装缝纫去、原材料库、成品库、办公区组成。厂区大门位于北侧，厂区中部有南北向道路，原材料库、成品库、五金加工区位于道路西侧，办公区、缝纫组装区、注塑加工区位于道路东侧，危废间位于厂区西北。</w:t>
            </w:r>
            <w:r>
              <w:rPr>
                <w:sz w:val="24"/>
              </w:rPr>
              <w:t>具体见项目平面布置图。</w:t>
            </w:r>
          </w:p>
          <w:p w14:paraId="3C4DE344">
            <w:pPr>
              <w:adjustRightInd w:val="0"/>
              <w:spacing w:line="360" w:lineRule="auto"/>
              <w:ind w:firstLine="480" w:firstLineChars="200"/>
              <w:rPr>
                <w:sz w:val="24"/>
              </w:rPr>
            </w:pPr>
            <w:r>
              <w:rPr>
                <w:sz w:val="24"/>
              </w:rPr>
              <w:t>（2）项目原料及产品由汽车进行运输。</w:t>
            </w:r>
          </w:p>
          <w:p w14:paraId="1314879D">
            <w:pPr>
              <w:adjustRightInd w:val="0"/>
              <w:spacing w:line="360" w:lineRule="auto"/>
              <w:ind w:firstLine="480" w:firstLineChars="200"/>
              <w:rPr>
                <w:sz w:val="24"/>
              </w:rPr>
            </w:pPr>
            <w:r>
              <w:rPr>
                <w:sz w:val="24"/>
              </w:rPr>
              <w:t>（3）平面布置合理性</w:t>
            </w:r>
          </w:p>
          <w:p w14:paraId="178023FE">
            <w:pPr>
              <w:adjustRightInd w:val="0"/>
              <w:spacing w:line="360" w:lineRule="auto"/>
              <w:ind w:firstLine="480" w:firstLineChars="200"/>
              <w:rPr>
                <w:sz w:val="24"/>
              </w:rPr>
            </w:pPr>
            <w:r>
              <w:rPr>
                <w:sz w:val="24"/>
              </w:rPr>
              <w:t>项目厂区布置总体来说，结构明朗，流程顺畅，布局紧凑，符合防火、安全卫生、环保、交通、运输、生产工艺流程等需求。总体上做到按功能分区，系统分明，布置整齐。</w:t>
            </w:r>
          </w:p>
          <w:p w14:paraId="4ED5467F">
            <w:pPr>
              <w:adjustRightInd w:val="0"/>
              <w:snapToGrid w:val="0"/>
              <w:spacing w:before="120" w:beforeLines="50" w:line="360" w:lineRule="auto"/>
              <w:ind w:firstLine="482" w:firstLineChars="200"/>
              <w:rPr>
                <w:b/>
                <w:bCs/>
                <w:sz w:val="24"/>
              </w:rPr>
            </w:pPr>
            <w:r>
              <w:rPr>
                <w:b/>
                <w:bCs/>
                <w:sz w:val="24"/>
              </w:rPr>
              <w:t>8、项目排污管理类别分析</w:t>
            </w:r>
          </w:p>
          <w:p w14:paraId="66FE43D6">
            <w:pPr>
              <w:adjustRightInd w:val="0"/>
              <w:spacing w:line="360" w:lineRule="auto"/>
              <w:ind w:firstLine="480" w:firstLineChars="200"/>
              <w:rPr>
                <w:sz w:val="24"/>
              </w:rPr>
            </w:pPr>
            <w:r>
              <w:rPr>
                <w:sz w:val="24"/>
              </w:rPr>
              <w:t>（1）国民经济行业类别判定</w:t>
            </w:r>
          </w:p>
          <w:p w14:paraId="437D5071">
            <w:pPr>
              <w:adjustRightInd w:val="0"/>
              <w:spacing w:line="360" w:lineRule="auto"/>
              <w:ind w:firstLine="480" w:firstLineChars="200"/>
              <w:rPr>
                <w:sz w:val="24"/>
              </w:rPr>
            </w:pPr>
            <w:r>
              <w:rPr>
                <w:sz w:val="24"/>
              </w:rPr>
              <w:t>本项目生产电竞椅，根据《国民经济行业分类》（GB/T 4754—2017）（2019年修改版）判定本项目的国民经济行业类别为C2190其他家具制造。</w:t>
            </w:r>
          </w:p>
          <w:p w14:paraId="3983E7E0">
            <w:pPr>
              <w:adjustRightInd w:val="0"/>
              <w:spacing w:line="360" w:lineRule="auto"/>
              <w:ind w:firstLine="480" w:firstLineChars="200"/>
              <w:rPr>
                <w:sz w:val="24"/>
              </w:rPr>
            </w:pPr>
            <w:r>
              <w:rPr>
                <w:sz w:val="24"/>
              </w:rPr>
              <w:t>（2）排污许可管理类别判定</w:t>
            </w:r>
          </w:p>
          <w:p w14:paraId="15A358B2">
            <w:pPr>
              <w:adjustRightInd w:val="0"/>
              <w:spacing w:line="360" w:lineRule="auto"/>
              <w:ind w:firstLine="480" w:firstLineChars="200"/>
              <w:rPr>
                <w:sz w:val="24"/>
              </w:rPr>
            </w:pPr>
            <w:r>
              <w:rPr>
                <w:sz w:val="24"/>
              </w:rPr>
              <w:t>根据项目的国民经济行业类别C2190其他家具制造，按《固定污染源排污许可分类管理名录（2019年版）》进行判定，可知：本项目属于“十六、家具制造业21--35其他家具制造213-其他”，故本项目的排污许可填报“管理类别”应为“登记管理”。</w:t>
            </w:r>
          </w:p>
        </w:tc>
      </w:tr>
      <w:tr w14:paraId="650117A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14" w:hRule="atLeast"/>
          <w:jc w:val="center"/>
        </w:trPr>
        <w:tc>
          <w:tcPr>
            <w:tcW w:w="451" w:type="pct"/>
            <w:tcBorders>
              <w:tl2br w:val="nil"/>
              <w:tr2bl w:val="nil"/>
            </w:tcBorders>
            <w:vAlign w:val="center"/>
          </w:tcPr>
          <w:p w14:paraId="0F7EBBBE">
            <w:pPr>
              <w:pStyle w:val="26"/>
              <w:adjustRightInd w:val="0"/>
              <w:snapToGrid w:val="0"/>
              <w:spacing w:before="0" w:beforeAutospacing="0" w:after="0" w:afterAutospacing="0"/>
              <w:jc w:val="center"/>
              <w:rPr>
                <w:rFonts w:ascii="Times New Roman" w:hAnsi="Times New Roman"/>
                <w:szCs w:val="24"/>
              </w:rPr>
            </w:pPr>
            <w:r>
              <w:rPr>
                <w:rFonts w:ascii="Times New Roman" w:hAnsi="Times New Roman"/>
                <w:szCs w:val="24"/>
              </w:rPr>
              <w:t>工艺流程和产排污环节</w:t>
            </w:r>
          </w:p>
        </w:tc>
        <w:tc>
          <w:tcPr>
            <w:tcW w:w="4549" w:type="pct"/>
            <w:tcBorders>
              <w:tl2br w:val="nil"/>
              <w:tr2bl w:val="nil"/>
            </w:tcBorders>
          </w:tcPr>
          <w:p w14:paraId="645431B1">
            <w:pPr>
              <w:snapToGrid w:val="0"/>
              <w:spacing w:line="500" w:lineRule="exact"/>
              <w:ind w:firstLine="482" w:firstLineChars="200"/>
              <w:rPr>
                <w:b/>
                <w:sz w:val="24"/>
              </w:rPr>
            </w:pPr>
            <w:r>
              <w:rPr>
                <w:b/>
                <w:sz w:val="24"/>
              </w:rPr>
              <w:t>一、本项目工艺流程如下：</w:t>
            </w:r>
          </w:p>
          <w:p w14:paraId="5B718A85">
            <w:pPr>
              <w:pStyle w:val="52"/>
              <w:spacing w:line="360" w:lineRule="auto"/>
              <w:jc w:val="both"/>
              <w:rPr>
                <w:rFonts w:cs="Times New Roman"/>
              </w:rPr>
            </w:pPr>
            <w:r>
              <w:rPr>
                <w:rFonts w:cs="Times New Roman"/>
              </w:rPr>
              <mc:AlternateContent>
                <mc:Choice Requires="wpc">
                  <w:drawing>
                    <wp:inline distT="0" distB="0" distL="0" distR="0">
                      <wp:extent cx="5005070" cy="5018405"/>
                      <wp:effectExtent l="0" t="0" r="5080" b="10160"/>
                      <wp:docPr id="58" name="画布 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5"/>
                              <wps:cNvSpPr>
                                <a:spLocks noChangeArrowheads="1"/>
                              </wps:cNvSpPr>
                              <wps:spPr bwMode="auto">
                                <a:xfrm>
                                  <a:off x="434441" y="333659"/>
                                  <a:ext cx="875665" cy="294005"/>
                                </a:xfrm>
                                <a:prstGeom prst="rect">
                                  <a:avLst/>
                                </a:prstGeom>
                                <a:solidFill>
                                  <a:srgbClr val="FFFFFF"/>
                                </a:solidFill>
                                <a:ln w="9525">
                                  <a:solidFill>
                                    <a:srgbClr val="000000"/>
                                  </a:solidFill>
                                  <a:miter lim="800000"/>
                                </a:ln>
                              </wps:spPr>
                              <wps:txbx>
                                <w:txbxContent>
                                  <w:p w14:paraId="7B873CA0">
                                    <w:pPr>
                                      <w:jc w:val="center"/>
                                    </w:pPr>
                                    <w:r>
                                      <w:rPr>
                                        <w:rFonts w:hint="eastAsia"/>
                                      </w:rPr>
                                      <w:t>进料</w:t>
                                    </w:r>
                                  </w:p>
                                </w:txbxContent>
                              </wps:txbx>
                              <wps:bodyPr rot="0" vert="horz" wrap="square" lIns="91440" tIns="45720" rIns="91440" bIns="45720" anchor="t" anchorCtr="0" upright="1">
                                <a:noAutofit/>
                              </wps:bodyPr>
                            </wps:wsp>
                            <wps:wsp>
                              <wps:cNvPr id="2" name="Rectangle 6"/>
                              <wps:cNvSpPr>
                                <a:spLocks noChangeArrowheads="1"/>
                              </wps:cNvSpPr>
                              <wps:spPr bwMode="auto">
                                <a:xfrm>
                                  <a:off x="2248535" y="787400"/>
                                  <a:ext cx="820420" cy="304800"/>
                                </a:xfrm>
                                <a:prstGeom prst="rect">
                                  <a:avLst/>
                                </a:prstGeom>
                                <a:solidFill>
                                  <a:srgbClr val="FFFFFF"/>
                                </a:solidFill>
                                <a:ln w="9525">
                                  <a:solidFill>
                                    <a:srgbClr val="000000"/>
                                  </a:solidFill>
                                  <a:miter lim="800000"/>
                                </a:ln>
                              </wps:spPr>
                              <wps:txbx>
                                <w:txbxContent>
                                  <w:p w14:paraId="0E2DB7DF">
                                    <w:pPr>
                                      <w:jc w:val="center"/>
                                      <w:rPr>
                                        <w:rFonts w:hint="eastAsia"/>
                                      </w:rPr>
                                    </w:pPr>
                                    <w:r>
                                      <w:rPr>
                                        <w:rFonts w:hint="eastAsia"/>
                                      </w:rPr>
                                      <w:t>金属管材</w:t>
                                    </w:r>
                                  </w:p>
                                </w:txbxContent>
                              </wps:txbx>
                              <wps:bodyPr rot="0" vert="horz" wrap="square" lIns="91440" tIns="45720" rIns="91440" bIns="45720" anchor="t" anchorCtr="0" upright="1">
                                <a:noAutofit/>
                              </wps:bodyPr>
                            </wps:wsp>
                            <wps:wsp>
                              <wps:cNvPr id="32" name="Rectangle 8"/>
                              <wps:cNvSpPr>
                                <a:spLocks noChangeArrowheads="1"/>
                              </wps:cNvSpPr>
                              <wps:spPr bwMode="auto">
                                <a:xfrm>
                                  <a:off x="443967" y="2389154"/>
                                  <a:ext cx="915670" cy="296545"/>
                                </a:xfrm>
                                <a:prstGeom prst="rect">
                                  <a:avLst/>
                                </a:prstGeom>
                                <a:solidFill>
                                  <a:srgbClr val="FFFFFF"/>
                                </a:solidFill>
                                <a:ln w="9525">
                                  <a:solidFill>
                                    <a:srgbClr val="000000"/>
                                  </a:solidFill>
                                  <a:miter lim="800000"/>
                                </a:ln>
                              </wps:spPr>
                              <wps:txbx>
                                <w:txbxContent>
                                  <w:p w14:paraId="3CCD33AC">
                                    <w:pPr>
                                      <w:jc w:val="center"/>
                                    </w:pPr>
                                    <w:r>
                                      <w:rPr>
                                        <w:rFonts w:hint="eastAsia"/>
                                      </w:rPr>
                                      <w:t>塑料配件</w:t>
                                    </w:r>
                                  </w:p>
                                </w:txbxContent>
                              </wps:txbx>
                              <wps:bodyPr rot="0" vert="horz" wrap="square" lIns="91440" tIns="45720" rIns="91440" bIns="45720" anchor="t" anchorCtr="0" upright="1">
                                <a:noAutofit/>
                              </wps:bodyPr>
                            </wps:wsp>
                            <wps:wsp>
                              <wps:cNvPr id="34" name="Rectangle 10"/>
                              <wps:cNvSpPr>
                                <a:spLocks noChangeArrowheads="1"/>
                              </wps:cNvSpPr>
                              <wps:spPr bwMode="auto">
                                <a:xfrm>
                                  <a:off x="434441" y="1702719"/>
                                  <a:ext cx="954405" cy="325755"/>
                                </a:xfrm>
                                <a:prstGeom prst="rect">
                                  <a:avLst/>
                                </a:prstGeom>
                                <a:solidFill>
                                  <a:srgbClr val="FFFFFF"/>
                                </a:solidFill>
                                <a:ln w="9525">
                                  <a:solidFill>
                                    <a:srgbClr val="000000"/>
                                  </a:solidFill>
                                  <a:miter lim="800000"/>
                                </a:ln>
                              </wps:spPr>
                              <wps:txbx>
                                <w:txbxContent>
                                  <w:p w14:paraId="7A554776">
                                    <w:pPr>
                                      <w:jc w:val="center"/>
                                    </w:pPr>
                                    <w:r>
                                      <w:rPr>
                                        <w:rFonts w:hint="eastAsia"/>
                                      </w:rPr>
                                      <w:t>修边</w:t>
                                    </w:r>
                                  </w:p>
                                </w:txbxContent>
                              </wps:txbx>
                              <wps:bodyPr rot="0" vert="horz" wrap="square" lIns="91440" tIns="45720" rIns="91440" bIns="45720" anchor="t" anchorCtr="0" upright="1">
                                <a:noAutofit/>
                              </wps:bodyPr>
                            </wps:wsp>
                            <wps:wsp>
                              <wps:cNvPr id="35" name="Rectangle 11"/>
                              <wps:cNvSpPr>
                                <a:spLocks noChangeArrowheads="1"/>
                              </wps:cNvSpPr>
                              <wps:spPr bwMode="auto">
                                <a:xfrm>
                                  <a:off x="443966" y="1025174"/>
                                  <a:ext cx="925195" cy="323215"/>
                                </a:xfrm>
                                <a:prstGeom prst="rect">
                                  <a:avLst/>
                                </a:prstGeom>
                                <a:solidFill>
                                  <a:srgbClr val="FFFFFF"/>
                                </a:solidFill>
                                <a:ln w="9525">
                                  <a:solidFill>
                                    <a:srgbClr val="000000"/>
                                  </a:solidFill>
                                  <a:miter lim="800000"/>
                                </a:ln>
                              </wps:spPr>
                              <wps:txbx>
                                <w:txbxContent>
                                  <w:p w14:paraId="34A37E91">
                                    <w:pPr>
                                      <w:jc w:val="center"/>
                                    </w:pPr>
                                    <w:r>
                                      <w:rPr>
                                        <w:rFonts w:hint="eastAsia"/>
                                      </w:rPr>
                                      <w:t>注塑成型</w:t>
                                    </w:r>
                                  </w:p>
                                </w:txbxContent>
                              </wps:txbx>
                              <wps:bodyPr rot="0" vert="horz" wrap="square" lIns="91440" tIns="45720" rIns="91440" bIns="45720" anchor="t" anchorCtr="0" upright="1">
                                <a:noAutofit/>
                              </wps:bodyPr>
                            </wps:wsp>
                            <wps:wsp>
                              <wps:cNvPr id="36" name="Rectangle 12"/>
                              <wps:cNvSpPr>
                                <a:spLocks noChangeArrowheads="1"/>
                              </wps:cNvSpPr>
                              <wps:spPr bwMode="auto">
                                <a:xfrm>
                                  <a:off x="4053646" y="1085499"/>
                                  <a:ext cx="942340" cy="285750"/>
                                </a:xfrm>
                                <a:prstGeom prst="rect">
                                  <a:avLst/>
                                </a:prstGeom>
                                <a:solidFill>
                                  <a:srgbClr val="FFFFFF"/>
                                </a:solidFill>
                                <a:ln w="9525">
                                  <a:solidFill>
                                    <a:srgbClr val="000000"/>
                                  </a:solidFill>
                                  <a:miter lim="800000"/>
                                </a:ln>
                              </wps:spPr>
                              <wps:txbx>
                                <w:txbxContent>
                                  <w:p w14:paraId="7F3B4E86">
                                    <w:pPr>
                                      <w:jc w:val="center"/>
                                    </w:pPr>
                                    <w:r>
                                      <w:rPr>
                                        <w:rFonts w:hint="eastAsia"/>
                                      </w:rPr>
                                      <w:t>缝纫</w:t>
                                    </w:r>
                                  </w:p>
                                </w:txbxContent>
                              </wps:txbx>
                              <wps:bodyPr rot="0" vert="horz" wrap="square" lIns="91440" tIns="45720" rIns="91440" bIns="45720" anchor="t" anchorCtr="0" upright="1">
                                <a:noAutofit/>
                              </wps:bodyPr>
                            </wps:wsp>
                            <wps:wsp>
                              <wps:cNvPr id="37" name="Rectangle 13"/>
                              <wps:cNvSpPr>
                                <a:spLocks noChangeArrowheads="1"/>
                              </wps:cNvSpPr>
                              <wps:spPr bwMode="auto">
                                <a:xfrm>
                                  <a:off x="4044121" y="1752249"/>
                                  <a:ext cx="961390" cy="314325"/>
                                </a:xfrm>
                                <a:prstGeom prst="rect">
                                  <a:avLst/>
                                </a:prstGeom>
                                <a:solidFill>
                                  <a:srgbClr val="FFFFFF"/>
                                </a:solidFill>
                                <a:ln w="9525">
                                  <a:solidFill>
                                    <a:srgbClr val="000000"/>
                                  </a:solidFill>
                                  <a:miter lim="800000"/>
                                </a:ln>
                              </wps:spPr>
                              <wps:txbx>
                                <w:txbxContent>
                                  <w:p w14:paraId="21406052">
                                    <w:pPr>
                                      <w:jc w:val="center"/>
                                    </w:pPr>
                                    <w:r>
                                      <w:rPr>
                                        <w:rFonts w:hint="eastAsia"/>
                                      </w:rPr>
                                      <w:t>枪钉</w:t>
                                    </w:r>
                                  </w:p>
                                </w:txbxContent>
                              </wps:txbx>
                              <wps:bodyPr rot="0" vert="horz" wrap="square" lIns="91440" tIns="45720" rIns="91440" bIns="45720" anchor="t" anchorCtr="0" upright="1">
                                <a:noAutofit/>
                              </wps:bodyPr>
                            </wps:wsp>
                            <wps:wsp>
                              <wps:cNvPr id="38" name="Rectangle 14"/>
                              <wps:cNvSpPr>
                                <a:spLocks noChangeArrowheads="1"/>
                              </wps:cNvSpPr>
                              <wps:spPr bwMode="auto">
                                <a:xfrm>
                                  <a:off x="4072061" y="2389154"/>
                                  <a:ext cx="885825" cy="314325"/>
                                </a:xfrm>
                                <a:prstGeom prst="rect">
                                  <a:avLst/>
                                </a:prstGeom>
                                <a:solidFill>
                                  <a:srgbClr val="FFFFFF"/>
                                </a:solidFill>
                                <a:ln w="9525">
                                  <a:solidFill>
                                    <a:srgbClr val="000000"/>
                                  </a:solidFill>
                                  <a:miter lim="800000"/>
                                </a:ln>
                              </wps:spPr>
                              <wps:txbx>
                                <w:txbxContent>
                                  <w:p w14:paraId="3DBBE429">
                                    <w:pPr>
                                      <w:jc w:val="center"/>
                                    </w:pPr>
                                    <w:r>
                                      <w:rPr>
                                        <w:rFonts w:hint="eastAsia"/>
                                      </w:rPr>
                                      <w:t>转椅配件</w:t>
                                    </w:r>
                                  </w:p>
                                </w:txbxContent>
                              </wps:txbx>
                              <wps:bodyPr rot="0" vert="horz" wrap="square" lIns="91440" tIns="45720" rIns="91440" bIns="45720" anchor="t" anchorCtr="0" upright="1">
                                <a:noAutofit/>
                              </wps:bodyPr>
                            </wps:wsp>
                            <wps:wsp>
                              <wps:cNvPr id="39" name="Rectangle 15"/>
                              <wps:cNvSpPr>
                                <a:spLocks noChangeArrowheads="1"/>
                              </wps:cNvSpPr>
                              <wps:spPr bwMode="auto">
                                <a:xfrm>
                                  <a:off x="4043486" y="396524"/>
                                  <a:ext cx="923925" cy="269875"/>
                                </a:xfrm>
                                <a:prstGeom prst="rect">
                                  <a:avLst/>
                                </a:prstGeom>
                                <a:solidFill>
                                  <a:srgbClr val="FFFFFF"/>
                                </a:solidFill>
                                <a:ln w="9525">
                                  <a:solidFill>
                                    <a:srgbClr val="000000"/>
                                  </a:solidFill>
                                  <a:miter lim="800000"/>
                                </a:ln>
                              </wps:spPr>
                              <wps:txbx>
                                <w:txbxContent>
                                  <w:p w14:paraId="6C2CBF7A">
                                    <w:pPr>
                                      <w:jc w:val="center"/>
                                    </w:pPr>
                                    <w:r>
                                      <w:rPr>
                                        <w:rFonts w:hint="eastAsia"/>
                                      </w:rPr>
                                      <w:t>剪裁</w:t>
                                    </w:r>
                                  </w:p>
                                </w:txbxContent>
                              </wps:txbx>
                              <wps:bodyPr rot="0" vert="horz" wrap="square" lIns="91440" tIns="45720" rIns="91440" bIns="45720" anchor="t" anchorCtr="0" upright="1">
                                <a:noAutofit/>
                              </wps:bodyPr>
                            </wps:wsp>
                            <wps:wsp>
                              <wps:cNvPr id="40" name="Rectangle 16"/>
                              <wps:cNvSpPr>
                                <a:spLocks noChangeArrowheads="1"/>
                              </wps:cNvSpPr>
                              <wps:spPr bwMode="auto">
                                <a:xfrm>
                                  <a:off x="2348036" y="3209574"/>
                                  <a:ext cx="770890" cy="304800"/>
                                </a:xfrm>
                                <a:prstGeom prst="rect">
                                  <a:avLst/>
                                </a:prstGeom>
                                <a:solidFill>
                                  <a:srgbClr val="FFFFFF"/>
                                </a:solidFill>
                                <a:ln w="9525">
                                  <a:solidFill>
                                    <a:srgbClr val="000000"/>
                                  </a:solidFill>
                                  <a:miter lim="800000"/>
                                </a:ln>
                              </wps:spPr>
                              <wps:txbx>
                                <w:txbxContent>
                                  <w:p w14:paraId="0BBA8936">
                                    <w:pPr>
                                      <w:jc w:val="center"/>
                                    </w:pPr>
                                    <w:r>
                                      <w:rPr>
                                        <w:rFonts w:hint="eastAsia"/>
                                      </w:rPr>
                                      <w:t>装配</w:t>
                                    </w:r>
                                  </w:p>
                                </w:txbxContent>
                              </wps:txbx>
                              <wps:bodyPr rot="0" vert="horz" wrap="square" lIns="91440" tIns="45720" rIns="91440" bIns="45720" anchor="t" anchorCtr="0" upright="1">
                                <a:noAutofit/>
                              </wps:bodyPr>
                            </wps:wsp>
                            <wps:wsp>
                              <wps:cNvPr id="41" name="Rectangle 17"/>
                              <wps:cNvSpPr>
                                <a:spLocks noChangeArrowheads="1"/>
                              </wps:cNvSpPr>
                              <wps:spPr bwMode="auto">
                                <a:xfrm>
                                  <a:off x="2338511" y="3942999"/>
                                  <a:ext cx="770890" cy="304800"/>
                                </a:xfrm>
                                <a:prstGeom prst="rect">
                                  <a:avLst/>
                                </a:prstGeom>
                                <a:solidFill>
                                  <a:srgbClr val="FFFFFF"/>
                                </a:solidFill>
                                <a:ln w="9525">
                                  <a:solidFill>
                                    <a:srgbClr val="000000"/>
                                  </a:solidFill>
                                  <a:miter lim="800000"/>
                                </a:ln>
                              </wps:spPr>
                              <wps:txbx>
                                <w:txbxContent>
                                  <w:p w14:paraId="0E2E80A9">
                                    <w:pPr>
                                      <w:jc w:val="center"/>
                                    </w:pPr>
                                    <w:r>
                                      <w:rPr>
                                        <w:rFonts w:hint="eastAsia"/>
                                      </w:rPr>
                                      <w:t>质检包装</w:t>
                                    </w:r>
                                  </w:p>
                                </w:txbxContent>
                              </wps:txbx>
                              <wps:bodyPr rot="0" vert="horz" wrap="square" lIns="91440" tIns="45720" rIns="91440" bIns="45720" anchor="t" anchorCtr="0" upright="1">
                                <a:noAutofit/>
                              </wps:bodyPr>
                            </wps:wsp>
                            <wps:wsp>
                              <wps:cNvPr id="42" name="Rectangle 18"/>
                              <wps:cNvSpPr>
                                <a:spLocks noChangeArrowheads="1"/>
                              </wps:cNvSpPr>
                              <wps:spPr bwMode="auto">
                                <a:xfrm>
                                  <a:off x="2357755" y="4714240"/>
                                  <a:ext cx="770890" cy="233680"/>
                                </a:xfrm>
                                <a:prstGeom prst="rect">
                                  <a:avLst/>
                                </a:prstGeom>
                                <a:solidFill>
                                  <a:srgbClr val="FFFFFF"/>
                                </a:solidFill>
                                <a:ln w="9525">
                                  <a:solidFill>
                                    <a:srgbClr val="000000"/>
                                  </a:solidFill>
                                  <a:miter lim="800000"/>
                                </a:ln>
                              </wps:spPr>
                              <wps:txbx>
                                <w:txbxContent>
                                  <w:p w14:paraId="290A9509">
                                    <w:pPr>
                                      <w:jc w:val="center"/>
                                    </w:pPr>
                                    <w:r>
                                      <w:rPr>
                                        <w:rFonts w:hint="eastAsia"/>
                                      </w:rPr>
                                      <w:t>成品</w:t>
                                    </w:r>
                                  </w:p>
                                </w:txbxContent>
                              </wps:txbx>
                              <wps:bodyPr rot="0" vert="horz" wrap="square" lIns="91440" tIns="45720" rIns="91440" bIns="45720" anchor="t" anchorCtr="0" upright="1">
                                <a:noAutofit/>
                              </wps:bodyPr>
                            </wps:wsp>
                            <wps:wsp>
                              <wps:cNvPr id="43" name="Freeform 19"/>
                              <wps:cNvSpPr/>
                              <wps:spPr bwMode="auto">
                                <a:xfrm>
                                  <a:off x="1071686" y="2704749"/>
                                  <a:ext cx="3476625" cy="104775"/>
                                </a:xfrm>
                                <a:custGeom>
                                  <a:avLst/>
                                  <a:gdLst>
                                    <a:gd name="T0" fmla="*/ 0 w 5475"/>
                                    <a:gd name="T1" fmla="*/ 0 h 165"/>
                                    <a:gd name="T2" fmla="*/ 0 w 5475"/>
                                    <a:gd name="T3" fmla="*/ 165 h 165"/>
                                    <a:gd name="T4" fmla="*/ 5475 w 5475"/>
                                    <a:gd name="T5" fmla="*/ 165 h 165"/>
                                    <a:gd name="T6" fmla="*/ 5475 w 5475"/>
                                    <a:gd name="T7" fmla="*/ 0 h 165"/>
                                  </a:gdLst>
                                  <a:ahLst/>
                                  <a:cxnLst>
                                    <a:cxn ang="0">
                                      <a:pos x="T0" y="T1"/>
                                    </a:cxn>
                                    <a:cxn ang="0">
                                      <a:pos x="T2" y="T3"/>
                                    </a:cxn>
                                    <a:cxn ang="0">
                                      <a:pos x="T4" y="T5"/>
                                    </a:cxn>
                                    <a:cxn ang="0">
                                      <a:pos x="T6" y="T7"/>
                                    </a:cxn>
                                  </a:cxnLst>
                                  <a:rect l="0" t="0" r="r" b="b"/>
                                  <a:pathLst>
                                    <a:path w="5475" h="165">
                                      <a:moveTo>
                                        <a:pt x="0" y="0"/>
                                      </a:moveTo>
                                      <a:lnTo>
                                        <a:pt x="0" y="165"/>
                                      </a:lnTo>
                                      <a:lnTo>
                                        <a:pt x="5475" y="165"/>
                                      </a:lnTo>
                                      <a:lnTo>
                                        <a:pt x="5475" y="0"/>
                                      </a:lnTo>
                                    </a:path>
                                  </a:pathLst>
                                </a:custGeom>
                                <a:noFill/>
                                <a:ln w="19050" cmpd="sng">
                                  <a:solidFill>
                                    <a:srgbClr val="000000"/>
                                  </a:solidFill>
                                  <a:round/>
                                </a:ln>
                              </wps:spPr>
                              <wps:bodyPr rot="0" vert="horz" wrap="square" lIns="91440" tIns="45720" rIns="91440" bIns="45720" anchor="t" anchorCtr="0" upright="1">
                                <a:noAutofit/>
                              </wps:bodyPr>
                            </wps:wsp>
                            <wps:wsp>
                              <wps:cNvPr id="44" name="AutoShape 20"/>
                              <wps:cNvCnPr>
                                <a:cxnSpLocks noChangeShapeType="1"/>
                              </wps:cNvCnPr>
                              <wps:spPr bwMode="auto">
                                <a:xfrm>
                                  <a:off x="2733481" y="4238909"/>
                                  <a:ext cx="9525" cy="475615"/>
                                </a:xfrm>
                                <a:prstGeom prst="straightConnector1">
                                  <a:avLst/>
                                </a:prstGeom>
                                <a:noFill/>
                                <a:ln w="9525">
                                  <a:solidFill>
                                    <a:srgbClr val="000000"/>
                                  </a:solidFill>
                                  <a:round/>
                                  <a:headEnd type="none" w="med" len="med"/>
                                  <a:tailEnd type="triangle" w="med" len="med"/>
                                </a:ln>
                              </wps:spPr>
                              <wps:bodyPr/>
                            </wps:wsp>
                            <wps:wsp>
                              <wps:cNvPr id="45" name="AutoShape 21"/>
                              <wps:cNvCnPr>
                                <a:cxnSpLocks noChangeShapeType="1"/>
                              </wps:cNvCnPr>
                              <wps:spPr bwMode="auto">
                                <a:xfrm>
                                  <a:off x="2733481" y="3504849"/>
                                  <a:ext cx="9525" cy="475615"/>
                                </a:xfrm>
                                <a:prstGeom prst="straightConnector1">
                                  <a:avLst/>
                                </a:prstGeom>
                                <a:noFill/>
                                <a:ln w="9525">
                                  <a:solidFill>
                                    <a:srgbClr val="000000"/>
                                  </a:solidFill>
                                  <a:round/>
                                  <a:headEnd type="none" w="med" len="med"/>
                                  <a:tailEnd type="triangle" w="med" len="med"/>
                                </a:ln>
                              </wps:spPr>
                              <wps:bodyPr/>
                            </wps:wsp>
                            <wps:wsp>
                              <wps:cNvPr id="46" name="AutoShape 22"/>
                              <wps:cNvCnPr>
                                <a:cxnSpLocks noChangeShapeType="1"/>
                              </wps:cNvCnPr>
                              <wps:spPr bwMode="auto">
                                <a:xfrm>
                                  <a:off x="2572311" y="2487193"/>
                                  <a:ext cx="0" cy="673867"/>
                                </a:xfrm>
                                <a:prstGeom prst="straightConnector1">
                                  <a:avLst/>
                                </a:prstGeom>
                                <a:noFill/>
                                <a:ln w="9525">
                                  <a:solidFill>
                                    <a:srgbClr val="000000"/>
                                  </a:solidFill>
                                  <a:round/>
                                  <a:headEnd type="none" w="med" len="med"/>
                                  <a:tailEnd type="triangle" w="med" len="med"/>
                                </a:ln>
                              </wps:spPr>
                              <wps:bodyPr/>
                            </wps:wsp>
                            <wps:wsp>
                              <wps:cNvPr id="50" name="AutoShape 26"/>
                              <wps:cNvCnPr>
                                <a:cxnSpLocks noChangeShapeType="1"/>
                              </wps:cNvCnPr>
                              <wps:spPr bwMode="auto">
                                <a:xfrm flipH="1">
                                  <a:off x="903072" y="703864"/>
                                  <a:ext cx="635" cy="304800"/>
                                </a:xfrm>
                                <a:prstGeom prst="straightConnector1">
                                  <a:avLst/>
                                </a:prstGeom>
                                <a:noFill/>
                                <a:ln w="9525">
                                  <a:solidFill>
                                    <a:srgbClr val="000000"/>
                                  </a:solidFill>
                                  <a:round/>
                                  <a:headEnd type="none" w="med" len="med"/>
                                  <a:tailEnd type="triangle" w="med" len="med"/>
                                </a:ln>
                              </wps:spPr>
                              <wps:bodyPr/>
                            </wps:wsp>
                            <wps:wsp>
                              <wps:cNvPr id="51" name="AutoShape 27"/>
                              <wps:cNvCnPr>
                                <a:cxnSpLocks noChangeShapeType="1"/>
                              </wps:cNvCnPr>
                              <wps:spPr bwMode="auto">
                                <a:xfrm flipH="1">
                                  <a:off x="902437" y="1399189"/>
                                  <a:ext cx="635" cy="284480"/>
                                </a:xfrm>
                                <a:prstGeom prst="straightConnector1">
                                  <a:avLst/>
                                </a:prstGeom>
                                <a:noFill/>
                                <a:ln w="9525">
                                  <a:solidFill>
                                    <a:srgbClr val="000000"/>
                                  </a:solidFill>
                                  <a:round/>
                                  <a:headEnd type="none" w="med" len="med"/>
                                  <a:tailEnd type="triangle" w="med" len="med"/>
                                </a:ln>
                              </wps:spPr>
                              <wps:bodyPr/>
                            </wps:wsp>
                            <wps:wsp>
                              <wps:cNvPr id="105" name="AutoShape 29"/>
                              <wps:cNvCnPr>
                                <a:cxnSpLocks noChangeShapeType="1"/>
                                <a:stCxn id="34" idx="2"/>
                              </wps:cNvCnPr>
                              <wps:spPr bwMode="auto">
                                <a:xfrm>
                                  <a:off x="911644" y="2028261"/>
                                  <a:ext cx="1588" cy="360644"/>
                                </a:xfrm>
                                <a:prstGeom prst="straightConnector1">
                                  <a:avLst/>
                                </a:prstGeom>
                                <a:noFill/>
                                <a:ln w="9525">
                                  <a:solidFill>
                                    <a:srgbClr val="000000"/>
                                  </a:solidFill>
                                  <a:round/>
                                  <a:headEnd type="none" w="med" len="med"/>
                                  <a:tailEnd type="triangle" w="med" len="med"/>
                                </a:ln>
                              </wps:spPr>
                              <wps:bodyPr/>
                            </wps:wsp>
                            <wps:wsp>
                              <wps:cNvPr id="106" name="AutoShape 30"/>
                              <wps:cNvCnPr>
                                <a:cxnSpLocks noChangeShapeType="1"/>
                                <a:stCxn id="39" idx="2"/>
                                <a:endCxn id="36" idx="0"/>
                              </wps:cNvCnPr>
                              <wps:spPr bwMode="auto">
                                <a:xfrm>
                                  <a:off x="4505766" y="666399"/>
                                  <a:ext cx="19050" cy="419100"/>
                                </a:xfrm>
                                <a:prstGeom prst="straightConnector1">
                                  <a:avLst/>
                                </a:prstGeom>
                                <a:noFill/>
                                <a:ln w="9525">
                                  <a:solidFill>
                                    <a:srgbClr val="000000"/>
                                  </a:solidFill>
                                  <a:round/>
                                  <a:headEnd type="none" w="med" len="med"/>
                                  <a:tailEnd type="triangle" w="med" len="med"/>
                                </a:ln>
                              </wps:spPr>
                              <wps:bodyPr/>
                            </wps:wsp>
                            <wps:wsp>
                              <wps:cNvPr id="107" name="AutoShape 31"/>
                              <wps:cNvCnPr>
                                <a:cxnSpLocks noChangeShapeType="1"/>
                                <a:stCxn id="36" idx="2"/>
                                <a:endCxn id="37" idx="0"/>
                              </wps:cNvCnPr>
                              <wps:spPr bwMode="auto">
                                <a:xfrm>
                                  <a:off x="4524816" y="1371249"/>
                                  <a:ext cx="635" cy="381000"/>
                                </a:xfrm>
                                <a:prstGeom prst="straightConnector1">
                                  <a:avLst/>
                                </a:prstGeom>
                                <a:noFill/>
                                <a:ln w="9525">
                                  <a:solidFill>
                                    <a:srgbClr val="000000"/>
                                  </a:solidFill>
                                  <a:round/>
                                  <a:headEnd type="none" w="med" len="med"/>
                                  <a:tailEnd type="triangle" w="med" len="med"/>
                                </a:ln>
                              </wps:spPr>
                              <wps:bodyPr/>
                            </wps:wsp>
                            <wps:wsp>
                              <wps:cNvPr id="108" name="AutoShape 32"/>
                              <wps:cNvCnPr>
                                <a:cxnSpLocks noChangeShapeType="1"/>
                                <a:stCxn id="37" idx="2"/>
                                <a:endCxn id="38" idx="0"/>
                              </wps:cNvCnPr>
                              <wps:spPr bwMode="auto">
                                <a:xfrm flipH="1">
                                  <a:off x="4515291" y="2066574"/>
                                  <a:ext cx="9525" cy="322580"/>
                                </a:xfrm>
                                <a:prstGeom prst="straightConnector1">
                                  <a:avLst/>
                                </a:prstGeom>
                                <a:noFill/>
                                <a:ln w="9525">
                                  <a:solidFill>
                                    <a:srgbClr val="000000"/>
                                  </a:solidFill>
                                  <a:round/>
                                  <a:headEnd type="none" w="med" len="med"/>
                                  <a:tailEnd type="triangle" w="med" len="med"/>
                                </a:ln>
                              </wps:spPr>
                              <wps:bodyPr/>
                            </wps:wsp>
                            <wps:wsp>
                              <wps:cNvPr id="75" name="AutoShape 31"/>
                              <wps:cNvCnPr>
                                <a:cxnSpLocks noChangeShapeType="1"/>
                              </wps:cNvCnPr>
                              <wps:spPr bwMode="auto">
                                <a:xfrm>
                                  <a:off x="2539516" y="1092352"/>
                                  <a:ext cx="635" cy="380365"/>
                                </a:xfrm>
                                <a:prstGeom prst="straightConnector1">
                                  <a:avLst/>
                                </a:prstGeom>
                                <a:noFill/>
                                <a:ln w="9525">
                                  <a:solidFill>
                                    <a:srgbClr val="000000"/>
                                  </a:solidFill>
                                  <a:round/>
                                  <a:headEnd type="none" w="med" len="med"/>
                                  <a:tailEnd type="triangle" w="med" len="med"/>
                                </a:ln>
                              </wps:spPr>
                              <wps:bodyPr/>
                            </wps:wsp>
                            <wps:wsp>
                              <wps:cNvPr id="76" name="Rectangle 13"/>
                              <wps:cNvSpPr>
                                <a:spLocks noChangeArrowheads="1"/>
                              </wps:cNvSpPr>
                              <wps:spPr bwMode="auto">
                                <a:xfrm>
                                  <a:off x="2287270" y="1472565"/>
                                  <a:ext cx="818515" cy="313690"/>
                                </a:xfrm>
                                <a:prstGeom prst="rect">
                                  <a:avLst/>
                                </a:prstGeom>
                                <a:solidFill>
                                  <a:srgbClr val="FFFFFF"/>
                                </a:solidFill>
                                <a:ln w="9525">
                                  <a:solidFill>
                                    <a:srgbClr val="000000"/>
                                  </a:solidFill>
                                  <a:miter lim="800000"/>
                                </a:ln>
                              </wps:spPr>
                              <wps:txbx>
                                <w:txbxContent>
                                  <w:p w14:paraId="665B7781">
                                    <w:pPr>
                                      <w:pStyle w:val="26"/>
                                      <w:spacing w:before="0" w:beforeAutospacing="0" w:after="0" w:afterAutospacing="0"/>
                                      <w:jc w:val="center"/>
                                      <w:rPr>
                                        <w:rFonts w:hint="eastAsia"/>
                                        <w:szCs w:val="24"/>
                                      </w:rPr>
                                    </w:pPr>
                                    <w:r>
                                      <w:rPr>
                                        <w:rFonts w:hint="eastAsia" w:ascii="Times New Roman"/>
                                        <w:kern w:val="2"/>
                                        <w:sz w:val="21"/>
                                        <w:szCs w:val="21"/>
                                      </w:rPr>
                                      <w:t>雕刻、切割</w:t>
                                    </w:r>
                                  </w:p>
                                </w:txbxContent>
                              </wps:txbx>
                              <wps:bodyPr rot="0" vert="horz" wrap="square" lIns="91440" tIns="45720" rIns="91440" bIns="45720" anchor="t" anchorCtr="0" upright="1">
                                <a:noAutofit/>
                              </wps:bodyPr>
                            </wps:wsp>
                            <wps:wsp>
                              <wps:cNvPr id="77" name="AutoShape 32"/>
                              <wps:cNvCnPr>
                                <a:cxnSpLocks noChangeShapeType="1"/>
                              </wps:cNvCnPr>
                              <wps:spPr bwMode="auto">
                                <a:xfrm flipH="1">
                                  <a:off x="2553261" y="1827740"/>
                                  <a:ext cx="9525" cy="321945"/>
                                </a:xfrm>
                                <a:prstGeom prst="straightConnector1">
                                  <a:avLst/>
                                </a:prstGeom>
                                <a:noFill/>
                                <a:ln w="9525">
                                  <a:solidFill>
                                    <a:srgbClr val="000000"/>
                                  </a:solidFill>
                                  <a:round/>
                                  <a:headEnd type="none" w="med" len="med"/>
                                  <a:tailEnd type="triangle" w="med" len="med"/>
                                </a:ln>
                              </wps:spPr>
                              <wps:bodyPr/>
                            </wps:wsp>
                            <wps:wsp>
                              <wps:cNvPr id="78" name="Rectangle 14"/>
                              <wps:cNvSpPr>
                                <a:spLocks noChangeArrowheads="1"/>
                              </wps:cNvSpPr>
                              <wps:spPr bwMode="auto">
                                <a:xfrm>
                                  <a:off x="2286635" y="2149475"/>
                                  <a:ext cx="743585" cy="313690"/>
                                </a:xfrm>
                                <a:prstGeom prst="rect">
                                  <a:avLst/>
                                </a:prstGeom>
                                <a:solidFill>
                                  <a:srgbClr val="FFFFFF"/>
                                </a:solidFill>
                                <a:ln w="9525">
                                  <a:solidFill>
                                    <a:srgbClr val="000000"/>
                                  </a:solidFill>
                                  <a:miter lim="800000"/>
                                </a:ln>
                              </wps:spPr>
                              <wps:txbx>
                                <w:txbxContent>
                                  <w:p w14:paraId="435CE540">
                                    <w:pPr>
                                      <w:pStyle w:val="26"/>
                                      <w:spacing w:before="0" w:beforeAutospacing="0" w:after="0" w:afterAutospacing="0"/>
                                      <w:jc w:val="center"/>
                                      <w:rPr>
                                        <w:szCs w:val="24"/>
                                      </w:rPr>
                                    </w:pPr>
                                    <w:r>
                                      <w:rPr>
                                        <w:rFonts w:hint="eastAsia" w:ascii="Times New Roman"/>
                                        <w:kern w:val="2"/>
                                        <w:sz w:val="21"/>
                                        <w:szCs w:val="21"/>
                                      </w:rPr>
                                      <w:t>焊接</w:t>
                                    </w:r>
                                  </w:p>
                                </w:txbxContent>
                              </wps:txbx>
                              <wps:bodyPr rot="0" vert="horz" wrap="square" lIns="91440" tIns="45720" rIns="91440" bIns="45720" anchor="t" anchorCtr="0" upright="1">
                                <a:noAutofit/>
                              </wps:bodyPr>
                            </wps:wsp>
                            <wps:wsp>
                              <wps:cNvPr id="79" name="Rectangle 14"/>
                              <wps:cNvSpPr>
                                <a:spLocks noChangeArrowheads="1"/>
                              </wps:cNvSpPr>
                              <wps:spPr bwMode="auto">
                                <a:xfrm>
                                  <a:off x="3118926" y="2150348"/>
                                  <a:ext cx="885825" cy="313055"/>
                                </a:xfrm>
                                <a:prstGeom prst="rect">
                                  <a:avLst/>
                                </a:prstGeom>
                                <a:solidFill>
                                  <a:srgbClr val="FFFFFF"/>
                                </a:solidFill>
                                <a:ln w="9525">
                                  <a:solidFill>
                                    <a:srgbClr val="000000"/>
                                  </a:solidFill>
                                  <a:miter lim="800000"/>
                                </a:ln>
                              </wps:spPr>
                              <wps:txbx>
                                <w:txbxContent>
                                  <w:p w14:paraId="77D556C2">
                                    <w:pPr>
                                      <w:pStyle w:val="26"/>
                                      <w:spacing w:before="0" w:beforeAutospacing="0" w:after="0" w:afterAutospacing="0"/>
                                      <w:jc w:val="center"/>
                                      <w:rPr>
                                        <w:szCs w:val="24"/>
                                      </w:rPr>
                                    </w:pPr>
                                    <w:r>
                                      <w:rPr>
                                        <w:rFonts w:hint="eastAsia" w:ascii="Times New Roman"/>
                                        <w:kern w:val="2"/>
                                        <w:sz w:val="21"/>
                                        <w:szCs w:val="21"/>
                                      </w:rPr>
                                      <w:t>外购配件</w:t>
                                    </w:r>
                                  </w:p>
                                </w:txbxContent>
                              </wps:txbx>
                              <wps:bodyPr rot="0" vert="horz" wrap="square" lIns="91440" tIns="45720" rIns="91440" bIns="45720" anchor="t" anchorCtr="0" upright="1">
                                <a:noAutofit/>
                              </wps:bodyPr>
                            </wps:wsp>
                            <wps:wsp>
                              <wps:cNvPr id="80" name="AutoShape 32"/>
                              <wps:cNvCnPr>
                                <a:cxnSpLocks noChangeShapeType="1"/>
                              </wps:cNvCnPr>
                              <wps:spPr bwMode="auto">
                                <a:xfrm flipH="1">
                                  <a:off x="3567436" y="2487393"/>
                                  <a:ext cx="9525" cy="321945"/>
                                </a:xfrm>
                                <a:prstGeom prst="straightConnector1">
                                  <a:avLst/>
                                </a:prstGeom>
                                <a:noFill/>
                                <a:ln w="9525">
                                  <a:solidFill>
                                    <a:srgbClr val="000000"/>
                                  </a:solidFill>
                                  <a:round/>
                                  <a:headEnd type="none" w="med" len="med"/>
                                  <a:tailEnd type="triangle" w="med" len="med"/>
                                </a:ln>
                              </wps:spPr>
                              <wps:bodyPr/>
                            </wps:wsp>
                          </wpc:wpc>
                        </a:graphicData>
                      </a:graphic>
                    </wp:inline>
                  </w:drawing>
                </mc:Choice>
                <mc:Fallback>
                  <w:pict>
                    <v:group id="_x0000_s1026" o:spid="_x0000_s1026" o:spt="203" style="height:395.15pt;width:394.1pt;" coordsize="5005070,5018405" editas="canvas" o:gfxdata="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">
                      <o:lock v:ext="edit" aspectratio="f"/>
                      <v:shape id="_x0000_s1026" o:spid="_x0000_s1026" style="position:absolute;left:0;top:0;height:5018405;width:5005070;" filled="f" stroked="f" coordsize="21600,21600" o:gfxdata="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">
                        <v:fill on="f" focussize="0,0"/>
                        <v:stroke on="f"/>
                        <v:imagedata o:title=""/>
                        <o:lock v:ext="edit" aspectratio="t"/>
                      </v:shape>
                      <v:rect id="Rectangle 5" o:spid="_x0000_s1026" o:spt="1" style="position:absolute;left:434441;top:333659;height:294005;width:875665;" fillcolor="#FFFFFF" filled="t" stroked="t" coordsize="21600,21600" o:gfxdata="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czGA3UAAAABQEAAA8AAAAAAAAAAQAgAAAAIgAAAGRycy9kb3ducmV2&#10;LnhtbFBLAQIUABQAAAAIAIdO4kB9MLviOQIAAIYEAAAOAAAAAAAAAAEAIAAAACMBAABkcnMvZTJv&#10;RG9jLnhtbFBLBQYAAAAABgAGAFkBAADOBQAAAAA=&#10;">
                        <v:fill on="t" focussize="0,0"/>
                        <v:stroke color="#000000" miterlimit="8" joinstyle="miter"/>
                        <v:imagedata o:title=""/>
                        <o:lock v:ext="edit" aspectratio="f"/>
                        <v:textbox>
                          <w:txbxContent>
                            <w:p w14:paraId="7B873CA0">
                              <w:pPr>
                                <w:jc w:val="center"/>
                              </w:pPr>
                              <w:r>
                                <w:rPr>
                                  <w:rFonts w:hint="eastAsia"/>
                                </w:rPr>
                                <w:t>进料</w:t>
                              </w:r>
                            </w:p>
                          </w:txbxContent>
                        </v:textbox>
                      </v:rect>
                      <v:rect id="Rectangle 6" o:spid="_x0000_s1026" o:spt="1" style="position:absolute;left:2248535;top:787400;height:304800;width:820420;" fillcolor="#FFFFFF" filled="t" stroked="t" coordsize="21600,21600" o:gfxdata="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3MxgN1AAAAAUBAAAPAAAAAAAAAAEAIAAAACIAAABkcnMvZG93bnJldi54&#10;bWxQSwECFAAUAAAACACHTuJAddhsDzcCAACHBAAADgAAAAAAAAABACAAAAAjAQAAZHJzL2Uyb0Rv&#10;Yy54bWxQSwUGAAAAAAYABgBZAQAAzAUAAAAA&#10;">
                        <v:fill on="t" focussize="0,0"/>
                        <v:stroke color="#000000" miterlimit="8" joinstyle="miter"/>
                        <v:imagedata o:title=""/>
                        <o:lock v:ext="edit" aspectratio="f"/>
                        <v:textbox>
                          <w:txbxContent>
                            <w:p w14:paraId="0E2DB7DF">
                              <w:pPr>
                                <w:jc w:val="center"/>
                                <w:rPr>
                                  <w:rFonts w:hint="eastAsia"/>
                                </w:rPr>
                              </w:pPr>
                              <w:r>
                                <w:rPr>
                                  <w:rFonts w:hint="eastAsia"/>
                                </w:rPr>
                                <w:t>金属管材</w:t>
                              </w:r>
                            </w:p>
                          </w:txbxContent>
                        </v:textbox>
                      </v:rect>
                      <v:rect id="Rectangle 8" o:spid="_x0000_s1026" o:spt="1" style="position:absolute;left:443967;top:2389154;height:296545;width:915670;" fillcolor="#FFFFFF" filled="t" stroked="t" coordsize="21600,21600" o:gfxdata="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czGA3UAAAABQEAAA8AAAAAAAAAAQAgAAAAIgAAAGRycy9kb3ducmV2&#10;LnhtbFBLAQIUABQAAAAIAIdO4kAtZ5ABOQIAAIgEAAAOAAAAAAAAAAEAIAAAACMBAABkcnMvZTJv&#10;RG9jLnhtbFBLBQYAAAAABgAGAFkBAADOBQAAAAA=&#10;">
                        <v:fill on="t" focussize="0,0"/>
                        <v:stroke color="#000000" miterlimit="8" joinstyle="miter"/>
                        <v:imagedata o:title=""/>
                        <o:lock v:ext="edit" aspectratio="f"/>
                        <v:textbox>
                          <w:txbxContent>
                            <w:p w14:paraId="3CCD33AC">
                              <w:pPr>
                                <w:jc w:val="center"/>
                              </w:pPr>
                              <w:r>
                                <w:rPr>
                                  <w:rFonts w:hint="eastAsia"/>
                                </w:rPr>
                                <w:t>塑料配件</w:t>
                              </w:r>
                            </w:p>
                          </w:txbxContent>
                        </v:textbox>
                      </v:rect>
                      <v:rect id="Rectangle 10" o:spid="_x0000_s1026" o:spt="1" style="position:absolute;left:434441;top:1702719;height:325755;width:954405;" fillcolor="#FFFFFF" filled="t" stroked="t" coordsize="21600,21600" o:gfxdata="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3MxgN1AAAAAUBAAAPAAAAAAAAAAEAIAAAACIAAABkcnMvZG93bnJl&#10;di54bWxQSwECFAAUAAAACACHTuJArF3wEDoCAACJBAAADgAAAAAAAAABACAAAAAjAQAAZHJzL2Uy&#10;b0RvYy54bWxQSwUGAAAAAAYABgBZAQAAzwUAAAAA&#10;">
                        <v:fill on="t" focussize="0,0"/>
                        <v:stroke color="#000000" miterlimit="8" joinstyle="miter"/>
                        <v:imagedata o:title=""/>
                        <o:lock v:ext="edit" aspectratio="f"/>
                        <v:textbox>
                          <w:txbxContent>
                            <w:p w14:paraId="7A554776">
                              <w:pPr>
                                <w:jc w:val="center"/>
                              </w:pPr>
                              <w:r>
                                <w:rPr>
                                  <w:rFonts w:hint="eastAsia"/>
                                </w:rPr>
                                <w:t>修边</w:t>
                              </w:r>
                            </w:p>
                          </w:txbxContent>
                        </v:textbox>
                      </v:rect>
                      <v:rect id="Rectangle 11" o:spid="_x0000_s1026" o:spt="1" style="position:absolute;left:443966;top:1025174;height:323215;width:925195;" fillcolor="#FFFFFF" filled="t" stroked="t" coordsize="21600,21600" o:gfxdata="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9zMYDdQAAAAFAQAADwAAAAAAAAABACAAAAAiAAAAZHJzL2Rvd25yZXYu&#10;eG1sUEsBAhQAFAAAAAgAh07iQCREI204AgAAiQQAAA4AAAAAAAAAAQAgAAAAIwEAAGRycy9lMm9E&#10;b2MueG1sUEsFBgAAAAAGAAYAWQEAAM0FAAAAAA==&#10;">
                        <v:fill on="t" focussize="0,0"/>
                        <v:stroke color="#000000" miterlimit="8" joinstyle="miter"/>
                        <v:imagedata o:title=""/>
                        <o:lock v:ext="edit" aspectratio="f"/>
                        <v:textbox>
                          <w:txbxContent>
                            <w:p w14:paraId="34A37E91">
                              <w:pPr>
                                <w:jc w:val="center"/>
                              </w:pPr>
                              <w:r>
                                <w:rPr>
                                  <w:rFonts w:hint="eastAsia"/>
                                </w:rPr>
                                <w:t>注塑成型</w:t>
                              </w:r>
                            </w:p>
                          </w:txbxContent>
                        </v:textbox>
                      </v:rect>
                      <v:rect id="Rectangle 12" o:spid="_x0000_s1026" o:spt="1" style="position:absolute;left:4053646;top:1085499;height:285750;width:942340;" fillcolor="#FFFFFF" filled="t" stroked="t" coordsize="21600,21600" o:gfxdata="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czGA3UAAAABQEAAA8AAAAAAAAAAQAgAAAAIgAAAGRycy9kb3du&#10;cmV2LnhtbFBLAQIUABQAAAAIAIdO4kDphdjnPAIAAIoEAAAOAAAAAAAAAAEAIAAAACMBAABkcnMv&#10;ZTJvRG9jLnhtbFBLBQYAAAAABgAGAFkBAADRBQAAAAA=&#10;">
                        <v:fill on="t" focussize="0,0"/>
                        <v:stroke color="#000000" miterlimit="8" joinstyle="miter"/>
                        <v:imagedata o:title=""/>
                        <o:lock v:ext="edit" aspectratio="f"/>
                        <v:textbox>
                          <w:txbxContent>
                            <w:p w14:paraId="7F3B4E86">
                              <w:pPr>
                                <w:jc w:val="center"/>
                              </w:pPr>
                              <w:r>
                                <w:rPr>
                                  <w:rFonts w:hint="eastAsia"/>
                                </w:rPr>
                                <w:t>缝纫</w:t>
                              </w:r>
                            </w:p>
                          </w:txbxContent>
                        </v:textbox>
                      </v:rect>
                      <v:rect id="Rectangle 13" o:spid="_x0000_s1026" o:spt="1" style="position:absolute;left:4044121;top:1752249;height:314325;width:961390;" fillcolor="#FFFFFF" filled="t" stroked="t" coordsize="21600,21600" o:gfxdata="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9zMYDdQAAAAFAQAADwAAAAAAAAABACAAAAAiAAAAZHJzL2Rvd25yZXYu&#10;eG1sUEsBAhQAFAAAAAgAh07iQJzEEsU4AgAAigQAAA4AAAAAAAAAAQAgAAAAIwEAAGRycy9lMm9E&#10;b2MueG1sUEsFBgAAAAAGAAYAWQEAAM0FAAAAAA==&#10;">
                        <v:fill on="t" focussize="0,0"/>
                        <v:stroke color="#000000" miterlimit="8" joinstyle="miter"/>
                        <v:imagedata o:title=""/>
                        <o:lock v:ext="edit" aspectratio="f"/>
                        <v:textbox>
                          <w:txbxContent>
                            <w:p w14:paraId="21406052">
                              <w:pPr>
                                <w:jc w:val="center"/>
                              </w:pPr>
                              <w:r>
                                <w:rPr>
                                  <w:rFonts w:hint="eastAsia"/>
                                </w:rPr>
                                <w:t>枪钉</w:t>
                              </w:r>
                            </w:p>
                          </w:txbxContent>
                        </v:textbox>
                      </v:rect>
                      <v:rect id="Rectangle 14" o:spid="_x0000_s1026" o:spt="1" style="position:absolute;left:4072061;top:2389154;height:314325;width:885825;" fillcolor="#FFFFFF" filled="t" stroked="t" coordsize="21600,21600" o:gfxdata="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3MxgN1AAAAAUBAAAPAAAAAAAAAAEAIAAAACIAAABkcnMvZG93bnJldi54&#10;bWxQSwECFAAUAAAACACHTuJAkuGtCjcCAACKBAAADgAAAAAAAAABACAAAAAjAQAAZHJzL2Uyb0Rv&#10;Yy54bWxQSwUGAAAAAAYABgBZAQAAzAUAAAAA&#10;">
                        <v:fill on="t" focussize="0,0"/>
                        <v:stroke color="#000000" miterlimit="8" joinstyle="miter"/>
                        <v:imagedata o:title=""/>
                        <o:lock v:ext="edit" aspectratio="f"/>
                        <v:textbox>
                          <w:txbxContent>
                            <w:p w14:paraId="3DBBE429">
                              <w:pPr>
                                <w:jc w:val="center"/>
                              </w:pPr>
                              <w:r>
                                <w:rPr>
                                  <w:rFonts w:hint="eastAsia"/>
                                </w:rPr>
                                <w:t>转椅配件</w:t>
                              </w:r>
                            </w:p>
                          </w:txbxContent>
                        </v:textbox>
                      </v:rect>
                      <v:rect id="Rectangle 15" o:spid="_x0000_s1026" o:spt="1" style="position:absolute;left:4043486;top:396524;height:269875;width:923925;" fillcolor="#FFFFFF" filled="t" stroked="t" coordsize="21600,21600" o:gfxdata="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9zMYDdQAAAAFAQAADwAAAAAAAAABACAAAAAiAAAAZHJzL2Rvd25yZXYu&#10;eG1sUEsBAhQAFAAAAAgAh07iQEnFYyo4AgAAiQQAAA4AAAAAAAAAAQAgAAAAIwEAAGRycy9lMm9E&#10;b2MueG1sUEsFBgAAAAAGAAYAWQEAAM0FAAAAAA==&#10;">
                        <v:fill on="t" focussize="0,0"/>
                        <v:stroke color="#000000" miterlimit="8" joinstyle="miter"/>
                        <v:imagedata o:title=""/>
                        <o:lock v:ext="edit" aspectratio="f"/>
                        <v:textbox>
                          <w:txbxContent>
                            <w:p w14:paraId="6C2CBF7A">
                              <w:pPr>
                                <w:jc w:val="center"/>
                              </w:pPr>
                              <w:r>
                                <w:rPr>
                                  <w:rFonts w:hint="eastAsia"/>
                                </w:rPr>
                                <w:t>剪裁</w:t>
                              </w:r>
                            </w:p>
                          </w:txbxContent>
                        </v:textbox>
                      </v:rect>
                      <v:rect id="Rectangle 16" o:spid="_x0000_s1026" o:spt="1" style="position:absolute;left:2348036;top:3209574;height:304800;width:770890;" fillcolor="#FFFFFF" filled="t" stroked="t" coordsize="21600,21600" o:gfxdata="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czGA3UAAAABQEAAA8AAAAAAAAAAQAgAAAAIgAAAGRycy9kb3du&#10;cmV2LnhtbFBLAQIUABQAAAAIAIdO4kAtORf3PAIAAIoEAAAOAAAAAAAAAAEAIAAAACMBAABkcnMv&#10;ZTJvRG9jLnhtbFBLBQYAAAAABgAGAFkBAADRBQAAAAA=&#10;">
                        <v:fill on="t" focussize="0,0"/>
                        <v:stroke color="#000000" miterlimit="8" joinstyle="miter"/>
                        <v:imagedata o:title=""/>
                        <o:lock v:ext="edit" aspectratio="f"/>
                        <v:textbox>
                          <w:txbxContent>
                            <w:p w14:paraId="0BBA8936">
                              <w:pPr>
                                <w:jc w:val="center"/>
                              </w:pPr>
                              <w:r>
                                <w:rPr>
                                  <w:rFonts w:hint="eastAsia"/>
                                </w:rPr>
                                <w:t>装配</w:t>
                              </w:r>
                            </w:p>
                          </w:txbxContent>
                        </v:textbox>
                      </v:rect>
                      <v:rect id="Rectangle 17" o:spid="_x0000_s1026" o:spt="1" style="position:absolute;left:2338511;top:3942999;height:304800;width:770890;" fillcolor="#FFFFFF" filled="t" stroked="t" coordsize="21600,21600" o:gfxdata="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9zMYDdQAAAAFAQAADwAAAAAAAAABACAAAAAiAAAAZHJzL2Rv&#10;d25yZXYueG1sUEsBAhQAFAAAAAgAh07iQEVYY/M+AgAAigQAAA4AAAAAAAAAAQAgAAAAIwEAAGRy&#10;cy9lMm9Eb2MueG1sUEsFBgAAAAAGAAYAWQEAANMFAAAAAA==&#10;">
                        <v:fill on="t" focussize="0,0"/>
                        <v:stroke color="#000000" miterlimit="8" joinstyle="miter"/>
                        <v:imagedata o:title=""/>
                        <o:lock v:ext="edit" aspectratio="f"/>
                        <v:textbox>
                          <w:txbxContent>
                            <w:p w14:paraId="0E2E80A9">
                              <w:pPr>
                                <w:jc w:val="center"/>
                              </w:pPr>
                              <w:r>
                                <w:rPr>
                                  <w:rFonts w:hint="eastAsia"/>
                                </w:rPr>
                                <w:t>质检包装</w:t>
                              </w:r>
                            </w:p>
                          </w:txbxContent>
                        </v:textbox>
                      </v:rect>
                      <v:rect id="Rectangle 18" o:spid="_x0000_s1026" o:spt="1" style="position:absolute;left:2357755;top:4714240;height:233680;width:770890;" fillcolor="#FFFFFF" filled="t" stroked="t" coordsize="21600,21600" o:gfxdata="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czGA3UAAAABQEAAA8AAAAAAAAAAQAgAAAAIgAAAGRycy9kb3du&#10;cmV2LnhtbFBLAQIUABQAAAAIAIdO4kDniJpnPAIAAIoEAAAOAAAAAAAAAAEAIAAAACMBAABkcnMv&#10;ZTJvRG9jLnhtbFBLBQYAAAAABgAGAFkBAADRBQAAAAA=&#10;">
                        <v:fill on="t" focussize="0,0"/>
                        <v:stroke color="#000000" miterlimit="8" joinstyle="miter"/>
                        <v:imagedata o:title=""/>
                        <o:lock v:ext="edit" aspectratio="f"/>
                        <v:textbox>
                          <w:txbxContent>
                            <w:p w14:paraId="290A9509">
                              <w:pPr>
                                <w:jc w:val="center"/>
                              </w:pPr>
                              <w:r>
                                <w:rPr>
                                  <w:rFonts w:hint="eastAsia"/>
                                </w:rPr>
                                <w:t>成品</w:t>
                              </w:r>
                            </w:p>
                          </w:txbxContent>
                        </v:textbox>
                      </v:rect>
                      <v:shape id="Freeform 19" o:spid="_x0000_s1026" o:spt="100" style="position:absolute;left:1071686;top:2704749;height:104775;width:3476625;" filled="f" stroked="t" coordsize="5475,165" o:gfxdata="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AAAAABkcnMvUEsBAhQAFAAAAAgAh07iQI1y7OzWAAAABQEAAA8AAAAAAAAAAQAgAAAAIgAA&#10;AGRycy9kb3ducmV2LnhtbFBLAQIUABQAAAAIAIdO4kDBC+Ww7gIAAB0HAAAOAAAAAAAAAAEAIAAA&#10;ACUBAABkcnMvZTJvRG9jLnhtbFBLBQYAAAAABgAGAFkBAACFBgAAAAA=&#10;" path="m0,0l0,165,5475,165,5475,0e">
                        <v:path o:connectlocs="0,0;0,104775;3476625,104775;3476625,0" o:connectangles="0,0,0,0"/>
                        <v:fill on="f" focussize="0,0"/>
                        <v:stroke weight="1.5pt" color="#000000" joinstyle="round"/>
                        <v:imagedata o:title=""/>
                        <o:lock v:ext="edit" aspectratio="f"/>
                      </v:shape>
                      <v:shape id="AutoShape 20" o:spid="_x0000_s1026" o:spt="32" type="#_x0000_t32" style="position:absolute;left:2733481;top:4238909;height:475615;width:9525;" filled="f" stroked="t" coordsize="21600,21600" o:gfxdata="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VP5b3XAAAABQEAAA8AAAAAAAAAAQAgAAAAIgAA&#10;AGRycy9kb3ducmV2LnhtbFBLAQIUABQAAAAIAIdO4kDjceWfCQIAABoEAAAOAAAAAAAAAAEAIAAA&#10;ACYBAABkcnMvZTJvRG9jLnhtbFBLBQYAAAAABgAGAFkBAAChBQAAAAA=&#10;">
                        <v:fill on="f" focussize="0,0"/>
                        <v:stroke color="#000000" joinstyle="round" endarrow="block"/>
                        <v:imagedata o:title=""/>
                        <o:lock v:ext="edit" aspectratio="f"/>
                      </v:shape>
                      <v:shape id="AutoShape 21" o:spid="_x0000_s1026" o:spt="32" type="#_x0000_t32" style="position:absolute;left:2733481;top:3504849;height:475615;width:9525;" filled="f" stroked="t" coordsize="21600,21600" o:gfxdata="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U/lvdcAAAAFAQAADwAAAAAAAAABACAAAAAiAAAA&#10;ZHJzL2Rvd25yZXYueG1sUEsBAhQAFAAAAAgAh07iQDcxwzUIAgAAGgQAAA4AAAAAAAAAAQAgAAAA&#10;JgEAAGRycy9lMm9Eb2MueG1sUEsFBgAAAAAGAAYAWQEAAKAFAAAAAA==&#10;">
                        <v:fill on="f" focussize="0,0"/>
                        <v:stroke color="#000000" joinstyle="round" endarrow="block"/>
                        <v:imagedata o:title=""/>
                        <o:lock v:ext="edit" aspectratio="f"/>
                      </v:shape>
                      <v:shape id="AutoShape 22" o:spid="_x0000_s1026" o:spt="32" type="#_x0000_t32" style="position:absolute;left:2572311;top:2487193;height:673867;width:0;" filled="f" stroked="t" coordsize="21600,21600" o:gfxdata="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U/lvdcAAAAFAQAADwAAAAAAAAABACAAAAAi&#10;AAAAZHJzL2Rvd25yZXYueG1sUEsBAhQAFAAAAAgAh07iQN0wr2MLAgAAFwQAAA4AAAAAAAAAAQAg&#10;AAAAJgEAAGRycy9lMm9Eb2MueG1sUEsFBgAAAAAGAAYAWQEAAKMFAAAAAA==&#10;">
                        <v:fill on="f" focussize="0,0"/>
                        <v:stroke color="#000000" joinstyle="round" endarrow="block"/>
                        <v:imagedata o:title=""/>
                        <o:lock v:ext="edit" aspectratio="f"/>
                      </v:shape>
                      <v:shape id="AutoShape 26" o:spid="_x0000_s1026" o:spt="32" type="#_x0000_t32" style="position:absolute;left:903072;top:703864;flip:x;height:304800;width:635;" filled="f" stroked="t" coordsize="21600,21600" o:gfxdata="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XTzcPVAAAABQEAAA8AAAAAAAAAAQAg&#10;AAAAIgAAAGRycy9kb3ducmV2LnhtbFBLAQIUABQAAAAIAIdO4kDX5qLOEQIAACEEAAAOAAAAAAAA&#10;AAEAIAAAACQBAABkcnMvZTJvRG9jLnhtbFBLBQYAAAAABgAGAFkBAACnBQAAAAA=&#10;">
                        <v:fill on="f" focussize="0,0"/>
                        <v:stroke color="#000000" joinstyle="round" endarrow="block"/>
                        <v:imagedata o:title=""/>
                        <o:lock v:ext="edit" aspectratio="f"/>
                      </v:shape>
                      <v:shape id="AutoShape 27" o:spid="_x0000_s1026" o:spt="32" type="#_x0000_t32" style="position:absolute;left:902437;top:1399189;flip:x;height:284480;width:635;" filled="f" stroked="t" coordsize="21600,21600" o:gfxdata="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1083D1QAAAAUBAAAPAAAAAAAAAAEA&#10;IAAAACIAAABkcnMvZG93bnJldi54bWxQSwECFAAUAAAACACHTuJAoHmm+RICAAAiBAAADgAAAAAA&#10;AAABACAAAAAkAQAAZHJzL2Uyb0RvYy54bWxQSwUGAAAAAAYABgBZAQAAqAUAAAAA&#10;">
                        <v:fill on="f" focussize="0,0"/>
                        <v:stroke color="#000000" joinstyle="round" endarrow="block"/>
                        <v:imagedata o:title=""/>
                        <o:lock v:ext="edit" aspectratio="f"/>
                      </v:shape>
                      <v:shape id="AutoShape 29" o:spid="_x0000_s1026" o:spt="32" type="#_x0000_t32" style="position:absolute;left:911644;top:2028261;height:360644;width:1588;" filled="f" stroked="t" coordsize="21600,21600" o:gfxdata="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FT+W91wAAAAUBAAAPAAAA&#10;AAAAAAEAIAAAACIAAABkcnMvZG93bnJldi54bWxQSwECFAAUAAAACACHTuJADL43JBYCAAA0BAAA&#10;DgAAAAAAAAABACAAAAAmAQAAZHJzL2Uyb0RvYy54bWxQSwUGAAAAAAYABgBZAQAArgUAAAAA&#10;">
                        <v:fill on="f" focussize="0,0"/>
                        <v:stroke color="#000000" joinstyle="round" endarrow="block"/>
                        <v:imagedata o:title=""/>
                        <o:lock v:ext="edit" aspectratio="f"/>
                      </v:shape>
                      <v:shape id="AutoShape 30" o:spid="_x0000_s1026" o:spt="32" type="#_x0000_t32" style="position:absolute;left:4505766;top:666399;height:419100;width:19050;" filled="f" stroked="t" coordsize="21600,21600" o:gfxdata="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F&#10;T+W91wAAAAUBAAAPAAAAAAAAAAEAIAAAACIAAABkcnMvZG93bnJldi54bWxQSwECFAAUAAAACACH&#10;TuJAUiz9MyUCAABQBAAADgAAAAAAAAABACAAAAAmAQAAZHJzL2Uyb0RvYy54bWxQSwUGAAAAAAYA&#10;BgBZAQAAvQUAAAAA&#10;">
                        <v:fill on="f" focussize="0,0"/>
                        <v:stroke color="#000000" joinstyle="round" endarrow="block"/>
                        <v:imagedata o:title=""/>
                        <o:lock v:ext="edit" aspectratio="f"/>
                      </v:shape>
                      <v:shape id="AutoShape 31" o:spid="_x0000_s1026" o:spt="32" type="#_x0000_t32" style="position:absolute;left:4524816;top:1371249;height:381000;width:635;" filled="f" stroked="t" coordsize="21600,21600" o:gfxdata="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F&#10;T+W91wAAAAUBAAAPAAAAAAAAAAEAIAAAACIAAABkcnMvZG93bnJldi54bWxQSwECFAAUAAAACACH&#10;TuJAPnRB5iUCAABPBAAADgAAAAAAAAABACAAAAAmAQAAZHJzL2Uyb0RvYy54bWxQSwUGAAAAAAYA&#10;BgBZAQAAvQUAAAAA&#10;">
                        <v:fill on="f" focussize="0,0"/>
                        <v:stroke color="#000000" joinstyle="round" endarrow="block"/>
                        <v:imagedata o:title=""/>
                        <o:lock v:ext="edit" aspectratio="f"/>
                      </v:shape>
                      <v:shape id="AutoShape 32" o:spid="_x0000_s1026" o:spt="32" type="#_x0000_t32" style="position:absolute;left:4515291;top:2066574;flip:x;height:322580;width:9525;" filled="f" stroked="t" coordsize="21600,21600" o:gfxdata="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XTzcPVAAAABQEAAA8AAAAAAAAAAQAgAAAAIgAAAGRycy9kb3ducmV2LnhtbFBLAQIUABQAAAAI&#10;AIdO4kBTOqyjKQIAAFoEAAAOAAAAAAAAAAEAIAAAACQBAABkcnMvZTJvRG9jLnhtbFBLBQYAAAAA&#10;BgAGAFkBAAC/BQAAAAA=&#10;">
                        <v:fill on="f" focussize="0,0"/>
                        <v:stroke color="#000000" joinstyle="round" endarrow="block"/>
                        <v:imagedata o:title=""/>
                        <o:lock v:ext="edit" aspectratio="f"/>
                      </v:shape>
                      <v:shape id="AutoShape 31" o:spid="_x0000_s1026" o:spt="32" type="#_x0000_t32" style="position:absolute;left:2539516;top:1092352;height:380365;width:635;" filled="f" stroked="t" coordsize="21600,21600" o:gfxdata="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VP5b3XAAAABQEAAA8AAAAAAAAAAQAgAAAAIgAA&#10;AGRycy9kb3ducmV2LnhtbFBLAQIUABQAAAAIAIdO4kBhu8sGCQIAABkEAAAOAAAAAAAAAAEAIAAA&#10;ACYBAABkcnMvZTJvRG9jLnhtbFBLBQYAAAAABgAGAFkBAAChBQAAAAA=&#10;">
                        <v:fill on="f" focussize="0,0"/>
                        <v:stroke color="#000000" joinstyle="round" endarrow="block"/>
                        <v:imagedata o:title=""/>
                        <o:lock v:ext="edit" aspectratio="f"/>
                      </v:shape>
                      <v:rect id="Rectangle 13" o:spid="_x0000_s1026" o:spt="1" style="position:absolute;left:2287270;top:1472565;height:313690;width:818515;" fillcolor="#FFFFFF" filled="t" stroked="t" coordsize="21600,21600" o:gfxdata="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3MxgN1AAAAAUBAAAPAAAAAAAAAAEAIAAAACIAAABkcnMvZG93&#10;bnJldi54bWxQSwECFAAUAAAACACHTuJASAeDvT0CAACKBAAADgAAAAAAAAABACAAAAAjAQAAZHJz&#10;L2Uyb0RvYy54bWxQSwUGAAAAAAYABgBZAQAA0gUAAAAA&#10;">
                        <v:fill on="t" focussize="0,0"/>
                        <v:stroke color="#000000" miterlimit="8" joinstyle="miter"/>
                        <v:imagedata o:title=""/>
                        <o:lock v:ext="edit" aspectratio="f"/>
                        <v:textbox>
                          <w:txbxContent>
                            <w:p w14:paraId="665B7781">
                              <w:pPr>
                                <w:pStyle w:val="26"/>
                                <w:spacing w:before="0" w:beforeAutospacing="0" w:after="0" w:afterAutospacing="0"/>
                                <w:jc w:val="center"/>
                                <w:rPr>
                                  <w:rFonts w:hint="eastAsia"/>
                                  <w:szCs w:val="24"/>
                                </w:rPr>
                              </w:pPr>
                              <w:r>
                                <w:rPr>
                                  <w:rFonts w:hint="eastAsia" w:ascii="Times New Roman"/>
                                  <w:kern w:val="2"/>
                                  <w:sz w:val="21"/>
                                  <w:szCs w:val="21"/>
                                </w:rPr>
                                <w:t>雕刻、切割</w:t>
                              </w:r>
                            </w:p>
                          </w:txbxContent>
                        </v:textbox>
                      </v:rect>
                      <v:shape id="AutoShape 32" o:spid="_x0000_s1026" o:spt="32" type="#_x0000_t32" style="position:absolute;left:2553261;top:1827740;flip:x;height:321945;width:9525;" filled="f" stroked="t" coordsize="21600,21600" o:gfxdata="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XTzcPVAAAABQEAAA8AAAAAAAAAAQAgAAAA&#10;IgAAAGRycy9kb3ducmV2LnhtbFBLAQIUABQAAAAIAIdO4kAautIiDgIAACQEAAAOAAAAAAAAAAEA&#10;IAAAACQBAABkcnMvZTJvRG9jLnhtbFBLBQYAAAAABgAGAFkBAACkBQAAAAA=&#10;">
                        <v:fill on="f" focussize="0,0"/>
                        <v:stroke color="#000000" joinstyle="round" endarrow="block"/>
                        <v:imagedata o:title=""/>
                        <o:lock v:ext="edit" aspectratio="f"/>
                      </v:shape>
                      <v:rect id="Rectangle 14" o:spid="_x0000_s1026" o:spt="1" style="position:absolute;left:2286635;top:2149475;height:313690;width:743585;" fillcolor="#FFFFFF" filled="t" stroked="t" coordsize="21600,21600" o:gfxdata="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3MxgN1AAAAAUBAAAPAAAAAAAAAAEAIAAAACIAAABkcnMvZG93&#10;bnJldi54bWxQSwECFAAUAAAACACHTuJA3sxGrT0CAACKBAAADgAAAAAAAAABACAAAAAjAQAAZHJz&#10;L2Uyb0RvYy54bWxQSwUGAAAAAAYABgBZAQAA0gUAAAAA&#10;">
                        <v:fill on="t" focussize="0,0"/>
                        <v:stroke color="#000000" miterlimit="8" joinstyle="miter"/>
                        <v:imagedata o:title=""/>
                        <o:lock v:ext="edit" aspectratio="f"/>
                        <v:textbox>
                          <w:txbxContent>
                            <w:p w14:paraId="435CE540">
                              <w:pPr>
                                <w:pStyle w:val="26"/>
                                <w:spacing w:before="0" w:beforeAutospacing="0" w:after="0" w:afterAutospacing="0"/>
                                <w:jc w:val="center"/>
                                <w:rPr>
                                  <w:szCs w:val="24"/>
                                </w:rPr>
                              </w:pPr>
                              <w:r>
                                <w:rPr>
                                  <w:rFonts w:hint="eastAsia" w:ascii="Times New Roman"/>
                                  <w:kern w:val="2"/>
                                  <w:sz w:val="21"/>
                                  <w:szCs w:val="21"/>
                                </w:rPr>
                                <w:t>焊接</w:t>
                              </w:r>
                            </w:p>
                          </w:txbxContent>
                        </v:textbox>
                      </v:rect>
                      <v:rect id="Rectangle 14" o:spid="_x0000_s1026" o:spt="1" style="position:absolute;left:3118926;top:2150348;height:313055;width:885825;" fillcolor="#FFFFFF" filled="t" stroked="t" coordsize="21600,21600" o:gfxdata="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czGA3UAAAABQEAAA8AAAAAAAAAAQAgAAAAIgAAAGRycy9kb3ducmV2&#10;LnhtbFBLAQIUABQAAAAIAIdO4kDR23NPOQIAAIoEAAAOAAAAAAAAAAEAIAAAACMBAABkcnMvZTJv&#10;RG9jLnhtbFBLBQYAAAAABgAGAFkBAADOBQAAAAA=&#10;">
                        <v:fill on="t" focussize="0,0"/>
                        <v:stroke color="#000000" miterlimit="8" joinstyle="miter"/>
                        <v:imagedata o:title=""/>
                        <o:lock v:ext="edit" aspectratio="f"/>
                        <v:textbox>
                          <w:txbxContent>
                            <w:p w14:paraId="77D556C2">
                              <w:pPr>
                                <w:pStyle w:val="26"/>
                                <w:spacing w:before="0" w:beforeAutospacing="0" w:after="0" w:afterAutospacing="0"/>
                                <w:jc w:val="center"/>
                                <w:rPr>
                                  <w:szCs w:val="24"/>
                                </w:rPr>
                              </w:pPr>
                              <w:r>
                                <w:rPr>
                                  <w:rFonts w:hint="eastAsia" w:ascii="Times New Roman"/>
                                  <w:kern w:val="2"/>
                                  <w:sz w:val="21"/>
                                  <w:szCs w:val="21"/>
                                </w:rPr>
                                <w:t>外购配件</w:t>
                              </w:r>
                            </w:p>
                          </w:txbxContent>
                        </v:textbox>
                      </v:rect>
                      <v:shape id="AutoShape 32" o:spid="_x0000_s1026" o:spt="32" type="#_x0000_t32" style="position:absolute;left:3567436;top:2487393;flip:x;height:321945;width:9525;" filled="f" stroked="t" coordsize="21600,21600" o:gfxdata="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ddPNw9UAAAAFAQAADwAAAAAAAAABACAA&#10;AAAiAAAAZHJzL2Rvd25yZXYueG1sUEsBAhQAFAAAAAgAh07iQEYgYfwQAgAAJAQAAA4AAAAAAAAA&#10;AQAgAAAAJAEAAGRycy9lMm9Eb2MueG1sUEsFBgAAAAAGAAYAWQEAAKYFAAAAAA==&#10;">
                        <v:fill on="f" focussize="0,0"/>
                        <v:stroke color="#000000" joinstyle="round" endarrow="block"/>
                        <v:imagedata o:title=""/>
                        <o:lock v:ext="edit" aspectratio="f"/>
                      </v:shape>
                      <w10:wrap type="none"/>
                      <w10:anchorlock/>
                    </v:group>
                  </w:pict>
                </mc:Fallback>
              </mc:AlternateContent>
            </w:r>
          </w:p>
          <w:p w14:paraId="3FBC21C4">
            <w:pPr>
              <w:pStyle w:val="52"/>
              <w:spacing w:line="360" w:lineRule="auto"/>
              <w:ind w:left="419"/>
              <w:rPr>
                <w:rFonts w:cs="Times New Roman"/>
              </w:rPr>
            </w:pPr>
            <w:r>
              <w:rPr>
                <w:rFonts w:cs="Times New Roman"/>
              </w:rPr>
              <w:t>图2-1电竞椅工艺及产污环节</w:t>
            </w:r>
          </w:p>
          <w:p w14:paraId="5253692D">
            <w:pPr>
              <w:adjustRightInd w:val="0"/>
              <w:spacing w:line="360" w:lineRule="auto"/>
              <w:ind w:firstLine="480" w:firstLineChars="200"/>
              <w:rPr>
                <w:sz w:val="24"/>
              </w:rPr>
            </w:pPr>
            <w:r>
              <w:rPr>
                <w:sz w:val="24"/>
              </w:rPr>
              <w:t>生产工艺简述：</w:t>
            </w:r>
          </w:p>
          <w:p w14:paraId="56BE2344">
            <w:pPr>
              <w:adjustRightInd w:val="0"/>
              <w:spacing w:line="360" w:lineRule="auto"/>
              <w:ind w:firstLine="480" w:firstLineChars="200"/>
              <w:rPr>
                <w:sz w:val="24"/>
              </w:rPr>
            </w:pPr>
            <w:r>
              <w:rPr>
                <w:sz w:val="24"/>
              </w:rPr>
              <w:t>项目转椅生产工序包括塑料配件（包含转椅扶手）制造、转椅配件（坐垫、靠背）制造和最后的装配、质检包装工序。</w:t>
            </w:r>
          </w:p>
          <w:p w14:paraId="43EA3A8D">
            <w:pPr>
              <w:adjustRightInd w:val="0"/>
              <w:spacing w:line="360" w:lineRule="auto"/>
              <w:ind w:firstLine="480" w:firstLineChars="200"/>
              <w:rPr>
                <w:sz w:val="24"/>
              </w:rPr>
            </w:pPr>
            <w:r>
              <w:rPr>
                <w:sz w:val="24"/>
              </w:rPr>
              <w:t>（1）塑料配件生产</w:t>
            </w:r>
          </w:p>
          <w:p w14:paraId="3CF7C904">
            <w:pPr>
              <w:adjustRightInd w:val="0"/>
              <w:spacing w:line="360" w:lineRule="auto"/>
              <w:ind w:firstLine="480" w:firstLineChars="200"/>
              <w:rPr>
                <w:sz w:val="24"/>
              </w:rPr>
            </w:pPr>
            <w:r>
              <w:rPr>
                <w:rFonts w:hint="eastAsia" w:ascii="宋体" w:hAnsi="宋体" w:cs="宋体"/>
                <w:sz w:val="24"/>
              </w:rPr>
              <w:t>①</w:t>
            </w:r>
            <w:r>
              <w:rPr>
                <w:sz w:val="24"/>
              </w:rPr>
              <w:t>进料：将PP</w:t>
            </w:r>
            <w:r>
              <w:rPr>
                <w:rFonts w:hint="eastAsia"/>
                <w:sz w:val="24"/>
                <w:lang w:eastAsia="zh-CN"/>
              </w:rPr>
              <w:t>、</w:t>
            </w:r>
            <w:r>
              <w:rPr>
                <w:rFonts w:hint="eastAsia"/>
                <w:sz w:val="24"/>
                <w:lang w:val="en-US" w:eastAsia="zh-CN"/>
              </w:rPr>
              <w:t>PA</w:t>
            </w:r>
            <w:r>
              <w:rPr>
                <w:sz w:val="24"/>
              </w:rPr>
              <w:t>塑料颗粒通过机器抽进注塑机料斗，进料方式为机器抽入，不产生粉尘，会产生噪声。</w:t>
            </w:r>
          </w:p>
          <w:p w14:paraId="5B0D2712">
            <w:pPr>
              <w:adjustRightInd w:val="0"/>
              <w:spacing w:line="360" w:lineRule="auto"/>
              <w:ind w:firstLine="480" w:firstLineChars="200"/>
              <w:rPr>
                <w:sz w:val="24"/>
              </w:rPr>
            </w:pPr>
            <w:r>
              <w:rPr>
                <w:rFonts w:hint="eastAsia" w:ascii="宋体" w:hAnsi="宋体" w:cs="宋体"/>
                <w:sz w:val="24"/>
              </w:rPr>
              <w:t>②</w:t>
            </w:r>
            <w:r>
              <w:rPr>
                <w:sz w:val="24"/>
              </w:rPr>
              <w:t>注塑成型：原料经料斗送进注塑机闭合的模具内，通过加热、保压将塑料颗粒融化（140~200°C），并挤出。</w:t>
            </w:r>
            <w:r>
              <w:rPr>
                <w:rFonts w:hint="eastAsia"/>
                <w:sz w:val="24"/>
                <w:lang w:val="en-US" w:eastAsia="zh-CN"/>
              </w:rPr>
              <w:t>塑料颗粒</w:t>
            </w:r>
            <w:r>
              <w:rPr>
                <w:sz w:val="24"/>
              </w:rPr>
              <w:t>融化、冷却成型时会产生非甲烷总烃。使用水对基础的塑料胚件进行间接冷却，此工程使用到冷却水，冷却水循环使用，定期补充，不外排。</w:t>
            </w:r>
          </w:p>
          <w:p w14:paraId="5953E180">
            <w:pPr>
              <w:adjustRightInd w:val="0"/>
              <w:spacing w:line="360" w:lineRule="auto"/>
              <w:ind w:firstLine="480" w:firstLineChars="200"/>
              <w:rPr>
                <w:sz w:val="24"/>
              </w:rPr>
            </w:pPr>
            <w:r>
              <w:rPr>
                <w:sz w:val="24"/>
              </w:rPr>
              <w:fldChar w:fldCharType="begin"/>
            </w:r>
            <w:r>
              <w:rPr>
                <w:sz w:val="24"/>
              </w:rPr>
              <w:instrText xml:space="preserve"> = 3 \* GB3 </w:instrText>
            </w:r>
            <w:r>
              <w:rPr>
                <w:sz w:val="24"/>
              </w:rPr>
              <w:fldChar w:fldCharType="separate"/>
            </w:r>
            <w:r>
              <w:rPr>
                <w:rFonts w:hint="eastAsia" w:ascii="宋体" w:hAnsi="宋体" w:cs="宋体"/>
                <w:sz w:val="24"/>
              </w:rPr>
              <w:t>③</w:t>
            </w:r>
            <w:r>
              <w:rPr>
                <w:sz w:val="24"/>
              </w:rPr>
              <w:fldChar w:fldCharType="end"/>
            </w:r>
            <w:r>
              <w:rPr>
                <w:sz w:val="24"/>
              </w:rPr>
              <w:t>修边：将注塑好的塑料配件进行修边，修边会产生边角料。</w:t>
            </w:r>
          </w:p>
          <w:p w14:paraId="0174C62D">
            <w:pPr>
              <w:adjustRightInd w:val="0"/>
              <w:spacing w:line="360" w:lineRule="auto"/>
              <w:ind w:firstLine="480" w:firstLineChars="200"/>
              <w:rPr>
                <w:rFonts w:hint="default" w:eastAsia="宋体"/>
                <w:sz w:val="24"/>
                <w:lang w:val="en-US" w:eastAsia="zh-CN"/>
              </w:rPr>
            </w:pPr>
            <w:r>
              <w:rPr>
                <w:rFonts w:hint="eastAsia"/>
                <w:sz w:val="24"/>
                <w:lang w:val="en-US" w:eastAsia="zh-CN"/>
              </w:rPr>
              <w:t>④破碎：不合格的塑料配件，经破碎机破碎后重新用于注塑原料。破碎工序会产生噪音和粉尘。</w:t>
            </w:r>
          </w:p>
          <w:p w14:paraId="0566C120">
            <w:pPr>
              <w:adjustRightInd w:val="0"/>
              <w:spacing w:line="360" w:lineRule="auto"/>
              <w:ind w:firstLine="480" w:firstLineChars="200"/>
              <w:rPr>
                <w:rFonts w:hint="eastAsia" w:eastAsia="宋体"/>
                <w:sz w:val="24"/>
                <w:lang w:val="en-US" w:eastAsia="zh-CN"/>
              </w:rPr>
            </w:pPr>
            <w:r>
              <w:rPr>
                <w:sz w:val="24"/>
              </w:rPr>
              <w:t>（2）金属配件</w:t>
            </w:r>
            <w:r>
              <w:rPr>
                <w:rFonts w:hint="eastAsia"/>
                <w:sz w:val="24"/>
                <w:lang w:val="en-US" w:eastAsia="zh-CN"/>
              </w:rPr>
              <w:t>加工</w:t>
            </w:r>
          </w:p>
          <w:p w14:paraId="6E49F164">
            <w:pPr>
              <w:adjustRightInd w:val="0"/>
              <w:spacing w:line="360" w:lineRule="auto"/>
              <w:ind w:firstLine="480" w:firstLineChars="200"/>
              <w:rPr>
                <w:rFonts w:hint="eastAsia" w:ascii="Times New Roman" w:hAnsi="Times New Roman" w:eastAsia="宋体" w:cs="Times New Roman"/>
                <w:sz w:val="24"/>
                <w:lang w:val="en-US" w:eastAsia="zh-CN"/>
              </w:rPr>
            </w:pPr>
            <w:r>
              <w:rPr>
                <w:rFonts w:ascii="Times New Roman" w:hAnsi="Times New Roman" w:eastAsia="宋体" w:cs="Times New Roman"/>
                <w:sz w:val="24"/>
              </w:rPr>
              <w:t>本项目的金属配件</w:t>
            </w:r>
            <w:r>
              <w:rPr>
                <w:rFonts w:hint="eastAsia" w:ascii="Times New Roman" w:hAnsi="Times New Roman" w:eastAsia="宋体" w:cs="Times New Roman"/>
                <w:sz w:val="24"/>
                <w:lang w:val="en-US" w:eastAsia="zh-CN"/>
              </w:rPr>
              <w:t>切割工序使用机械设备，会产生噪声。</w:t>
            </w:r>
          </w:p>
          <w:p w14:paraId="4F3C3A58">
            <w:pPr>
              <w:adjustRightInd w:val="0"/>
              <w:spacing w:line="360" w:lineRule="auto"/>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rPr>
              <w:t>①雕刻、切割</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将金属原材料使用雕刻机和切割机进行雕刻、切割成适用形状，切割过程会产生少量粉尘。</w:t>
            </w:r>
          </w:p>
          <w:p w14:paraId="3E1BBD75">
            <w:pPr>
              <w:adjustRightInd w:val="0"/>
              <w:spacing w:line="360" w:lineRule="auto"/>
              <w:ind w:firstLine="480" w:firstLineChars="200"/>
              <w:rPr>
                <w:rFonts w:hint="default"/>
                <w:sz w:val="24"/>
                <w:lang w:val="en-US" w:eastAsia="zh-CN"/>
              </w:rPr>
            </w:pPr>
            <w:r>
              <w:rPr>
                <w:rFonts w:hint="eastAsia"/>
                <w:sz w:val="24"/>
                <w:lang w:val="en-US" w:eastAsia="zh-CN"/>
              </w:rPr>
              <w:t>②焊接：将金属管或板进行焊接成型。焊接工序会产生少量焊接烟尘。</w:t>
            </w:r>
          </w:p>
          <w:p w14:paraId="4B5EDE81">
            <w:pPr>
              <w:adjustRightInd w:val="0"/>
              <w:spacing w:line="360" w:lineRule="auto"/>
              <w:ind w:firstLine="480" w:firstLineChars="200"/>
              <w:rPr>
                <w:sz w:val="24"/>
              </w:rPr>
            </w:pPr>
            <w:r>
              <w:rPr>
                <w:sz w:val="24"/>
              </w:rPr>
              <w:t>（3）转椅配件（坐垫、靠背）制造</w:t>
            </w:r>
          </w:p>
          <w:p w14:paraId="32561161">
            <w:pPr>
              <w:adjustRightInd w:val="0"/>
              <w:spacing w:line="360" w:lineRule="auto"/>
              <w:ind w:firstLine="480" w:firstLineChars="200"/>
              <w:rPr>
                <w:sz w:val="24"/>
              </w:rPr>
            </w:pPr>
            <w:r>
              <w:rPr>
                <w:sz w:val="24"/>
              </w:rPr>
              <w:t>座椅配件主要为坐垫、靠背部分，生产工序主要为裁剪、缝纫、绣花以及使用枪钉进行钉装。生产时，将外购的皮革和布料进行裁剪和缝纫及绣花，然后在座椅坐垫上粘填海绵，再用裁剪和缝纫好的皮革使用枪钉固定。裁剪工序会产生一定量的边角料。</w:t>
            </w:r>
          </w:p>
          <w:p w14:paraId="2AE571E2">
            <w:pPr>
              <w:adjustRightInd w:val="0"/>
              <w:spacing w:line="360" w:lineRule="auto"/>
              <w:ind w:firstLine="480" w:firstLineChars="200"/>
              <w:rPr>
                <w:sz w:val="24"/>
              </w:rPr>
            </w:pPr>
            <w:r>
              <w:rPr>
                <w:sz w:val="24"/>
              </w:rPr>
              <w:t>（4）装配、质检包装</w:t>
            </w:r>
          </w:p>
          <w:p w14:paraId="0D30F587">
            <w:pPr>
              <w:adjustRightInd w:val="0"/>
              <w:spacing w:line="360" w:lineRule="auto"/>
              <w:ind w:firstLine="480" w:firstLineChars="200"/>
              <w:rPr>
                <w:sz w:val="24"/>
              </w:rPr>
            </w:pPr>
            <w:r>
              <w:rPr>
                <w:sz w:val="24"/>
              </w:rPr>
              <w:t>根据要求使用物理方法将各个配件（自行生产的塑料配件、转椅配件和外购的金属配件）组装成转椅，质检过程中会产生少量的废边角料。质检后将合格的产品进行必要的包装，过程会产生一定量的废包装物，主要为废塑料袋等。</w:t>
            </w:r>
          </w:p>
          <w:p w14:paraId="4809F1E8">
            <w:pPr>
              <w:snapToGrid w:val="0"/>
              <w:spacing w:line="500" w:lineRule="exact"/>
              <w:ind w:firstLine="482" w:firstLineChars="200"/>
              <w:rPr>
                <w:b/>
                <w:sz w:val="24"/>
              </w:rPr>
            </w:pPr>
            <w:r>
              <w:rPr>
                <w:b/>
                <w:sz w:val="24"/>
              </w:rPr>
              <w:t>二、主要污染工序：</w:t>
            </w:r>
          </w:p>
          <w:p w14:paraId="44E584D1">
            <w:pPr>
              <w:pStyle w:val="52"/>
              <w:numPr>
                <w:ilvl w:val="0"/>
                <w:numId w:val="2"/>
              </w:numPr>
              <w:spacing w:line="360" w:lineRule="auto"/>
              <w:ind w:left="552"/>
              <w:rPr>
                <w:rFonts w:cs="Times New Roman"/>
              </w:rPr>
            </w:pPr>
            <w:r>
              <w:rPr>
                <w:rFonts w:cs="Times New Roman"/>
              </w:rPr>
              <w:t>主要污染工序一览表</w:t>
            </w:r>
          </w:p>
          <w:tbl>
            <w:tblPr>
              <w:tblStyle w:val="75"/>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4"/>
              <w:gridCol w:w="1271"/>
              <w:gridCol w:w="1754"/>
              <w:gridCol w:w="4463"/>
            </w:tblGrid>
            <w:tr w14:paraId="10F86B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40EFE19">
                  <w:pPr>
                    <w:snapToGrid w:val="0"/>
                    <w:jc w:val="center"/>
                    <w:rPr>
                      <w:rFonts w:ascii="Times New Roman" w:hAnsi="Times New Roman"/>
                      <w:szCs w:val="21"/>
                    </w:rPr>
                  </w:pPr>
                  <w:bookmarkStart w:id="6" w:name="_Hlk78551933"/>
                  <w:r>
                    <w:rPr>
                      <w:rFonts w:ascii="Times New Roman" w:hAnsi="Times New Roman"/>
                      <w:szCs w:val="21"/>
                    </w:rPr>
                    <w:t>污染因素</w:t>
                  </w:r>
                </w:p>
              </w:tc>
              <w:tc>
                <w:tcPr>
                  <w:tcW w:w="0" w:type="auto"/>
                  <w:vAlign w:val="center"/>
                </w:tcPr>
                <w:p w14:paraId="3E36E0F2">
                  <w:pPr>
                    <w:snapToGrid w:val="0"/>
                    <w:jc w:val="center"/>
                    <w:rPr>
                      <w:rFonts w:ascii="Times New Roman" w:hAnsi="Times New Roman"/>
                      <w:szCs w:val="21"/>
                    </w:rPr>
                  </w:pPr>
                  <w:r>
                    <w:rPr>
                      <w:rFonts w:ascii="Times New Roman" w:hAnsi="Times New Roman"/>
                      <w:szCs w:val="21"/>
                    </w:rPr>
                    <w:t>产污环节</w:t>
                  </w:r>
                </w:p>
              </w:tc>
              <w:tc>
                <w:tcPr>
                  <w:tcW w:w="1754" w:type="dxa"/>
                  <w:vAlign w:val="center"/>
                </w:tcPr>
                <w:p w14:paraId="5A6071EA">
                  <w:pPr>
                    <w:snapToGrid w:val="0"/>
                    <w:jc w:val="center"/>
                    <w:rPr>
                      <w:rFonts w:ascii="Times New Roman" w:hAnsi="Times New Roman"/>
                      <w:szCs w:val="21"/>
                    </w:rPr>
                  </w:pPr>
                  <w:r>
                    <w:rPr>
                      <w:rFonts w:ascii="Times New Roman" w:hAnsi="Times New Roman"/>
                      <w:szCs w:val="21"/>
                    </w:rPr>
                    <w:t>污染物种类</w:t>
                  </w:r>
                </w:p>
              </w:tc>
              <w:tc>
                <w:tcPr>
                  <w:tcW w:w="4463" w:type="dxa"/>
                  <w:vAlign w:val="center"/>
                </w:tcPr>
                <w:p w14:paraId="40FEFB38">
                  <w:pPr>
                    <w:snapToGrid w:val="0"/>
                    <w:jc w:val="center"/>
                    <w:rPr>
                      <w:rFonts w:ascii="Times New Roman" w:hAnsi="Times New Roman"/>
                      <w:szCs w:val="21"/>
                    </w:rPr>
                  </w:pPr>
                  <w:r>
                    <w:rPr>
                      <w:rFonts w:ascii="Times New Roman" w:hAnsi="Times New Roman"/>
                      <w:szCs w:val="21"/>
                    </w:rPr>
                    <w:t>治理措施</w:t>
                  </w:r>
                </w:p>
              </w:tc>
            </w:tr>
            <w:tr w14:paraId="007C53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vMerge w:val="restart"/>
                  <w:vAlign w:val="center"/>
                </w:tcPr>
                <w:p w14:paraId="2547F856">
                  <w:pPr>
                    <w:snapToGrid w:val="0"/>
                    <w:jc w:val="center"/>
                    <w:rPr>
                      <w:rFonts w:ascii="Times New Roman" w:hAnsi="Times New Roman"/>
                      <w:szCs w:val="21"/>
                    </w:rPr>
                  </w:pPr>
                  <w:r>
                    <w:rPr>
                      <w:rFonts w:ascii="Times New Roman" w:hAnsi="Times New Roman"/>
                      <w:szCs w:val="21"/>
                    </w:rPr>
                    <w:t>废气</w:t>
                  </w:r>
                </w:p>
              </w:tc>
              <w:tc>
                <w:tcPr>
                  <w:tcW w:w="0" w:type="auto"/>
                  <w:vAlign w:val="center"/>
                </w:tcPr>
                <w:p w14:paraId="550EB3F6">
                  <w:pPr>
                    <w:snapToGrid w:val="0"/>
                    <w:jc w:val="center"/>
                    <w:rPr>
                      <w:rFonts w:ascii="Times New Roman" w:hAnsi="Times New Roman"/>
                      <w:szCs w:val="21"/>
                    </w:rPr>
                  </w:pPr>
                  <w:r>
                    <w:rPr>
                      <w:rFonts w:ascii="Times New Roman" w:hAnsi="Times New Roman"/>
                      <w:szCs w:val="21"/>
                    </w:rPr>
                    <w:t>注塑</w:t>
                  </w:r>
                </w:p>
              </w:tc>
              <w:tc>
                <w:tcPr>
                  <w:tcW w:w="1754" w:type="dxa"/>
                  <w:vAlign w:val="center"/>
                </w:tcPr>
                <w:p w14:paraId="301AD177">
                  <w:pPr>
                    <w:snapToGrid w:val="0"/>
                    <w:jc w:val="center"/>
                    <w:rPr>
                      <w:rFonts w:ascii="Times New Roman" w:hAnsi="Times New Roman"/>
                      <w:szCs w:val="21"/>
                    </w:rPr>
                  </w:pPr>
                  <w:r>
                    <w:rPr>
                      <w:rFonts w:ascii="Times New Roman" w:hAnsi="Times New Roman"/>
                      <w:szCs w:val="21"/>
                    </w:rPr>
                    <w:t>非甲烷总烃</w:t>
                  </w:r>
                </w:p>
              </w:tc>
              <w:tc>
                <w:tcPr>
                  <w:tcW w:w="4463" w:type="dxa"/>
                  <w:vAlign w:val="center"/>
                </w:tcPr>
                <w:p w14:paraId="0FE287B1">
                  <w:pPr>
                    <w:snapToGrid w:val="0"/>
                    <w:jc w:val="center"/>
                    <w:rPr>
                      <w:rFonts w:ascii="Times New Roman" w:hAnsi="Times New Roman"/>
                      <w:szCs w:val="21"/>
                    </w:rPr>
                  </w:pPr>
                  <w:r>
                    <w:rPr>
                      <w:rFonts w:ascii="Times New Roman" w:hAnsi="Times New Roman"/>
                      <w:szCs w:val="21"/>
                    </w:rPr>
                    <w:t>在注塑机上方设置集气罩和集气管道，废气经收集后通过二级活性炭吸附装置处理后引至15m高排气筒（DA001）排放</w:t>
                  </w:r>
                </w:p>
              </w:tc>
            </w:tr>
            <w:tr w14:paraId="0BC33B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vMerge w:val="continue"/>
                  <w:vAlign w:val="center"/>
                </w:tcPr>
                <w:p w14:paraId="1A7202B6">
                  <w:pPr>
                    <w:snapToGrid w:val="0"/>
                    <w:jc w:val="center"/>
                    <w:rPr>
                      <w:rFonts w:ascii="Times New Roman" w:hAnsi="Times New Roman"/>
                      <w:szCs w:val="21"/>
                    </w:rPr>
                  </w:pPr>
                </w:p>
              </w:tc>
              <w:tc>
                <w:tcPr>
                  <w:tcW w:w="0" w:type="auto"/>
                  <w:vAlign w:val="center"/>
                </w:tcPr>
                <w:p w14:paraId="380A16A7">
                  <w:pPr>
                    <w:snapToGrid w:val="0"/>
                    <w:jc w:val="center"/>
                    <w:rPr>
                      <w:rFonts w:hint="default" w:ascii="Times New Roman" w:hAnsi="Times New Roman" w:eastAsia="宋体"/>
                      <w:szCs w:val="21"/>
                      <w:lang w:val="en-US" w:eastAsia="zh-CN"/>
                    </w:rPr>
                  </w:pPr>
                  <w:r>
                    <w:rPr>
                      <w:rFonts w:hint="eastAsia"/>
                      <w:szCs w:val="21"/>
                      <w:lang w:val="en-US" w:eastAsia="zh-CN"/>
                    </w:rPr>
                    <w:t>破碎</w:t>
                  </w:r>
                </w:p>
              </w:tc>
              <w:tc>
                <w:tcPr>
                  <w:tcW w:w="1754" w:type="dxa"/>
                  <w:vAlign w:val="center"/>
                </w:tcPr>
                <w:p w14:paraId="00CEB76E">
                  <w:pPr>
                    <w:snapToGrid w:val="0"/>
                    <w:jc w:val="center"/>
                    <w:rPr>
                      <w:rFonts w:hint="eastAsia" w:ascii="Times New Roman" w:hAnsi="Times New Roman" w:eastAsia="宋体"/>
                      <w:szCs w:val="21"/>
                      <w:lang w:val="en-US" w:eastAsia="zh-CN"/>
                    </w:rPr>
                  </w:pPr>
                  <w:r>
                    <w:rPr>
                      <w:rFonts w:hint="eastAsia"/>
                      <w:szCs w:val="21"/>
                      <w:lang w:val="en-US" w:eastAsia="zh-CN"/>
                    </w:rPr>
                    <w:t>粉尘</w:t>
                  </w:r>
                </w:p>
              </w:tc>
              <w:tc>
                <w:tcPr>
                  <w:tcW w:w="4463" w:type="dxa"/>
                  <w:vAlign w:val="center"/>
                </w:tcPr>
                <w:p w14:paraId="463DAA0B">
                  <w:pPr>
                    <w:snapToGrid w:val="0"/>
                    <w:jc w:val="center"/>
                    <w:rPr>
                      <w:rFonts w:hint="default" w:ascii="Times New Roman" w:hAnsi="Times New Roman" w:eastAsia="宋体"/>
                      <w:szCs w:val="21"/>
                      <w:lang w:val="en-US" w:eastAsia="zh-CN"/>
                    </w:rPr>
                  </w:pPr>
                  <w:r>
                    <w:rPr>
                      <w:rFonts w:ascii="Times New Roman" w:hAnsi="Times New Roman"/>
                      <w:szCs w:val="21"/>
                    </w:rPr>
                    <w:t>在注塑机上方设置集气罩和集气管道，废气经收集后通过</w:t>
                  </w:r>
                  <w:r>
                    <w:rPr>
                      <w:rFonts w:hint="eastAsia"/>
                      <w:szCs w:val="21"/>
                      <w:lang w:val="en-US" w:eastAsia="zh-CN"/>
                    </w:rPr>
                    <w:t>布袋除尘器</w:t>
                  </w:r>
                  <w:r>
                    <w:rPr>
                      <w:rFonts w:ascii="Times New Roman" w:hAnsi="Times New Roman"/>
                      <w:szCs w:val="21"/>
                    </w:rPr>
                    <w:t>处理后引至15m高排气筒（DA00</w:t>
                  </w:r>
                  <w:r>
                    <w:rPr>
                      <w:rFonts w:hint="eastAsia"/>
                      <w:szCs w:val="21"/>
                      <w:lang w:val="en-US" w:eastAsia="zh-CN"/>
                    </w:rPr>
                    <w:t>2</w:t>
                  </w:r>
                  <w:r>
                    <w:rPr>
                      <w:rFonts w:ascii="Times New Roman" w:hAnsi="Times New Roman"/>
                      <w:szCs w:val="21"/>
                    </w:rPr>
                    <w:t>）排放</w:t>
                  </w:r>
                </w:p>
              </w:tc>
            </w:tr>
            <w:tr w14:paraId="1C75CB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vMerge w:val="continue"/>
                  <w:vAlign w:val="center"/>
                </w:tcPr>
                <w:p w14:paraId="71319EC7">
                  <w:pPr>
                    <w:snapToGrid w:val="0"/>
                    <w:jc w:val="center"/>
                    <w:rPr>
                      <w:rFonts w:ascii="Times New Roman" w:hAnsi="Times New Roman"/>
                      <w:szCs w:val="21"/>
                    </w:rPr>
                  </w:pPr>
                </w:p>
              </w:tc>
              <w:tc>
                <w:tcPr>
                  <w:tcW w:w="0" w:type="auto"/>
                  <w:vAlign w:val="center"/>
                </w:tcPr>
                <w:p w14:paraId="62FB5353">
                  <w:pPr>
                    <w:snapToGrid w:val="0"/>
                    <w:jc w:val="center"/>
                    <w:rPr>
                      <w:rFonts w:hint="default"/>
                      <w:szCs w:val="21"/>
                      <w:lang w:val="en-US" w:eastAsia="zh-CN"/>
                    </w:rPr>
                  </w:pPr>
                  <w:r>
                    <w:rPr>
                      <w:rFonts w:hint="eastAsia"/>
                      <w:szCs w:val="21"/>
                      <w:lang w:val="en-US" w:eastAsia="zh-CN"/>
                    </w:rPr>
                    <w:t>切割</w:t>
                  </w:r>
                </w:p>
              </w:tc>
              <w:tc>
                <w:tcPr>
                  <w:tcW w:w="1754" w:type="dxa"/>
                  <w:vAlign w:val="center"/>
                </w:tcPr>
                <w:p w14:paraId="148DF206">
                  <w:pPr>
                    <w:snapToGrid w:val="0"/>
                    <w:jc w:val="center"/>
                    <w:rPr>
                      <w:rFonts w:hint="default"/>
                      <w:szCs w:val="21"/>
                      <w:lang w:val="en-US" w:eastAsia="zh-CN"/>
                    </w:rPr>
                  </w:pPr>
                  <w:r>
                    <w:rPr>
                      <w:rFonts w:hint="eastAsia"/>
                      <w:szCs w:val="21"/>
                      <w:lang w:val="en-US" w:eastAsia="zh-CN"/>
                    </w:rPr>
                    <w:t>粉尘</w:t>
                  </w:r>
                </w:p>
              </w:tc>
              <w:tc>
                <w:tcPr>
                  <w:tcW w:w="4463" w:type="dxa"/>
                  <w:vAlign w:val="center"/>
                </w:tcPr>
                <w:p w14:paraId="06C0306F">
                  <w:pPr>
                    <w:snapToGrid w:val="0"/>
                    <w:jc w:val="center"/>
                    <w:rPr>
                      <w:rFonts w:hint="default"/>
                      <w:szCs w:val="21"/>
                      <w:lang w:val="en-US" w:eastAsia="zh-CN"/>
                    </w:rPr>
                  </w:pPr>
                  <w:r>
                    <w:rPr>
                      <w:rFonts w:hint="eastAsia"/>
                      <w:szCs w:val="21"/>
                      <w:lang w:val="en-US" w:eastAsia="zh-CN"/>
                    </w:rPr>
                    <w:t>自然沉降、厂房阻隔无组织排放</w:t>
                  </w:r>
                </w:p>
              </w:tc>
            </w:tr>
            <w:tr w14:paraId="72ED2C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vMerge w:val="continue"/>
                  <w:vAlign w:val="center"/>
                </w:tcPr>
                <w:p w14:paraId="7CC6F710">
                  <w:pPr>
                    <w:snapToGrid w:val="0"/>
                    <w:jc w:val="center"/>
                    <w:rPr>
                      <w:rFonts w:ascii="Times New Roman" w:hAnsi="Times New Roman"/>
                      <w:szCs w:val="21"/>
                    </w:rPr>
                  </w:pPr>
                </w:p>
              </w:tc>
              <w:tc>
                <w:tcPr>
                  <w:tcW w:w="0" w:type="auto"/>
                  <w:vAlign w:val="center"/>
                </w:tcPr>
                <w:p w14:paraId="7A42596B">
                  <w:pPr>
                    <w:snapToGrid w:val="0"/>
                    <w:jc w:val="center"/>
                    <w:rPr>
                      <w:rFonts w:hint="eastAsia" w:ascii="Times New Roman" w:hAnsi="Times New Roman" w:eastAsia="宋体"/>
                      <w:szCs w:val="21"/>
                      <w:lang w:val="en-US" w:eastAsia="zh-CN"/>
                    </w:rPr>
                  </w:pPr>
                  <w:r>
                    <w:rPr>
                      <w:rFonts w:hint="eastAsia"/>
                      <w:szCs w:val="21"/>
                      <w:lang w:val="en-US" w:eastAsia="zh-CN"/>
                    </w:rPr>
                    <w:t>焊接</w:t>
                  </w:r>
                </w:p>
              </w:tc>
              <w:tc>
                <w:tcPr>
                  <w:tcW w:w="1754" w:type="dxa"/>
                  <w:vAlign w:val="center"/>
                </w:tcPr>
                <w:p w14:paraId="7D3143AB">
                  <w:pPr>
                    <w:snapToGrid w:val="0"/>
                    <w:jc w:val="center"/>
                    <w:rPr>
                      <w:rFonts w:hint="default" w:ascii="Times New Roman" w:hAnsi="Times New Roman" w:eastAsia="宋体"/>
                      <w:szCs w:val="21"/>
                      <w:lang w:val="en-US" w:eastAsia="zh-CN"/>
                    </w:rPr>
                  </w:pPr>
                  <w:r>
                    <w:rPr>
                      <w:rFonts w:hint="eastAsia"/>
                      <w:szCs w:val="21"/>
                      <w:lang w:val="en-US" w:eastAsia="zh-CN"/>
                    </w:rPr>
                    <w:t>烟尘</w:t>
                  </w:r>
                </w:p>
              </w:tc>
              <w:tc>
                <w:tcPr>
                  <w:tcW w:w="4463" w:type="dxa"/>
                  <w:vAlign w:val="center"/>
                </w:tcPr>
                <w:p w14:paraId="5FD06F73">
                  <w:pPr>
                    <w:snapToGrid w:val="0"/>
                    <w:jc w:val="center"/>
                    <w:rPr>
                      <w:rFonts w:hint="default" w:ascii="Times New Roman" w:hAnsi="Times New Roman" w:eastAsia="宋体"/>
                      <w:szCs w:val="21"/>
                      <w:lang w:val="en-US" w:eastAsia="zh-CN"/>
                    </w:rPr>
                  </w:pPr>
                  <w:r>
                    <w:rPr>
                      <w:rFonts w:hint="eastAsia"/>
                      <w:szCs w:val="21"/>
                      <w:lang w:val="en-US" w:eastAsia="zh-CN"/>
                    </w:rPr>
                    <w:t>经移动式焊接烟尘净化器处理后无组织排放</w:t>
                  </w:r>
                </w:p>
              </w:tc>
            </w:tr>
            <w:tr w14:paraId="0EFD74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44A4FC9">
                  <w:pPr>
                    <w:snapToGrid w:val="0"/>
                    <w:jc w:val="center"/>
                    <w:rPr>
                      <w:rFonts w:ascii="Times New Roman" w:hAnsi="Times New Roman"/>
                      <w:szCs w:val="21"/>
                    </w:rPr>
                  </w:pPr>
                  <w:r>
                    <w:rPr>
                      <w:rFonts w:ascii="Times New Roman" w:hAnsi="Times New Roman"/>
                      <w:szCs w:val="21"/>
                    </w:rPr>
                    <w:t>废水</w:t>
                  </w:r>
                </w:p>
              </w:tc>
              <w:tc>
                <w:tcPr>
                  <w:tcW w:w="0" w:type="auto"/>
                  <w:vAlign w:val="center"/>
                </w:tcPr>
                <w:p w14:paraId="51E39933">
                  <w:pPr>
                    <w:snapToGrid w:val="0"/>
                    <w:jc w:val="center"/>
                    <w:rPr>
                      <w:rFonts w:ascii="Times New Roman" w:hAnsi="Times New Roman"/>
                      <w:szCs w:val="21"/>
                    </w:rPr>
                  </w:pPr>
                  <w:r>
                    <w:rPr>
                      <w:rFonts w:ascii="Times New Roman" w:hAnsi="Times New Roman"/>
                      <w:szCs w:val="21"/>
                    </w:rPr>
                    <w:t>生活污水</w:t>
                  </w:r>
                </w:p>
              </w:tc>
              <w:tc>
                <w:tcPr>
                  <w:tcW w:w="1754" w:type="dxa"/>
                  <w:vAlign w:val="center"/>
                </w:tcPr>
                <w:p w14:paraId="237928CC">
                  <w:pPr>
                    <w:snapToGrid w:val="0"/>
                    <w:jc w:val="center"/>
                    <w:rPr>
                      <w:rFonts w:ascii="Times New Roman" w:hAnsi="Times New Roman"/>
                      <w:szCs w:val="21"/>
                    </w:rPr>
                  </w:pPr>
                  <w:r>
                    <w:rPr>
                      <w:rFonts w:ascii="Times New Roman" w:hAnsi="Times New Roman"/>
                      <w:szCs w:val="21"/>
                    </w:rPr>
                    <w:t>COD、NH</w:t>
                  </w:r>
                  <w:r>
                    <w:rPr>
                      <w:rFonts w:ascii="Times New Roman" w:hAnsi="Times New Roman"/>
                      <w:szCs w:val="21"/>
                      <w:vertAlign w:val="subscript"/>
                    </w:rPr>
                    <w:t>3</w:t>
                  </w:r>
                  <w:r>
                    <w:rPr>
                      <w:rFonts w:ascii="Times New Roman" w:hAnsi="Times New Roman"/>
                      <w:szCs w:val="21"/>
                    </w:rPr>
                    <w:t>-N、SS等</w:t>
                  </w:r>
                </w:p>
              </w:tc>
              <w:tc>
                <w:tcPr>
                  <w:tcW w:w="4463" w:type="dxa"/>
                  <w:vAlign w:val="center"/>
                </w:tcPr>
                <w:p w14:paraId="7A1EE9D4">
                  <w:pPr>
                    <w:snapToGrid w:val="0"/>
                    <w:jc w:val="center"/>
                    <w:rPr>
                      <w:rFonts w:ascii="Times New Roman" w:hAnsi="Times New Roman"/>
                      <w:szCs w:val="21"/>
                    </w:rPr>
                  </w:pPr>
                  <w:r>
                    <w:rPr>
                      <w:rFonts w:ascii="Times New Roman" w:hAnsi="Times New Roman"/>
                      <w:szCs w:val="21"/>
                    </w:rPr>
                    <w:t>生活污水依托厂房已建化粪池预处理后经吸粪车定期清掏。</w:t>
                  </w:r>
                </w:p>
              </w:tc>
            </w:tr>
            <w:tr w14:paraId="3EFCCD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C67A681">
                  <w:pPr>
                    <w:snapToGrid w:val="0"/>
                    <w:jc w:val="center"/>
                    <w:rPr>
                      <w:rFonts w:ascii="Times New Roman" w:hAnsi="Times New Roman"/>
                      <w:szCs w:val="21"/>
                    </w:rPr>
                  </w:pPr>
                  <w:r>
                    <w:rPr>
                      <w:rFonts w:ascii="Times New Roman" w:hAnsi="Times New Roman"/>
                      <w:szCs w:val="21"/>
                    </w:rPr>
                    <w:t>噪声</w:t>
                  </w:r>
                </w:p>
              </w:tc>
              <w:tc>
                <w:tcPr>
                  <w:tcW w:w="0" w:type="auto"/>
                  <w:vAlign w:val="center"/>
                </w:tcPr>
                <w:p w14:paraId="1F6B6BD9">
                  <w:pPr>
                    <w:snapToGrid w:val="0"/>
                    <w:jc w:val="center"/>
                    <w:rPr>
                      <w:rFonts w:ascii="Times New Roman" w:hAnsi="Times New Roman"/>
                      <w:szCs w:val="21"/>
                    </w:rPr>
                  </w:pPr>
                  <w:r>
                    <w:rPr>
                      <w:rFonts w:ascii="Times New Roman" w:hAnsi="Times New Roman"/>
                      <w:szCs w:val="21"/>
                    </w:rPr>
                    <w:t>生产过程</w:t>
                  </w:r>
                </w:p>
              </w:tc>
              <w:tc>
                <w:tcPr>
                  <w:tcW w:w="1754" w:type="dxa"/>
                  <w:vAlign w:val="center"/>
                </w:tcPr>
                <w:p w14:paraId="77151428">
                  <w:pPr>
                    <w:snapToGrid w:val="0"/>
                    <w:jc w:val="center"/>
                    <w:rPr>
                      <w:rFonts w:ascii="Times New Roman" w:hAnsi="Times New Roman"/>
                      <w:szCs w:val="21"/>
                    </w:rPr>
                  </w:pPr>
                  <w:r>
                    <w:rPr>
                      <w:rFonts w:ascii="Times New Roman" w:hAnsi="Times New Roman"/>
                      <w:szCs w:val="21"/>
                    </w:rPr>
                    <w:t>噪声</w:t>
                  </w:r>
                </w:p>
              </w:tc>
              <w:tc>
                <w:tcPr>
                  <w:tcW w:w="4463" w:type="dxa"/>
                  <w:vAlign w:val="center"/>
                </w:tcPr>
                <w:p w14:paraId="7EB348CD">
                  <w:pPr>
                    <w:snapToGrid w:val="0"/>
                    <w:jc w:val="center"/>
                    <w:rPr>
                      <w:rFonts w:ascii="Times New Roman" w:hAnsi="Times New Roman"/>
                      <w:szCs w:val="21"/>
                    </w:rPr>
                  </w:pPr>
                  <w:r>
                    <w:rPr>
                      <w:rFonts w:ascii="Times New Roman" w:hAnsi="Times New Roman"/>
                      <w:szCs w:val="21"/>
                    </w:rPr>
                    <w:t>基础减振、厂房隔音、距离衰减</w:t>
                  </w:r>
                </w:p>
              </w:tc>
            </w:tr>
            <w:tr w14:paraId="256AF0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03643FB5">
                  <w:pPr>
                    <w:snapToGrid w:val="0"/>
                    <w:jc w:val="center"/>
                    <w:rPr>
                      <w:rFonts w:ascii="Times New Roman" w:hAnsi="Times New Roman"/>
                      <w:szCs w:val="21"/>
                    </w:rPr>
                  </w:pPr>
                  <w:r>
                    <w:rPr>
                      <w:rFonts w:ascii="Times New Roman" w:hAnsi="Times New Roman"/>
                      <w:szCs w:val="21"/>
                    </w:rPr>
                    <w:t>固废</w:t>
                  </w:r>
                </w:p>
              </w:tc>
              <w:tc>
                <w:tcPr>
                  <w:tcW w:w="0" w:type="auto"/>
                  <w:vAlign w:val="center"/>
                </w:tcPr>
                <w:p w14:paraId="37ECA991">
                  <w:pPr>
                    <w:snapToGrid w:val="0"/>
                    <w:jc w:val="center"/>
                    <w:rPr>
                      <w:rFonts w:ascii="Times New Roman" w:hAnsi="Times New Roman"/>
                      <w:szCs w:val="21"/>
                    </w:rPr>
                  </w:pPr>
                  <w:r>
                    <w:rPr>
                      <w:rFonts w:ascii="Times New Roman" w:hAnsi="Times New Roman"/>
                      <w:szCs w:val="21"/>
                    </w:rPr>
                    <w:t>职工生活</w:t>
                  </w:r>
                </w:p>
              </w:tc>
              <w:tc>
                <w:tcPr>
                  <w:tcW w:w="1754" w:type="dxa"/>
                  <w:vAlign w:val="center"/>
                </w:tcPr>
                <w:p w14:paraId="0D31FCF7">
                  <w:pPr>
                    <w:snapToGrid w:val="0"/>
                    <w:jc w:val="center"/>
                    <w:rPr>
                      <w:rFonts w:ascii="Times New Roman" w:hAnsi="Times New Roman"/>
                      <w:szCs w:val="21"/>
                    </w:rPr>
                  </w:pPr>
                  <w:r>
                    <w:rPr>
                      <w:rFonts w:ascii="Times New Roman" w:hAnsi="Times New Roman"/>
                      <w:szCs w:val="21"/>
                    </w:rPr>
                    <w:t>生活垃圾</w:t>
                  </w:r>
                </w:p>
              </w:tc>
              <w:tc>
                <w:tcPr>
                  <w:tcW w:w="4463" w:type="dxa"/>
                  <w:vAlign w:val="center"/>
                </w:tcPr>
                <w:p w14:paraId="51C248AD">
                  <w:pPr>
                    <w:snapToGrid w:val="0"/>
                    <w:jc w:val="center"/>
                    <w:rPr>
                      <w:rFonts w:ascii="Times New Roman" w:hAnsi="Times New Roman"/>
                      <w:szCs w:val="21"/>
                    </w:rPr>
                  </w:pPr>
                  <w:r>
                    <w:rPr>
                      <w:rFonts w:ascii="Times New Roman" w:hAnsi="Times New Roman"/>
                      <w:szCs w:val="21"/>
                    </w:rPr>
                    <w:t>交环卫部门处置</w:t>
                  </w:r>
                </w:p>
              </w:tc>
            </w:tr>
            <w:tr w14:paraId="3DDA73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0" w:type="auto"/>
                  <w:vMerge w:val="continue"/>
                  <w:vAlign w:val="center"/>
                </w:tcPr>
                <w:p w14:paraId="1298A482">
                  <w:pPr>
                    <w:widowControl/>
                    <w:snapToGrid w:val="0"/>
                    <w:jc w:val="left"/>
                    <w:rPr>
                      <w:rFonts w:ascii="Times New Roman" w:hAnsi="Times New Roman"/>
                      <w:szCs w:val="21"/>
                    </w:rPr>
                  </w:pPr>
                </w:p>
              </w:tc>
              <w:tc>
                <w:tcPr>
                  <w:tcW w:w="0" w:type="auto"/>
                  <w:vAlign w:val="center"/>
                </w:tcPr>
                <w:p w14:paraId="04EBD271">
                  <w:pPr>
                    <w:snapToGrid w:val="0"/>
                    <w:jc w:val="center"/>
                    <w:rPr>
                      <w:rFonts w:ascii="Times New Roman" w:hAnsi="Times New Roman"/>
                      <w:szCs w:val="21"/>
                    </w:rPr>
                  </w:pPr>
                  <w:r>
                    <w:rPr>
                      <w:rFonts w:ascii="Times New Roman" w:hAnsi="Times New Roman"/>
                      <w:szCs w:val="21"/>
                    </w:rPr>
                    <w:t>裁剪</w:t>
                  </w:r>
                </w:p>
              </w:tc>
              <w:tc>
                <w:tcPr>
                  <w:tcW w:w="1754" w:type="dxa"/>
                  <w:vMerge w:val="restart"/>
                  <w:vAlign w:val="center"/>
                </w:tcPr>
                <w:p w14:paraId="65F4E9E7">
                  <w:pPr>
                    <w:snapToGrid w:val="0"/>
                    <w:jc w:val="center"/>
                    <w:rPr>
                      <w:rFonts w:ascii="Times New Roman" w:hAnsi="Times New Roman"/>
                      <w:szCs w:val="21"/>
                    </w:rPr>
                  </w:pPr>
                  <w:r>
                    <w:rPr>
                      <w:rFonts w:ascii="Times New Roman" w:hAnsi="Times New Roman"/>
                      <w:szCs w:val="21"/>
                    </w:rPr>
                    <w:t>废边角料</w:t>
                  </w:r>
                </w:p>
              </w:tc>
              <w:tc>
                <w:tcPr>
                  <w:tcW w:w="4463" w:type="dxa"/>
                  <w:vMerge w:val="restart"/>
                  <w:vAlign w:val="center"/>
                </w:tcPr>
                <w:p w14:paraId="7FBE2D3D">
                  <w:pPr>
                    <w:snapToGrid w:val="0"/>
                    <w:jc w:val="center"/>
                    <w:rPr>
                      <w:rFonts w:ascii="Times New Roman" w:hAnsi="Times New Roman"/>
                      <w:szCs w:val="21"/>
                    </w:rPr>
                  </w:pPr>
                  <w:r>
                    <w:rPr>
                      <w:rFonts w:ascii="Times New Roman" w:hAnsi="Times New Roman"/>
                      <w:szCs w:val="21"/>
                    </w:rPr>
                    <w:t>分类收集后出售</w:t>
                  </w:r>
                </w:p>
              </w:tc>
            </w:tr>
            <w:tr w14:paraId="5334BD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0" w:type="auto"/>
                  <w:vMerge w:val="continue"/>
                  <w:vAlign w:val="center"/>
                </w:tcPr>
                <w:p w14:paraId="0DEF8A6B">
                  <w:pPr>
                    <w:widowControl/>
                    <w:snapToGrid w:val="0"/>
                    <w:jc w:val="left"/>
                    <w:rPr>
                      <w:rFonts w:ascii="Times New Roman" w:hAnsi="Times New Roman"/>
                      <w:szCs w:val="21"/>
                    </w:rPr>
                  </w:pPr>
                </w:p>
              </w:tc>
              <w:tc>
                <w:tcPr>
                  <w:tcW w:w="0" w:type="auto"/>
                  <w:vAlign w:val="center"/>
                </w:tcPr>
                <w:p w14:paraId="399DD342">
                  <w:pPr>
                    <w:snapToGrid w:val="0"/>
                    <w:jc w:val="center"/>
                    <w:rPr>
                      <w:rFonts w:ascii="Times New Roman" w:hAnsi="Times New Roman"/>
                      <w:szCs w:val="21"/>
                    </w:rPr>
                  </w:pPr>
                  <w:r>
                    <w:rPr>
                      <w:rFonts w:ascii="Times New Roman" w:hAnsi="Times New Roman"/>
                      <w:szCs w:val="21"/>
                    </w:rPr>
                    <w:t>修边</w:t>
                  </w:r>
                </w:p>
              </w:tc>
              <w:tc>
                <w:tcPr>
                  <w:tcW w:w="1754" w:type="dxa"/>
                  <w:vMerge w:val="continue"/>
                  <w:vAlign w:val="center"/>
                </w:tcPr>
                <w:p w14:paraId="76BE6124">
                  <w:pPr>
                    <w:snapToGrid w:val="0"/>
                    <w:jc w:val="center"/>
                    <w:rPr>
                      <w:rFonts w:ascii="Times New Roman" w:hAnsi="Times New Roman"/>
                      <w:szCs w:val="21"/>
                    </w:rPr>
                  </w:pPr>
                </w:p>
              </w:tc>
              <w:tc>
                <w:tcPr>
                  <w:tcW w:w="4463" w:type="dxa"/>
                  <w:vMerge w:val="continue"/>
                  <w:vAlign w:val="center"/>
                </w:tcPr>
                <w:p w14:paraId="00A19DF0">
                  <w:pPr>
                    <w:snapToGrid w:val="0"/>
                    <w:jc w:val="center"/>
                    <w:rPr>
                      <w:rFonts w:ascii="Times New Roman" w:hAnsi="Times New Roman"/>
                      <w:szCs w:val="21"/>
                    </w:rPr>
                  </w:pPr>
                </w:p>
              </w:tc>
            </w:tr>
            <w:tr w14:paraId="514A42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0" w:type="auto"/>
                  <w:vMerge w:val="continue"/>
                  <w:vAlign w:val="center"/>
                </w:tcPr>
                <w:p w14:paraId="070B8408">
                  <w:pPr>
                    <w:widowControl/>
                    <w:snapToGrid w:val="0"/>
                    <w:jc w:val="left"/>
                    <w:rPr>
                      <w:rFonts w:ascii="Times New Roman" w:hAnsi="Times New Roman"/>
                      <w:szCs w:val="21"/>
                    </w:rPr>
                  </w:pPr>
                </w:p>
              </w:tc>
              <w:tc>
                <w:tcPr>
                  <w:tcW w:w="0" w:type="auto"/>
                  <w:vAlign w:val="center"/>
                </w:tcPr>
                <w:p w14:paraId="5FD4E758">
                  <w:pPr>
                    <w:snapToGrid w:val="0"/>
                    <w:jc w:val="center"/>
                    <w:rPr>
                      <w:rFonts w:ascii="Times New Roman" w:hAnsi="Times New Roman"/>
                      <w:szCs w:val="21"/>
                    </w:rPr>
                  </w:pPr>
                  <w:r>
                    <w:rPr>
                      <w:rFonts w:ascii="Times New Roman" w:hAnsi="Times New Roman"/>
                      <w:szCs w:val="21"/>
                    </w:rPr>
                    <w:t>装配</w:t>
                  </w:r>
                </w:p>
              </w:tc>
              <w:tc>
                <w:tcPr>
                  <w:tcW w:w="1754" w:type="dxa"/>
                  <w:vMerge w:val="continue"/>
                  <w:vAlign w:val="center"/>
                </w:tcPr>
                <w:p w14:paraId="05BBFCE7">
                  <w:pPr>
                    <w:snapToGrid w:val="0"/>
                    <w:jc w:val="center"/>
                    <w:rPr>
                      <w:rFonts w:ascii="Times New Roman" w:hAnsi="Times New Roman"/>
                      <w:szCs w:val="21"/>
                    </w:rPr>
                  </w:pPr>
                </w:p>
              </w:tc>
              <w:tc>
                <w:tcPr>
                  <w:tcW w:w="4463" w:type="dxa"/>
                  <w:vMerge w:val="continue"/>
                  <w:vAlign w:val="center"/>
                </w:tcPr>
                <w:p w14:paraId="17E1ECE8">
                  <w:pPr>
                    <w:snapToGrid w:val="0"/>
                    <w:jc w:val="center"/>
                    <w:rPr>
                      <w:rFonts w:ascii="Times New Roman" w:hAnsi="Times New Roman"/>
                      <w:szCs w:val="21"/>
                    </w:rPr>
                  </w:pPr>
                </w:p>
              </w:tc>
            </w:tr>
            <w:tr w14:paraId="7A5FD3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0" w:type="auto"/>
                  <w:vMerge w:val="continue"/>
                  <w:vAlign w:val="center"/>
                </w:tcPr>
                <w:p w14:paraId="00955B4B">
                  <w:pPr>
                    <w:widowControl/>
                    <w:snapToGrid w:val="0"/>
                    <w:jc w:val="left"/>
                    <w:rPr>
                      <w:rFonts w:ascii="Times New Roman" w:hAnsi="Times New Roman"/>
                      <w:szCs w:val="21"/>
                    </w:rPr>
                  </w:pPr>
                </w:p>
              </w:tc>
              <w:tc>
                <w:tcPr>
                  <w:tcW w:w="0" w:type="auto"/>
                  <w:vAlign w:val="center"/>
                </w:tcPr>
                <w:p w14:paraId="7CDC07BC">
                  <w:pPr>
                    <w:snapToGrid w:val="0"/>
                    <w:jc w:val="center"/>
                    <w:rPr>
                      <w:rFonts w:ascii="Times New Roman" w:hAnsi="Times New Roman"/>
                      <w:szCs w:val="21"/>
                    </w:rPr>
                  </w:pPr>
                  <w:r>
                    <w:rPr>
                      <w:rFonts w:ascii="Times New Roman" w:hAnsi="Times New Roman"/>
                      <w:szCs w:val="21"/>
                    </w:rPr>
                    <w:t>原材料拆卸、包装</w:t>
                  </w:r>
                </w:p>
              </w:tc>
              <w:tc>
                <w:tcPr>
                  <w:tcW w:w="1754" w:type="dxa"/>
                  <w:vAlign w:val="center"/>
                </w:tcPr>
                <w:p w14:paraId="2021C00B">
                  <w:pPr>
                    <w:snapToGrid w:val="0"/>
                    <w:jc w:val="center"/>
                    <w:rPr>
                      <w:rFonts w:ascii="Times New Roman" w:hAnsi="Times New Roman"/>
                      <w:szCs w:val="21"/>
                    </w:rPr>
                  </w:pPr>
                  <w:r>
                    <w:rPr>
                      <w:rFonts w:ascii="Times New Roman" w:hAnsi="Times New Roman"/>
                      <w:szCs w:val="21"/>
                    </w:rPr>
                    <w:t>废包装袋</w:t>
                  </w:r>
                </w:p>
              </w:tc>
              <w:tc>
                <w:tcPr>
                  <w:tcW w:w="4463" w:type="dxa"/>
                  <w:vAlign w:val="center"/>
                </w:tcPr>
                <w:p w14:paraId="49D1380B">
                  <w:pPr>
                    <w:snapToGrid w:val="0"/>
                    <w:jc w:val="center"/>
                    <w:rPr>
                      <w:rFonts w:ascii="Times New Roman" w:hAnsi="Times New Roman"/>
                      <w:szCs w:val="21"/>
                    </w:rPr>
                  </w:pPr>
                  <w:r>
                    <w:rPr>
                      <w:rFonts w:ascii="Times New Roman" w:hAnsi="Times New Roman"/>
                      <w:szCs w:val="21"/>
                    </w:rPr>
                    <w:t>分类收集后出售</w:t>
                  </w:r>
                </w:p>
              </w:tc>
            </w:tr>
            <w:tr w14:paraId="360255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116983CB">
                  <w:pPr>
                    <w:widowControl/>
                    <w:snapToGrid w:val="0"/>
                    <w:jc w:val="left"/>
                    <w:rPr>
                      <w:rFonts w:ascii="Times New Roman" w:hAnsi="Times New Roman"/>
                      <w:szCs w:val="21"/>
                    </w:rPr>
                  </w:pPr>
                </w:p>
              </w:tc>
              <w:tc>
                <w:tcPr>
                  <w:tcW w:w="0" w:type="auto"/>
                  <w:vAlign w:val="center"/>
                </w:tcPr>
                <w:p w14:paraId="17F1B76C">
                  <w:pPr>
                    <w:snapToGrid w:val="0"/>
                    <w:jc w:val="center"/>
                    <w:rPr>
                      <w:rFonts w:ascii="Times New Roman" w:hAnsi="Times New Roman"/>
                      <w:szCs w:val="21"/>
                    </w:rPr>
                  </w:pPr>
                  <w:r>
                    <w:rPr>
                      <w:rFonts w:ascii="Times New Roman" w:hAnsi="Times New Roman"/>
                      <w:szCs w:val="21"/>
                    </w:rPr>
                    <w:t>废活性炭</w:t>
                  </w:r>
                </w:p>
              </w:tc>
              <w:tc>
                <w:tcPr>
                  <w:tcW w:w="1754" w:type="dxa"/>
                  <w:vAlign w:val="center"/>
                </w:tcPr>
                <w:p w14:paraId="2F167850">
                  <w:pPr>
                    <w:snapToGrid w:val="0"/>
                    <w:jc w:val="center"/>
                    <w:rPr>
                      <w:rFonts w:ascii="Times New Roman" w:hAnsi="Times New Roman"/>
                      <w:szCs w:val="21"/>
                    </w:rPr>
                  </w:pPr>
                  <w:r>
                    <w:rPr>
                      <w:rFonts w:ascii="Times New Roman" w:hAnsi="Times New Roman"/>
                      <w:szCs w:val="21"/>
                    </w:rPr>
                    <w:t>废活性炭</w:t>
                  </w:r>
                </w:p>
              </w:tc>
              <w:tc>
                <w:tcPr>
                  <w:tcW w:w="4463" w:type="dxa"/>
                  <w:vMerge w:val="restart"/>
                  <w:vAlign w:val="center"/>
                </w:tcPr>
                <w:p w14:paraId="0C1252E2">
                  <w:pPr>
                    <w:snapToGrid w:val="0"/>
                    <w:jc w:val="center"/>
                    <w:rPr>
                      <w:rFonts w:ascii="Times New Roman" w:hAnsi="Times New Roman"/>
                      <w:szCs w:val="21"/>
                    </w:rPr>
                  </w:pPr>
                  <w:r>
                    <w:rPr>
                      <w:rFonts w:ascii="Times New Roman" w:hAnsi="Times New Roman"/>
                      <w:spacing w:val="-9"/>
                      <w:szCs w:val="21"/>
                    </w:rPr>
                    <w:t>建设符合要求的危险废物暂存场所暂存，统一收集，暂存于厂区危险废物暂存场所，定期交由有资质单位处理</w:t>
                  </w:r>
                </w:p>
              </w:tc>
            </w:tr>
            <w:tr w14:paraId="049C04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356DD30A">
                  <w:pPr>
                    <w:widowControl/>
                    <w:snapToGrid w:val="0"/>
                    <w:jc w:val="left"/>
                    <w:rPr>
                      <w:rFonts w:ascii="Times New Roman" w:hAnsi="Times New Roman"/>
                      <w:szCs w:val="21"/>
                    </w:rPr>
                  </w:pPr>
                </w:p>
              </w:tc>
              <w:tc>
                <w:tcPr>
                  <w:tcW w:w="0" w:type="auto"/>
                  <w:vAlign w:val="center"/>
                </w:tcPr>
                <w:p w14:paraId="5145EE1D">
                  <w:pPr>
                    <w:snapToGrid w:val="0"/>
                    <w:jc w:val="center"/>
                    <w:rPr>
                      <w:rFonts w:ascii="Times New Roman" w:hAnsi="Times New Roman"/>
                      <w:szCs w:val="21"/>
                    </w:rPr>
                  </w:pPr>
                  <w:r>
                    <w:rPr>
                      <w:rFonts w:ascii="Times New Roman" w:hAnsi="Times New Roman"/>
                      <w:szCs w:val="21"/>
                    </w:rPr>
                    <w:t>废液压油</w:t>
                  </w:r>
                </w:p>
              </w:tc>
              <w:tc>
                <w:tcPr>
                  <w:tcW w:w="1754" w:type="dxa"/>
                  <w:vAlign w:val="center"/>
                </w:tcPr>
                <w:p w14:paraId="02CCB351">
                  <w:pPr>
                    <w:snapToGrid w:val="0"/>
                    <w:jc w:val="center"/>
                    <w:rPr>
                      <w:rFonts w:ascii="Times New Roman" w:hAnsi="Times New Roman"/>
                      <w:szCs w:val="21"/>
                    </w:rPr>
                  </w:pPr>
                  <w:r>
                    <w:rPr>
                      <w:rFonts w:ascii="Times New Roman" w:hAnsi="Times New Roman"/>
                      <w:szCs w:val="21"/>
                    </w:rPr>
                    <w:t>废液压油</w:t>
                  </w:r>
                </w:p>
              </w:tc>
              <w:tc>
                <w:tcPr>
                  <w:tcW w:w="4463" w:type="dxa"/>
                  <w:vMerge w:val="continue"/>
                  <w:vAlign w:val="center"/>
                </w:tcPr>
                <w:p w14:paraId="0207E9AB">
                  <w:pPr>
                    <w:snapToGrid w:val="0"/>
                    <w:jc w:val="center"/>
                    <w:rPr>
                      <w:rFonts w:ascii="Times New Roman" w:hAnsi="Times New Roman"/>
                      <w:szCs w:val="21"/>
                    </w:rPr>
                  </w:pPr>
                </w:p>
              </w:tc>
            </w:tr>
            <w:bookmarkEnd w:id="6"/>
          </w:tbl>
          <w:p w14:paraId="2E9D5636">
            <w:pPr>
              <w:pStyle w:val="52"/>
              <w:spacing w:line="500" w:lineRule="exact"/>
              <w:jc w:val="both"/>
              <w:rPr>
                <w:rFonts w:cs="Times New Roman"/>
              </w:rPr>
            </w:pPr>
          </w:p>
        </w:tc>
      </w:tr>
      <w:tr w14:paraId="61E6D26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802" w:hRule="atLeast"/>
          <w:jc w:val="center"/>
        </w:trPr>
        <w:tc>
          <w:tcPr>
            <w:tcW w:w="451" w:type="pct"/>
            <w:tcBorders>
              <w:tl2br w:val="nil"/>
              <w:tr2bl w:val="nil"/>
            </w:tcBorders>
            <w:vAlign w:val="center"/>
          </w:tcPr>
          <w:p w14:paraId="75F4564C">
            <w:pPr>
              <w:pStyle w:val="26"/>
              <w:adjustRightInd w:val="0"/>
              <w:snapToGrid w:val="0"/>
              <w:spacing w:before="0" w:beforeAutospacing="0" w:after="0" w:afterAutospacing="0"/>
              <w:jc w:val="center"/>
              <w:rPr>
                <w:rFonts w:ascii="Times New Roman" w:hAnsi="Times New Roman"/>
                <w:szCs w:val="24"/>
              </w:rPr>
            </w:pPr>
            <w:r>
              <w:rPr>
                <w:rFonts w:ascii="Times New Roman" w:hAnsi="Times New Roman"/>
                <w:kern w:val="2"/>
                <w:szCs w:val="24"/>
              </w:rPr>
              <w:t>与项目有关的原有环境污染问题</w:t>
            </w:r>
          </w:p>
        </w:tc>
        <w:tc>
          <w:tcPr>
            <w:tcW w:w="4549" w:type="pct"/>
            <w:tcBorders>
              <w:tl2br w:val="nil"/>
              <w:tr2bl w:val="nil"/>
            </w:tcBorders>
          </w:tcPr>
          <w:p w14:paraId="5EFD9D31">
            <w:pPr>
              <w:pStyle w:val="2"/>
              <w:snapToGrid w:val="0"/>
              <w:spacing w:line="360" w:lineRule="auto"/>
              <w:ind w:firstLine="480" w:firstLineChars="200"/>
            </w:pPr>
            <w:r>
              <w:t>1、现有项目基本情况</w:t>
            </w:r>
          </w:p>
          <w:p w14:paraId="42844CB3">
            <w:pPr>
              <w:pStyle w:val="2"/>
              <w:snapToGrid w:val="0"/>
              <w:spacing w:line="360" w:lineRule="auto"/>
              <w:ind w:firstLine="480" w:firstLineChars="200"/>
            </w:pPr>
            <w:r>
              <w:t>本工程为新建项目，但已建设，目前企业正在完善环评手续，处罚情况已落实。</w:t>
            </w:r>
          </w:p>
          <w:p w14:paraId="478B02FF">
            <w:pPr>
              <w:pStyle w:val="4"/>
              <w:ind w:left="0" w:leftChars="0" w:firstLine="0" w:firstLineChars="0"/>
              <w:rPr>
                <w:rFonts w:hint="eastAsia" w:eastAsia="宋体"/>
                <w:lang w:eastAsia="zh-CN"/>
              </w:rPr>
            </w:pPr>
            <w:r>
              <w:rPr>
                <w:rFonts w:hint="eastAsia" w:eastAsia="宋体"/>
                <w:lang w:eastAsia="zh-CN"/>
              </w:rPr>
              <w:drawing>
                <wp:inline distT="0" distB="0" distL="114300" distR="114300">
                  <wp:extent cx="2444750" cy="1833880"/>
                  <wp:effectExtent l="0" t="0" r="12700" b="13970"/>
                  <wp:docPr id="28" name="图片 28" descr="26dd2ea10ae6611cd374d89043842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6dd2ea10ae6611cd374d890438425d"/>
                          <pic:cNvPicPr>
                            <a:picLocks noChangeAspect="1"/>
                          </pic:cNvPicPr>
                        </pic:nvPicPr>
                        <pic:blipFill>
                          <a:blip r:embed="rId8"/>
                          <a:stretch>
                            <a:fillRect/>
                          </a:stretch>
                        </pic:blipFill>
                        <pic:spPr>
                          <a:xfrm>
                            <a:off x="0" y="0"/>
                            <a:ext cx="2444750" cy="1833880"/>
                          </a:xfrm>
                          <a:prstGeom prst="rect">
                            <a:avLst/>
                          </a:prstGeom>
                        </pic:spPr>
                      </pic:pic>
                    </a:graphicData>
                  </a:graphic>
                </wp:inline>
              </w:drawing>
            </w:r>
            <w:r>
              <w:rPr>
                <w:rFonts w:hint="eastAsia" w:eastAsia="宋体"/>
                <w:lang w:eastAsia="zh-CN"/>
              </w:rPr>
              <w:drawing>
                <wp:inline distT="0" distB="0" distL="114300" distR="114300">
                  <wp:extent cx="2461260" cy="1845945"/>
                  <wp:effectExtent l="0" t="0" r="15240" b="1905"/>
                  <wp:docPr id="30" name="图片 30" descr="c38e654b4acedea5d0cd4fcb1e2e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38e654b4acedea5d0cd4fcb1e2e417"/>
                          <pic:cNvPicPr>
                            <a:picLocks noChangeAspect="1"/>
                          </pic:cNvPicPr>
                        </pic:nvPicPr>
                        <pic:blipFill>
                          <a:blip r:embed="rId9"/>
                          <a:stretch>
                            <a:fillRect/>
                          </a:stretch>
                        </pic:blipFill>
                        <pic:spPr>
                          <a:xfrm>
                            <a:off x="0" y="0"/>
                            <a:ext cx="2461260" cy="1845945"/>
                          </a:xfrm>
                          <a:prstGeom prst="rect">
                            <a:avLst/>
                          </a:prstGeom>
                        </pic:spPr>
                      </pic:pic>
                    </a:graphicData>
                  </a:graphic>
                </wp:inline>
              </w:drawing>
            </w:r>
          </w:p>
          <w:p w14:paraId="687F3815">
            <w:pPr>
              <w:pStyle w:val="2"/>
              <w:snapToGrid w:val="0"/>
              <w:spacing w:line="360" w:lineRule="auto"/>
              <w:ind w:firstLine="480" w:firstLineChars="200"/>
            </w:pPr>
            <w:r>
              <w:rPr>
                <w:szCs w:val="22"/>
              </w:rPr>
              <w:t>2、</w:t>
            </w:r>
            <w:r>
              <w:t>现有项目污染物产生、排放情况说明</w:t>
            </w:r>
          </w:p>
          <w:p w14:paraId="73975B49">
            <w:pPr>
              <w:pStyle w:val="2"/>
              <w:snapToGrid w:val="0"/>
              <w:spacing w:line="360" w:lineRule="auto"/>
              <w:ind w:firstLine="480" w:firstLineChars="200"/>
            </w:pPr>
            <w:r>
              <w:t>（1）水环境</w:t>
            </w:r>
          </w:p>
          <w:p w14:paraId="109601AC">
            <w:pPr>
              <w:pStyle w:val="2"/>
              <w:snapToGrid w:val="0"/>
              <w:spacing w:line="360" w:lineRule="auto"/>
              <w:ind w:firstLine="480" w:firstLineChars="200"/>
            </w:pPr>
            <w:r>
              <w:t>生活污水经化粪池处理后，定期清掏用于周边农田施肥，不外排；初期雨水直接排放。</w:t>
            </w:r>
          </w:p>
          <w:p w14:paraId="34968B28">
            <w:pPr>
              <w:pStyle w:val="2"/>
              <w:snapToGrid w:val="0"/>
              <w:spacing w:line="360" w:lineRule="auto"/>
              <w:ind w:firstLine="480" w:firstLineChars="200"/>
            </w:pPr>
            <w:r>
              <w:t>（2）大气环境</w:t>
            </w:r>
          </w:p>
          <w:p w14:paraId="0E655161">
            <w:pPr>
              <w:pStyle w:val="2"/>
              <w:snapToGrid w:val="0"/>
              <w:spacing w:line="360" w:lineRule="auto"/>
              <w:ind w:firstLine="480" w:firstLineChars="200"/>
            </w:pPr>
            <w:r>
              <w:t>现有项目大气污染物主要是注塑废气。</w:t>
            </w:r>
          </w:p>
          <w:p w14:paraId="09C73237">
            <w:pPr>
              <w:pStyle w:val="2"/>
              <w:snapToGrid w:val="0"/>
              <w:spacing w:line="360" w:lineRule="auto"/>
              <w:ind w:firstLine="480" w:firstLineChars="200"/>
              <w:rPr>
                <w:color w:val="auto"/>
                <w:szCs w:val="21"/>
                <w:u w:val="none"/>
              </w:rPr>
            </w:pPr>
            <w:r>
              <w:rPr>
                <w:color w:val="auto"/>
                <w:szCs w:val="21"/>
                <w:u w:val="none"/>
              </w:rPr>
              <w:t>在注塑机上方设置集气罩和集气管道，废气经收集后通过二级活性炭吸附装置处理后引至15m高排气筒（DA001）排放。</w:t>
            </w:r>
          </w:p>
          <w:p w14:paraId="67A5F68A">
            <w:pPr>
              <w:pStyle w:val="8"/>
              <w:ind w:left="0" w:leftChars="0" w:firstLine="480" w:firstLineChars="200"/>
              <w:rPr>
                <w:rFonts w:hint="default" w:eastAsia="宋体"/>
                <w:lang w:val="en-US" w:eastAsia="zh-CN"/>
              </w:rPr>
            </w:pPr>
            <w:r>
              <w:rPr>
                <w:rFonts w:hint="eastAsia"/>
                <w:color w:val="auto"/>
                <w:szCs w:val="21"/>
                <w:u w:val="none"/>
                <w:lang w:val="en-US" w:eastAsia="zh-CN"/>
              </w:rPr>
              <w:t>在破碎机上方</w:t>
            </w:r>
            <w:r>
              <w:rPr>
                <w:color w:val="auto"/>
                <w:szCs w:val="21"/>
                <w:u w:val="none"/>
              </w:rPr>
              <w:t>设置集气罩和集气管道，废气经收集后通过</w:t>
            </w:r>
            <w:r>
              <w:rPr>
                <w:rFonts w:hint="eastAsia"/>
                <w:color w:val="auto"/>
                <w:szCs w:val="21"/>
                <w:u w:val="none"/>
                <w:lang w:val="en-US" w:eastAsia="zh-CN"/>
              </w:rPr>
              <w:t>布袋除尘器</w:t>
            </w:r>
            <w:r>
              <w:rPr>
                <w:color w:val="auto"/>
                <w:szCs w:val="21"/>
                <w:u w:val="none"/>
              </w:rPr>
              <w:t>处理后引至15m高排气筒（DA00</w:t>
            </w:r>
            <w:r>
              <w:rPr>
                <w:rFonts w:hint="eastAsia"/>
                <w:color w:val="auto"/>
                <w:szCs w:val="21"/>
                <w:u w:val="none"/>
                <w:lang w:val="en-US" w:eastAsia="zh-CN"/>
              </w:rPr>
              <w:t>2</w:t>
            </w:r>
            <w:r>
              <w:rPr>
                <w:color w:val="auto"/>
                <w:szCs w:val="21"/>
                <w:u w:val="none"/>
              </w:rPr>
              <w:t>）排放。</w:t>
            </w:r>
          </w:p>
          <w:p w14:paraId="39DE183C">
            <w:pPr>
              <w:pStyle w:val="2"/>
              <w:tabs>
                <w:tab w:val="left" w:pos="821"/>
              </w:tabs>
              <w:snapToGrid w:val="0"/>
              <w:spacing w:line="360" w:lineRule="auto"/>
              <w:ind w:firstLine="480" w:firstLineChars="200"/>
            </w:pPr>
            <w:r>
              <w:t>（3）声环境</w:t>
            </w:r>
          </w:p>
          <w:p w14:paraId="18548EBD">
            <w:pPr>
              <w:pStyle w:val="2"/>
              <w:snapToGrid w:val="0"/>
              <w:spacing w:line="360" w:lineRule="auto"/>
              <w:ind w:firstLine="480" w:firstLineChars="200"/>
            </w:pPr>
            <w:r>
              <w:t>本项目噪声主要是生产机械设备及配套设备正常运作时产生的机械噪声，其声级值为65～85dB（A）之间。</w:t>
            </w:r>
          </w:p>
          <w:p w14:paraId="7EF4B36F">
            <w:pPr>
              <w:pStyle w:val="2"/>
              <w:snapToGrid w:val="0"/>
              <w:spacing w:line="360" w:lineRule="auto"/>
              <w:ind w:firstLine="480" w:firstLineChars="200"/>
            </w:pPr>
            <w:r>
              <w:t>（4）固体废物</w:t>
            </w:r>
          </w:p>
          <w:p w14:paraId="4470181B">
            <w:pPr>
              <w:pStyle w:val="2"/>
              <w:snapToGrid w:val="0"/>
              <w:spacing w:line="360" w:lineRule="auto"/>
              <w:ind w:firstLine="480" w:firstLineChars="200"/>
              <w:rPr>
                <w:color w:val="auto"/>
                <w:u w:val="single"/>
              </w:rPr>
            </w:pPr>
            <w:r>
              <w:t>项目产生的一般固体废物包括生产过程中产生的边角料、不合格产品、废包装袋，危险固体废物包括废活性炭、废液压油，另有生活垃圾。边角料、不合格产品、废包装袋集中收集后外售；</w:t>
            </w:r>
            <w:r>
              <w:rPr>
                <w:rFonts w:hint="eastAsia"/>
                <w:lang w:val="en-US" w:eastAsia="zh-CN"/>
              </w:rPr>
              <w:t>目前设有</w:t>
            </w:r>
            <w:r>
              <w:t>一般固废堆放场所及危废暂存间。</w:t>
            </w:r>
          </w:p>
          <w:p w14:paraId="406742FE">
            <w:pPr>
              <w:pStyle w:val="2"/>
              <w:snapToGrid w:val="0"/>
              <w:spacing w:line="360" w:lineRule="auto"/>
              <w:ind w:firstLine="480" w:firstLineChars="200"/>
            </w:pPr>
            <w:r>
              <w:rPr>
                <w:szCs w:val="22"/>
              </w:rPr>
              <w:t>3、</w:t>
            </w:r>
            <w:r>
              <w:t>与该项目有关的主要环境问题及整改措施</w:t>
            </w:r>
          </w:p>
          <w:p w14:paraId="3FD09F6D">
            <w:pPr>
              <w:pStyle w:val="2"/>
              <w:snapToGrid w:val="0"/>
              <w:spacing w:line="360" w:lineRule="auto"/>
              <w:ind w:firstLine="480" w:firstLineChars="200"/>
            </w:pPr>
            <w:r>
              <w:t>本项目属于未批先建项目，根据实地踏勘可知，企业目前生产状况存在部分问题，本次环评根据其现状进行了分析，并根据目前环保要求提出相应的整改措施，具体如下表：</w:t>
            </w:r>
          </w:p>
          <w:p w14:paraId="72DE8F55">
            <w:pPr>
              <w:pStyle w:val="8"/>
            </w:pPr>
          </w:p>
          <w:p w14:paraId="56D000A1"/>
          <w:p w14:paraId="37E440ED"/>
          <w:p w14:paraId="1067C20A"/>
          <w:p w14:paraId="2313F6EC"/>
          <w:p w14:paraId="4180EF37">
            <w:pPr>
              <w:pStyle w:val="52"/>
              <w:numPr>
                <w:ilvl w:val="0"/>
                <w:numId w:val="2"/>
              </w:numPr>
              <w:spacing w:line="360" w:lineRule="auto"/>
              <w:ind w:left="552"/>
              <w:rPr>
                <w:rFonts w:cs="Times New Roman"/>
              </w:rPr>
            </w:pPr>
            <w:r>
              <w:rPr>
                <w:rFonts w:cs="Times New Roman"/>
              </w:rPr>
              <w:t>项目存在问题及整改措施</w:t>
            </w:r>
          </w:p>
          <w:tbl>
            <w:tblPr>
              <w:tblStyle w:val="75"/>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89"/>
              <w:gridCol w:w="1601"/>
              <w:gridCol w:w="5466"/>
              <w:gridCol w:w="676"/>
            </w:tblGrid>
            <w:tr w14:paraId="65211F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0" w:type="auto"/>
                  <w:vAlign w:val="center"/>
                </w:tcPr>
                <w:p w14:paraId="0A65E9ED">
                  <w:pPr>
                    <w:pStyle w:val="2"/>
                    <w:snapToGrid w:val="0"/>
                    <w:jc w:val="center"/>
                    <w:rPr>
                      <w:sz w:val="18"/>
                      <w:szCs w:val="18"/>
                    </w:rPr>
                  </w:pPr>
                  <w:r>
                    <w:rPr>
                      <w:sz w:val="18"/>
                      <w:szCs w:val="18"/>
                    </w:rPr>
                    <w:t>序号</w:t>
                  </w:r>
                </w:p>
              </w:tc>
              <w:tc>
                <w:tcPr>
                  <w:tcW w:w="0" w:type="auto"/>
                  <w:vAlign w:val="center"/>
                </w:tcPr>
                <w:p w14:paraId="02CBCD84">
                  <w:pPr>
                    <w:pStyle w:val="2"/>
                    <w:snapToGrid w:val="0"/>
                    <w:jc w:val="center"/>
                    <w:rPr>
                      <w:sz w:val="18"/>
                      <w:szCs w:val="18"/>
                    </w:rPr>
                  </w:pPr>
                  <w:r>
                    <w:rPr>
                      <w:sz w:val="18"/>
                      <w:szCs w:val="18"/>
                    </w:rPr>
                    <w:t>存在问题</w:t>
                  </w:r>
                </w:p>
              </w:tc>
              <w:tc>
                <w:tcPr>
                  <w:tcW w:w="0" w:type="auto"/>
                  <w:vAlign w:val="center"/>
                </w:tcPr>
                <w:p w14:paraId="5F97FF11">
                  <w:pPr>
                    <w:pStyle w:val="2"/>
                    <w:snapToGrid w:val="0"/>
                    <w:jc w:val="center"/>
                    <w:rPr>
                      <w:sz w:val="18"/>
                      <w:szCs w:val="18"/>
                    </w:rPr>
                  </w:pPr>
                  <w:r>
                    <w:rPr>
                      <w:sz w:val="18"/>
                      <w:szCs w:val="18"/>
                    </w:rPr>
                    <w:t>整改措施</w:t>
                  </w:r>
                </w:p>
              </w:tc>
              <w:tc>
                <w:tcPr>
                  <w:tcW w:w="0" w:type="auto"/>
                  <w:vAlign w:val="center"/>
                </w:tcPr>
                <w:p w14:paraId="2D4F3468">
                  <w:pPr>
                    <w:pStyle w:val="2"/>
                    <w:snapToGrid w:val="0"/>
                    <w:jc w:val="center"/>
                    <w:rPr>
                      <w:sz w:val="18"/>
                      <w:szCs w:val="18"/>
                    </w:rPr>
                  </w:pPr>
                  <w:r>
                    <w:rPr>
                      <w:sz w:val="18"/>
                      <w:szCs w:val="18"/>
                    </w:rPr>
                    <w:t>整改期限</w:t>
                  </w:r>
                </w:p>
              </w:tc>
            </w:tr>
            <w:tr w14:paraId="228B51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0" w:type="auto"/>
                  <w:vAlign w:val="center"/>
                </w:tcPr>
                <w:p w14:paraId="42B980B8">
                  <w:pPr>
                    <w:pStyle w:val="2"/>
                    <w:snapToGrid w:val="0"/>
                    <w:jc w:val="center"/>
                    <w:rPr>
                      <w:sz w:val="18"/>
                      <w:szCs w:val="18"/>
                    </w:rPr>
                  </w:pPr>
                  <w:r>
                    <w:rPr>
                      <w:sz w:val="18"/>
                      <w:szCs w:val="18"/>
                    </w:rPr>
                    <w:t>1</w:t>
                  </w:r>
                </w:p>
              </w:tc>
              <w:tc>
                <w:tcPr>
                  <w:tcW w:w="0" w:type="auto"/>
                  <w:vAlign w:val="center"/>
                </w:tcPr>
                <w:p w14:paraId="618BE6D6">
                  <w:pPr>
                    <w:pStyle w:val="2"/>
                    <w:snapToGrid w:val="0"/>
                    <w:jc w:val="center"/>
                    <w:rPr>
                      <w:sz w:val="18"/>
                      <w:szCs w:val="18"/>
                    </w:rPr>
                  </w:pPr>
                  <w:r>
                    <w:rPr>
                      <w:sz w:val="18"/>
                      <w:szCs w:val="18"/>
                    </w:rPr>
                    <w:t>项目已投产，未履行环评手续</w:t>
                  </w:r>
                </w:p>
              </w:tc>
              <w:tc>
                <w:tcPr>
                  <w:tcW w:w="0" w:type="auto"/>
                  <w:vAlign w:val="center"/>
                </w:tcPr>
                <w:p w14:paraId="4F239155">
                  <w:pPr>
                    <w:pStyle w:val="2"/>
                    <w:snapToGrid w:val="0"/>
                    <w:jc w:val="center"/>
                    <w:rPr>
                      <w:sz w:val="18"/>
                      <w:szCs w:val="18"/>
                    </w:rPr>
                  </w:pPr>
                  <w:r>
                    <w:rPr>
                      <w:sz w:val="18"/>
                      <w:szCs w:val="18"/>
                    </w:rPr>
                    <w:t>正在补办环评手续</w:t>
                  </w:r>
                </w:p>
              </w:tc>
              <w:tc>
                <w:tcPr>
                  <w:tcW w:w="0" w:type="auto"/>
                  <w:vAlign w:val="center"/>
                </w:tcPr>
                <w:p w14:paraId="01E93615">
                  <w:pPr>
                    <w:pStyle w:val="2"/>
                    <w:snapToGrid w:val="0"/>
                    <w:jc w:val="center"/>
                    <w:rPr>
                      <w:sz w:val="18"/>
                      <w:szCs w:val="18"/>
                    </w:rPr>
                  </w:pPr>
                  <w:r>
                    <w:rPr>
                      <w:sz w:val="18"/>
                      <w:szCs w:val="18"/>
                    </w:rPr>
                    <w:t>/</w:t>
                  </w:r>
                </w:p>
              </w:tc>
            </w:tr>
            <w:tr w14:paraId="4D63C9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0" w:type="auto"/>
                  <w:vAlign w:val="center"/>
                </w:tcPr>
                <w:p w14:paraId="55CE2334">
                  <w:pPr>
                    <w:pStyle w:val="2"/>
                    <w:snapToGrid w:val="0"/>
                    <w:jc w:val="center"/>
                    <w:rPr>
                      <w:sz w:val="18"/>
                      <w:szCs w:val="18"/>
                    </w:rPr>
                  </w:pPr>
                  <w:r>
                    <w:rPr>
                      <w:sz w:val="18"/>
                      <w:szCs w:val="18"/>
                    </w:rPr>
                    <w:t>2</w:t>
                  </w:r>
                </w:p>
              </w:tc>
              <w:tc>
                <w:tcPr>
                  <w:tcW w:w="0" w:type="auto"/>
                  <w:vAlign w:val="center"/>
                </w:tcPr>
                <w:p w14:paraId="602953C9">
                  <w:pPr>
                    <w:pStyle w:val="2"/>
                    <w:snapToGrid w:val="0"/>
                    <w:jc w:val="center"/>
                    <w:rPr>
                      <w:sz w:val="18"/>
                      <w:szCs w:val="18"/>
                    </w:rPr>
                  </w:pPr>
                  <w:r>
                    <w:rPr>
                      <w:sz w:val="18"/>
                      <w:szCs w:val="18"/>
                    </w:rPr>
                    <w:t>注塑废</w:t>
                  </w:r>
                  <w:r>
                    <w:rPr>
                      <w:color w:val="auto"/>
                      <w:sz w:val="18"/>
                      <w:szCs w:val="18"/>
                    </w:rPr>
                    <w:t>气无组织排放</w:t>
                  </w:r>
                </w:p>
              </w:tc>
              <w:tc>
                <w:tcPr>
                  <w:tcW w:w="0" w:type="auto"/>
                  <w:vAlign w:val="center"/>
                </w:tcPr>
                <w:p w14:paraId="2C803451">
                  <w:pPr>
                    <w:pStyle w:val="2"/>
                    <w:snapToGrid w:val="0"/>
                    <w:jc w:val="center"/>
                    <w:rPr>
                      <w:sz w:val="18"/>
                      <w:szCs w:val="18"/>
                    </w:rPr>
                  </w:pPr>
                  <w:r>
                    <w:rPr>
                      <w:sz w:val="18"/>
                      <w:szCs w:val="18"/>
                    </w:rPr>
                    <w:t>在注塑机上方设置集气罩和集气管道，废气经收集后通过二级活性炭吸附装置处理后引至15m高排气筒（DA001）排放</w:t>
                  </w:r>
                </w:p>
              </w:tc>
              <w:tc>
                <w:tcPr>
                  <w:tcW w:w="0" w:type="auto"/>
                  <w:vAlign w:val="center"/>
                </w:tcPr>
                <w:p w14:paraId="3E95346B">
                  <w:pPr>
                    <w:pStyle w:val="2"/>
                    <w:snapToGrid w:val="0"/>
                    <w:jc w:val="center"/>
                    <w:rPr>
                      <w:rFonts w:hint="eastAsia" w:eastAsia="宋体"/>
                      <w:sz w:val="18"/>
                      <w:szCs w:val="18"/>
                      <w:lang w:eastAsia="zh-CN"/>
                    </w:rPr>
                  </w:pPr>
                  <w:r>
                    <w:rPr>
                      <w:rFonts w:hint="eastAsia"/>
                      <w:sz w:val="18"/>
                      <w:szCs w:val="18"/>
                      <w:lang w:val="en-US" w:eastAsia="zh-CN"/>
                    </w:rPr>
                    <w:t>已完成</w:t>
                  </w:r>
                </w:p>
              </w:tc>
            </w:tr>
            <w:tr w14:paraId="30F3AD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0" w:type="auto"/>
                  <w:vAlign w:val="center"/>
                </w:tcPr>
                <w:p w14:paraId="77FF2301">
                  <w:pPr>
                    <w:pStyle w:val="2"/>
                    <w:snapToGrid w:val="0"/>
                    <w:jc w:val="center"/>
                    <w:rPr>
                      <w:sz w:val="18"/>
                      <w:szCs w:val="18"/>
                    </w:rPr>
                  </w:pPr>
                  <w:r>
                    <w:rPr>
                      <w:sz w:val="18"/>
                      <w:szCs w:val="18"/>
                    </w:rPr>
                    <w:t>3</w:t>
                  </w:r>
                </w:p>
              </w:tc>
              <w:tc>
                <w:tcPr>
                  <w:tcW w:w="0" w:type="auto"/>
                  <w:vAlign w:val="center"/>
                </w:tcPr>
                <w:p w14:paraId="11EEDFF7">
                  <w:pPr>
                    <w:pStyle w:val="2"/>
                    <w:snapToGrid w:val="0"/>
                    <w:jc w:val="center"/>
                    <w:rPr>
                      <w:sz w:val="18"/>
                      <w:szCs w:val="18"/>
                    </w:rPr>
                  </w:pPr>
                  <w:r>
                    <w:rPr>
                      <w:sz w:val="18"/>
                      <w:szCs w:val="18"/>
                    </w:rPr>
                    <w:t>未设置一般固物暂存间</w:t>
                  </w:r>
                </w:p>
              </w:tc>
              <w:tc>
                <w:tcPr>
                  <w:tcW w:w="0" w:type="auto"/>
                  <w:vAlign w:val="center"/>
                </w:tcPr>
                <w:p w14:paraId="1412D14A">
                  <w:pPr>
                    <w:pStyle w:val="2"/>
                    <w:snapToGrid w:val="0"/>
                    <w:jc w:val="center"/>
                    <w:rPr>
                      <w:sz w:val="18"/>
                      <w:szCs w:val="18"/>
                    </w:rPr>
                  </w:pPr>
                  <w:r>
                    <w:rPr>
                      <w:sz w:val="18"/>
                      <w:szCs w:val="18"/>
                    </w:rPr>
                    <w:t>按规范设置一般固体废物暂存间并做好相应的防渗、防漏等措施</w:t>
                  </w:r>
                </w:p>
              </w:tc>
              <w:tc>
                <w:tcPr>
                  <w:tcW w:w="0" w:type="auto"/>
                  <w:vAlign w:val="center"/>
                </w:tcPr>
                <w:p w14:paraId="150017AA">
                  <w:pPr>
                    <w:pStyle w:val="2"/>
                    <w:snapToGrid w:val="0"/>
                    <w:jc w:val="center"/>
                    <w:rPr>
                      <w:rFonts w:hint="eastAsia" w:eastAsia="宋体"/>
                      <w:sz w:val="18"/>
                      <w:szCs w:val="18"/>
                      <w:lang w:val="en-US" w:eastAsia="zh-CN"/>
                    </w:rPr>
                  </w:pPr>
                  <w:r>
                    <w:rPr>
                      <w:rFonts w:hint="eastAsia"/>
                      <w:sz w:val="18"/>
                      <w:szCs w:val="18"/>
                      <w:lang w:val="en-US" w:eastAsia="zh-CN"/>
                    </w:rPr>
                    <w:t>已完成</w:t>
                  </w:r>
                </w:p>
              </w:tc>
            </w:tr>
            <w:tr w14:paraId="537FC3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0" w:type="auto"/>
                  <w:vAlign w:val="center"/>
                </w:tcPr>
                <w:p w14:paraId="0F4447D1">
                  <w:pPr>
                    <w:pStyle w:val="2"/>
                    <w:snapToGrid w:val="0"/>
                    <w:jc w:val="center"/>
                    <w:rPr>
                      <w:sz w:val="18"/>
                      <w:szCs w:val="18"/>
                    </w:rPr>
                  </w:pPr>
                  <w:r>
                    <w:rPr>
                      <w:sz w:val="18"/>
                      <w:szCs w:val="18"/>
                    </w:rPr>
                    <w:t>4</w:t>
                  </w:r>
                </w:p>
              </w:tc>
              <w:tc>
                <w:tcPr>
                  <w:tcW w:w="0" w:type="auto"/>
                  <w:vAlign w:val="center"/>
                </w:tcPr>
                <w:p w14:paraId="4983C516">
                  <w:pPr>
                    <w:pStyle w:val="2"/>
                    <w:snapToGrid w:val="0"/>
                    <w:jc w:val="center"/>
                    <w:rPr>
                      <w:sz w:val="18"/>
                      <w:szCs w:val="18"/>
                    </w:rPr>
                  </w:pPr>
                  <w:r>
                    <w:rPr>
                      <w:sz w:val="18"/>
                      <w:szCs w:val="18"/>
                    </w:rPr>
                    <w:t>未设置危废暂存间</w:t>
                  </w:r>
                </w:p>
              </w:tc>
              <w:tc>
                <w:tcPr>
                  <w:tcW w:w="0" w:type="auto"/>
                  <w:vAlign w:val="center"/>
                </w:tcPr>
                <w:p w14:paraId="5F2CC49E">
                  <w:pPr>
                    <w:pStyle w:val="2"/>
                    <w:snapToGrid w:val="0"/>
                    <w:jc w:val="center"/>
                    <w:rPr>
                      <w:sz w:val="18"/>
                      <w:szCs w:val="18"/>
                    </w:rPr>
                  </w:pPr>
                  <w:r>
                    <w:rPr>
                      <w:sz w:val="18"/>
                      <w:szCs w:val="18"/>
                    </w:rPr>
                    <w:t>按规范设置危险废物暂存间并做好相应的防渗、防漏等措施</w:t>
                  </w:r>
                </w:p>
              </w:tc>
              <w:tc>
                <w:tcPr>
                  <w:tcW w:w="0" w:type="auto"/>
                  <w:vAlign w:val="center"/>
                </w:tcPr>
                <w:p w14:paraId="5BC5DF6A">
                  <w:pPr>
                    <w:pStyle w:val="2"/>
                    <w:snapToGrid w:val="0"/>
                    <w:jc w:val="center"/>
                    <w:rPr>
                      <w:rFonts w:hint="eastAsia" w:eastAsia="宋体"/>
                      <w:sz w:val="18"/>
                      <w:szCs w:val="18"/>
                      <w:lang w:val="en-US" w:eastAsia="zh-CN"/>
                    </w:rPr>
                  </w:pPr>
                  <w:r>
                    <w:rPr>
                      <w:rFonts w:hint="eastAsia"/>
                      <w:sz w:val="18"/>
                      <w:szCs w:val="18"/>
                      <w:lang w:val="en-US" w:eastAsia="zh-CN"/>
                    </w:rPr>
                    <w:t>已完成</w:t>
                  </w:r>
                </w:p>
              </w:tc>
            </w:tr>
          </w:tbl>
          <w:p w14:paraId="16BB3CDA"/>
          <w:p w14:paraId="281A36F6">
            <w:pPr>
              <w:pStyle w:val="12"/>
            </w:pPr>
          </w:p>
          <w:p w14:paraId="10BB44F3"/>
          <w:p w14:paraId="7B50DFFC">
            <w:pPr>
              <w:pStyle w:val="12"/>
            </w:pPr>
          </w:p>
          <w:p w14:paraId="62B14089"/>
          <w:p w14:paraId="4505A428">
            <w:pPr>
              <w:pStyle w:val="12"/>
            </w:pPr>
          </w:p>
          <w:p w14:paraId="04776AF3"/>
          <w:p w14:paraId="51534105"/>
          <w:p w14:paraId="01F22C78">
            <w:pPr>
              <w:pStyle w:val="12"/>
            </w:pPr>
          </w:p>
          <w:p w14:paraId="42A0AE4B"/>
          <w:p w14:paraId="294B3DA7">
            <w:pPr>
              <w:pStyle w:val="12"/>
            </w:pPr>
          </w:p>
          <w:p w14:paraId="4689084F"/>
          <w:p w14:paraId="121093F9">
            <w:pPr>
              <w:pStyle w:val="12"/>
            </w:pPr>
          </w:p>
          <w:p w14:paraId="21095FB2"/>
          <w:p w14:paraId="7FA8F7E4">
            <w:pPr>
              <w:pStyle w:val="12"/>
            </w:pPr>
          </w:p>
          <w:p w14:paraId="744EACA3">
            <w:pPr>
              <w:pStyle w:val="12"/>
            </w:pPr>
          </w:p>
          <w:p w14:paraId="0941EA8B"/>
          <w:p w14:paraId="40CF9DC1">
            <w:pPr>
              <w:pStyle w:val="12"/>
            </w:pPr>
          </w:p>
          <w:p w14:paraId="77E3C4FC"/>
          <w:p w14:paraId="348809A5">
            <w:pPr>
              <w:pStyle w:val="12"/>
            </w:pPr>
          </w:p>
        </w:tc>
      </w:tr>
    </w:tbl>
    <w:p w14:paraId="2C0FBA16">
      <w:pPr>
        <w:pStyle w:val="26"/>
        <w:jc w:val="center"/>
        <w:rPr>
          <w:rFonts w:ascii="Times New Roman" w:hAnsi="Times New Roman"/>
          <w:snapToGrid w:val="0"/>
          <w:sz w:val="36"/>
          <w:szCs w:val="36"/>
        </w:rPr>
        <w:sectPr>
          <w:pgSz w:w="11906" w:h="16838"/>
          <w:pgMar w:top="1440" w:right="1418" w:bottom="1440" w:left="1418" w:header="851" w:footer="851" w:gutter="0"/>
          <w:cols w:space="720" w:num="1"/>
          <w:docGrid w:linePitch="312" w:charSpace="0"/>
        </w:sectPr>
      </w:pPr>
    </w:p>
    <w:p w14:paraId="3C54BCF7">
      <w:pPr>
        <w:pStyle w:val="26"/>
        <w:snapToGrid w:val="0"/>
        <w:spacing w:before="0" w:beforeAutospacing="0" w:after="0" w:afterAutospacing="0" w:line="360" w:lineRule="auto"/>
        <w:jc w:val="center"/>
        <w:outlineLvl w:val="0"/>
        <w:rPr>
          <w:rFonts w:ascii="Times New Roman" w:hAnsi="Times New Roman"/>
          <w:snapToGrid w:val="0"/>
          <w:sz w:val="30"/>
          <w:szCs w:val="30"/>
        </w:rPr>
      </w:pPr>
      <w:r>
        <w:rPr>
          <w:rFonts w:ascii="Times New Roman" w:hAnsi="Times New Roman"/>
          <w:snapToGrid w:val="0"/>
          <w:sz w:val="30"/>
          <w:szCs w:val="30"/>
        </w:rPr>
        <w:t>三、区域环境质量现状、环境保护目标及评价标准</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8623"/>
      </w:tblGrid>
      <w:tr w14:paraId="63D7DA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tcBorders>
              <w:tl2br w:val="nil"/>
              <w:tr2bl w:val="nil"/>
            </w:tcBorders>
            <w:vAlign w:val="center"/>
          </w:tcPr>
          <w:p w14:paraId="19E2241A">
            <w:pPr>
              <w:adjustRightInd w:val="0"/>
              <w:snapToGrid w:val="0"/>
              <w:jc w:val="center"/>
              <w:rPr>
                <w:kern w:val="0"/>
                <w:sz w:val="24"/>
              </w:rPr>
            </w:pPr>
            <w:r>
              <w:rPr>
                <w:kern w:val="0"/>
                <w:sz w:val="24"/>
              </w:rPr>
              <w:t>区域</w:t>
            </w:r>
          </w:p>
          <w:p w14:paraId="138FC128">
            <w:pPr>
              <w:adjustRightInd w:val="0"/>
              <w:snapToGrid w:val="0"/>
              <w:jc w:val="center"/>
              <w:rPr>
                <w:kern w:val="0"/>
                <w:sz w:val="24"/>
              </w:rPr>
            </w:pPr>
            <w:r>
              <w:rPr>
                <w:kern w:val="0"/>
                <w:sz w:val="24"/>
              </w:rPr>
              <w:t>环境</w:t>
            </w:r>
          </w:p>
          <w:p w14:paraId="0CF1C87E">
            <w:pPr>
              <w:adjustRightInd w:val="0"/>
              <w:snapToGrid w:val="0"/>
              <w:jc w:val="center"/>
              <w:rPr>
                <w:kern w:val="0"/>
                <w:sz w:val="24"/>
              </w:rPr>
            </w:pPr>
            <w:r>
              <w:rPr>
                <w:kern w:val="0"/>
                <w:sz w:val="24"/>
              </w:rPr>
              <w:t>质量</w:t>
            </w:r>
          </w:p>
          <w:p w14:paraId="32A53CA7">
            <w:pPr>
              <w:adjustRightInd w:val="0"/>
              <w:snapToGrid w:val="0"/>
              <w:jc w:val="center"/>
              <w:rPr>
                <w:color w:val="0000FF"/>
                <w:kern w:val="0"/>
                <w:szCs w:val="21"/>
              </w:rPr>
            </w:pPr>
            <w:r>
              <w:rPr>
                <w:kern w:val="0"/>
                <w:sz w:val="24"/>
              </w:rPr>
              <w:t>现状</w:t>
            </w:r>
          </w:p>
        </w:tc>
        <w:tc>
          <w:tcPr>
            <w:tcW w:w="4643" w:type="pct"/>
            <w:tcBorders>
              <w:tl2br w:val="nil"/>
              <w:tr2bl w:val="nil"/>
            </w:tcBorders>
            <w:vAlign w:val="center"/>
          </w:tcPr>
          <w:p w14:paraId="081492F6">
            <w:pPr>
              <w:pStyle w:val="59"/>
              <w:numPr>
                <w:ilvl w:val="0"/>
                <w:numId w:val="3"/>
              </w:numPr>
              <w:adjustRightInd w:val="0"/>
              <w:snapToGrid w:val="0"/>
              <w:spacing w:line="360" w:lineRule="auto"/>
              <w:ind w:firstLineChars="0"/>
              <w:jc w:val="left"/>
              <w:rPr>
                <w:b/>
                <w:bCs/>
                <w:kern w:val="0"/>
                <w:sz w:val="24"/>
              </w:rPr>
            </w:pPr>
            <w:r>
              <w:rPr>
                <w:b/>
                <w:bCs/>
                <w:kern w:val="0"/>
                <w:sz w:val="24"/>
              </w:rPr>
              <w:t>大气环境</w:t>
            </w:r>
          </w:p>
          <w:p w14:paraId="25A9556D">
            <w:pPr>
              <w:adjustRightInd w:val="0"/>
              <w:snapToGrid w:val="0"/>
              <w:spacing w:line="360" w:lineRule="auto"/>
              <w:ind w:firstLine="480" w:firstLineChars="200"/>
              <w:jc w:val="left"/>
              <w:rPr>
                <w:rFonts w:hint="eastAsia"/>
                <w:kern w:val="0"/>
                <w:sz w:val="24"/>
              </w:rPr>
            </w:pPr>
            <w:r>
              <w:rPr>
                <w:rFonts w:hint="eastAsia"/>
                <w:kern w:val="0"/>
                <w:sz w:val="24"/>
              </w:rPr>
              <w:t>根据发布的宿州市2023年环境质量状况，宿州市2023年SO</w:t>
            </w:r>
            <w:r>
              <w:rPr>
                <w:rFonts w:hint="eastAsia"/>
                <w:kern w:val="0"/>
                <w:sz w:val="24"/>
                <w:vertAlign w:val="subscript"/>
              </w:rPr>
              <w:t>2</w:t>
            </w:r>
            <w:r>
              <w:rPr>
                <w:rFonts w:hint="eastAsia"/>
                <w:kern w:val="0"/>
                <w:sz w:val="24"/>
              </w:rPr>
              <w:t>、NO</w:t>
            </w:r>
            <w:r>
              <w:rPr>
                <w:rFonts w:hint="eastAsia"/>
                <w:kern w:val="0"/>
                <w:sz w:val="24"/>
                <w:vertAlign w:val="subscript"/>
              </w:rPr>
              <w:t>2</w:t>
            </w:r>
            <w:r>
              <w:rPr>
                <w:rFonts w:hint="eastAsia"/>
                <w:kern w:val="0"/>
                <w:sz w:val="24"/>
              </w:rPr>
              <w:t>、PM</w:t>
            </w:r>
            <w:r>
              <w:rPr>
                <w:rFonts w:hint="eastAsia"/>
                <w:kern w:val="0"/>
                <w:sz w:val="24"/>
                <w:vertAlign w:val="subscript"/>
              </w:rPr>
              <w:t>10</w:t>
            </w:r>
            <w:r>
              <w:rPr>
                <w:rFonts w:hint="eastAsia"/>
                <w:kern w:val="0"/>
                <w:sz w:val="24"/>
              </w:rPr>
              <w:t>、PM</w:t>
            </w:r>
            <w:r>
              <w:rPr>
                <w:rFonts w:hint="eastAsia"/>
                <w:kern w:val="0"/>
                <w:sz w:val="24"/>
                <w:vertAlign w:val="subscript"/>
              </w:rPr>
              <w:t>2.5</w:t>
            </w:r>
            <w:r>
              <w:rPr>
                <w:rFonts w:hint="eastAsia"/>
                <w:kern w:val="0"/>
                <w:sz w:val="24"/>
              </w:rPr>
              <w:t>年均浓度分别为6μg/m3、28μg/m3、75μg/m3、41μg/m3；CO24小时平均第95百分位数为1.1mg/m3，O</w:t>
            </w:r>
            <w:r>
              <w:rPr>
                <w:rFonts w:hint="eastAsia"/>
                <w:kern w:val="0"/>
                <w:sz w:val="24"/>
                <w:vertAlign w:val="subscript"/>
              </w:rPr>
              <w:t>3</w:t>
            </w:r>
            <w:r>
              <w:rPr>
                <w:rFonts w:hint="eastAsia"/>
                <w:kern w:val="0"/>
                <w:sz w:val="24"/>
              </w:rPr>
              <w:t>日最大8小时平均第90百分位数为165μg/m3；超过《环境空气质量标准》（GB3095-2012）中二级标准限值的污染物为O</w:t>
            </w:r>
            <w:r>
              <w:rPr>
                <w:rFonts w:hint="eastAsia"/>
                <w:kern w:val="0"/>
                <w:sz w:val="24"/>
                <w:vertAlign w:val="subscript"/>
              </w:rPr>
              <w:t>3</w:t>
            </w:r>
            <w:r>
              <w:rPr>
                <w:rFonts w:hint="eastAsia"/>
                <w:kern w:val="0"/>
                <w:sz w:val="24"/>
              </w:rPr>
              <w:t>、PM</w:t>
            </w:r>
            <w:r>
              <w:rPr>
                <w:rFonts w:hint="eastAsia"/>
                <w:kern w:val="0"/>
                <w:sz w:val="24"/>
                <w:vertAlign w:val="subscript"/>
              </w:rPr>
              <w:t>10</w:t>
            </w:r>
            <w:r>
              <w:rPr>
                <w:rFonts w:hint="eastAsia"/>
                <w:kern w:val="0"/>
                <w:sz w:val="24"/>
              </w:rPr>
              <w:t>、PM</w:t>
            </w:r>
            <w:r>
              <w:rPr>
                <w:rFonts w:hint="eastAsia"/>
                <w:kern w:val="0"/>
                <w:sz w:val="24"/>
                <w:vertAlign w:val="subscript"/>
              </w:rPr>
              <w:t>2.5</w:t>
            </w:r>
            <w:r>
              <w:rPr>
                <w:rFonts w:hint="eastAsia"/>
                <w:kern w:val="0"/>
                <w:sz w:val="24"/>
              </w:rPr>
              <w:t>。宿州市属于不达标区。</w:t>
            </w:r>
          </w:p>
          <w:p w14:paraId="348B2929">
            <w:pPr>
              <w:adjustRightInd w:val="0"/>
              <w:snapToGrid w:val="0"/>
              <w:spacing w:line="360" w:lineRule="auto"/>
              <w:ind w:firstLine="480" w:firstLineChars="200"/>
              <w:jc w:val="left"/>
              <w:rPr>
                <w:kern w:val="0"/>
                <w:sz w:val="24"/>
              </w:rPr>
            </w:pPr>
            <w:r>
              <w:rPr>
                <w:rFonts w:hint="eastAsia"/>
                <w:kern w:val="0"/>
                <w:sz w:val="24"/>
              </w:rPr>
              <w:t>针对基本污染物不达标问题，宿州市人民政府决定采取措施进行区域整改，具体整改措施如下：在加大调整产业结构、强化环境监督、综合整治面源污染的同时，进一步完善工业污染源治理，取缔分散居民燃煤锅炉的使用，加强施工临时堆土管理及车辆运输管理；加大区域产业布局调整力度。加快城市建成区及临近周边重污染企业搬迁改造或关闭退出，推动实施低端化工等重污染企业搬迁工程。禁止新增化工园区，加大现有化工园区整治力度。已明确的退城企业，要明确时间表，逾期不退城的予以停产；严格控制“两高”行业产能；强化“散乱污”企业综合整治；深化工业污染治理；大力培育绿色环保产业；加快调整能源结构，构建清洁低碳高效能源体系；积极调整运输结构，发展绿色交通体系等，采取以上措施，使宿州市区域环境空气质量大大改善。</w:t>
            </w:r>
          </w:p>
          <w:p w14:paraId="660314AC">
            <w:pPr>
              <w:adjustRightInd w:val="0"/>
              <w:snapToGrid w:val="0"/>
              <w:spacing w:line="360" w:lineRule="auto"/>
              <w:jc w:val="left"/>
              <w:rPr>
                <w:b/>
                <w:bCs/>
                <w:kern w:val="0"/>
                <w:sz w:val="24"/>
              </w:rPr>
            </w:pPr>
            <w:r>
              <w:rPr>
                <w:b/>
                <w:bCs/>
                <w:kern w:val="0"/>
                <w:sz w:val="24"/>
              </w:rPr>
              <w:t>2、地表水环境</w:t>
            </w:r>
          </w:p>
          <w:p w14:paraId="627CE6A5">
            <w:pPr>
              <w:adjustRightInd w:val="0"/>
              <w:snapToGrid w:val="0"/>
              <w:spacing w:line="360" w:lineRule="auto"/>
              <w:ind w:firstLine="480" w:firstLineChars="200"/>
              <w:jc w:val="left"/>
              <w:rPr>
                <w:rFonts w:hint="eastAsia"/>
                <w:kern w:val="0"/>
                <w:sz w:val="24"/>
              </w:rPr>
            </w:pPr>
            <w:r>
              <w:rPr>
                <w:rFonts w:hint="eastAsia"/>
                <w:kern w:val="0"/>
                <w:sz w:val="24"/>
              </w:rPr>
              <w:t>根据《建设项目环境影响报告表编制技术指南（污染影响类）（试行）》，地表水环境引用与建设项目距离近的有效数据，包括近3年的规划环境影响评价的监测数据，所在流域控制单元内国家、地方控制断面监测数据，生态环境主管部门发布的水环境质量数据或地表水达标情况的结论。</w:t>
            </w:r>
          </w:p>
          <w:p w14:paraId="6CA93436">
            <w:pPr>
              <w:adjustRightInd w:val="0"/>
              <w:snapToGrid w:val="0"/>
              <w:spacing w:line="360" w:lineRule="auto"/>
              <w:ind w:firstLine="480" w:firstLineChars="200"/>
              <w:jc w:val="left"/>
              <w:rPr>
                <w:rFonts w:hint="eastAsia"/>
                <w:kern w:val="0"/>
                <w:sz w:val="24"/>
              </w:rPr>
            </w:pPr>
            <w:r>
              <w:rPr>
                <w:rFonts w:hint="eastAsia"/>
                <w:kern w:val="0"/>
                <w:sz w:val="24"/>
              </w:rPr>
              <w:t>根据《宿州市2023年环境质量报告》，2023年宿州市水环境质量稳步改善，全市13个地表水国家考核断面中9个水质为Ⅲ类，水质优良比例为69.2%，较上年同比提升15.4个百分点，好于省年度考核目标7.7个百分点；10个地表水省考核断面中，4个断面水质为Ⅲ类，水质优良比例为40%，好于省年度考核目标10个百分点；9个县级及以上集中式饮用水水源地，水质达标率为100%。</w:t>
            </w:r>
          </w:p>
          <w:p w14:paraId="3244E784">
            <w:pPr>
              <w:adjustRightInd w:val="0"/>
              <w:snapToGrid w:val="0"/>
              <w:spacing w:line="360" w:lineRule="auto"/>
              <w:ind w:firstLine="480" w:firstLineChars="200"/>
              <w:jc w:val="left"/>
              <w:rPr>
                <w:rFonts w:hint="eastAsia"/>
                <w:kern w:val="0"/>
                <w:sz w:val="24"/>
              </w:rPr>
            </w:pPr>
            <w:r>
              <w:rPr>
                <w:rFonts w:hint="eastAsia"/>
                <w:kern w:val="0"/>
                <w:sz w:val="24"/>
              </w:rPr>
              <w:t>2024年1-4月，</w:t>
            </w:r>
            <w:r>
              <w:rPr>
                <w:rFonts w:hint="eastAsia"/>
                <w:kern w:val="0"/>
                <w:sz w:val="24"/>
                <w:lang w:val="en-US" w:eastAsia="zh-CN"/>
              </w:rPr>
              <w:t>宿州</w:t>
            </w:r>
            <w:r>
              <w:rPr>
                <w:rFonts w:hint="eastAsia"/>
                <w:kern w:val="0"/>
                <w:sz w:val="24"/>
              </w:rPr>
              <w:t>市13个国家考核断面中沱河关咀、澥河方店闸、老濉河泗县、唐河泗县、新濉河大屈、新汴河团结闸水质均值为Ⅲ类，奎河宿州、石梁河王庄西、王引河固口闸、萧濉新河宿州市、沱河芦岭桥、浍河湖沟和废黄河铜山贾楼桥水质均值为Ⅳ类，均达到国家考核要求。市级及县级集中式饮用水水源地水质均为Ⅲ类，水质达标率100%。</w:t>
            </w:r>
          </w:p>
          <w:p w14:paraId="13D019C0">
            <w:pPr>
              <w:adjustRightInd w:val="0"/>
              <w:snapToGrid w:val="0"/>
              <w:spacing w:line="360" w:lineRule="auto"/>
              <w:ind w:firstLine="480" w:firstLineChars="200"/>
              <w:jc w:val="left"/>
              <w:rPr>
                <w:kern w:val="0"/>
                <w:sz w:val="24"/>
              </w:rPr>
            </w:pPr>
            <w:r>
              <w:rPr>
                <w:rFonts w:hint="eastAsia"/>
                <w:kern w:val="0"/>
                <w:sz w:val="24"/>
              </w:rPr>
              <w:t>本项目附近地表水为</w:t>
            </w:r>
            <w:r>
              <w:rPr>
                <w:rFonts w:hint="eastAsia"/>
                <w:color w:val="auto"/>
                <w:kern w:val="0"/>
                <w:sz w:val="24"/>
                <w:highlight w:val="none"/>
                <w:lang w:val="en-US" w:eastAsia="zh-CN"/>
              </w:rPr>
              <w:t>新濉河</w:t>
            </w:r>
            <w:r>
              <w:rPr>
                <w:rFonts w:hint="eastAsia"/>
                <w:kern w:val="0"/>
                <w:sz w:val="24"/>
              </w:rPr>
              <w:t>，水质能够满足《地表水环境质量标准》（GB3838-2002）中的IV类标准，区域地表水环境质量较好。</w:t>
            </w:r>
          </w:p>
          <w:p w14:paraId="01E169DC">
            <w:pPr>
              <w:adjustRightInd w:val="0"/>
              <w:snapToGrid w:val="0"/>
              <w:spacing w:line="360" w:lineRule="auto"/>
              <w:ind w:firstLine="241" w:firstLineChars="100"/>
              <w:jc w:val="left"/>
              <w:rPr>
                <w:b/>
                <w:bCs/>
                <w:kern w:val="0"/>
                <w:sz w:val="24"/>
              </w:rPr>
            </w:pPr>
            <w:r>
              <w:rPr>
                <w:b/>
                <w:bCs/>
                <w:kern w:val="0"/>
                <w:sz w:val="24"/>
              </w:rPr>
              <w:t>3、声环境</w:t>
            </w:r>
          </w:p>
          <w:p w14:paraId="3FA6BBDE">
            <w:pPr>
              <w:spacing w:line="360" w:lineRule="auto"/>
              <w:ind w:firstLine="480"/>
              <w:rPr>
                <w:kern w:val="0"/>
                <w:sz w:val="24"/>
              </w:rPr>
            </w:pPr>
            <w:r>
              <w:rPr>
                <w:rFonts w:hint="eastAsia"/>
                <w:kern w:val="0"/>
                <w:sz w:val="24"/>
              </w:rPr>
              <w:t>本项目50m范围内无有声环境保护目标，可不进行现状监测。</w:t>
            </w:r>
          </w:p>
          <w:p w14:paraId="20C36E64">
            <w:pPr>
              <w:spacing w:line="360" w:lineRule="auto"/>
              <w:ind w:firstLine="241" w:firstLineChars="100"/>
              <w:rPr>
                <w:b/>
                <w:bCs/>
                <w:sz w:val="24"/>
              </w:rPr>
            </w:pPr>
            <w:r>
              <w:rPr>
                <w:b/>
                <w:bCs/>
                <w:sz w:val="24"/>
              </w:rPr>
              <w:t>4、生态环境</w:t>
            </w:r>
          </w:p>
          <w:p w14:paraId="046EBACA">
            <w:pPr>
              <w:spacing w:line="360" w:lineRule="auto"/>
              <w:ind w:firstLine="480" w:firstLineChars="200"/>
              <w:rPr>
                <w:sz w:val="24"/>
              </w:rPr>
            </w:pPr>
            <w:r>
              <w:rPr>
                <w:sz w:val="24"/>
              </w:rPr>
              <w:t>本项目位于园区内，用地内无生态环境保护目标，不进行生态现状调查。</w:t>
            </w:r>
          </w:p>
          <w:p w14:paraId="27007D4C">
            <w:pPr>
              <w:spacing w:line="360" w:lineRule="auto"/>
              <w:ind w:firstLine="241" w:firstLineChars="100"/>
              <w:rPr>
                <w:b/>
                <w:bCs/>
                <w:sz w:val="24"/>
              </w:rPr>
            </w:pPr>
            <w:r>
              <w:rPr>
                <w:b/>
                <w:bCs/>
                <w:sz w:val="24"/>
              </w:rPr>
              <w:t>5、电磁辐射</w:t>
            </w:r>
          </w:p>
          <w:p w14:paraId="58D3A300">
            <w:pPr>
              <w:spacing w:line="360" w:lineRule="auto"/>
              <w:ind w:firstLine="480" w:firstLineChars="200"/>
              <w:rPr>
                <w:b/>
                <w:bCs/>
                <w:sz w:val="24"/>
              </w:rPr>
            </w:pPr>
            <w:r>
              <w:rPr>
                <w:sz w:val="24"/>
              </w:rPr>
              <w:t>本项目不涉及电磁辐射类项目，不进行电磁辐射现状调查与评价。</w:t>
            </w:r>
          </w:p>
          <w:p w14:paraId="4A212166">
            <w:pPr>
              <w:spacing w:line="360" w:lineRule="auto"/>
              <w:ind w:firstLine="241" w:firstLineChars="100"/>
              <w:rPr>
                <w:b/>
                <w:bCs/>
                <w:sz w:val="24"/>
              </w:rPr>
            </w:pPr>
            <w:r>
              <w:rPr>
                <w:rFonts w:hint="eastAsia"/>
                <w:b/>
                <w:bCs/>
                <w:sz w:val="24"/>
              </w:rPr>
              <w:t>6、地下水、土壤环境</w:t>
            </w:r>
          </w:p>
          <w:p w14:paraId="0B700761">
            <w:pPr>
              <w:adjustRightInd w:val="0"/>
              <w:snapToGrid w:val="0"/>
              <w:spacing w:line="360" w:lineRule="auto"/>
              <w:ind w:firstLine="480" w:firstLineChars="200"/>
            </w:pPr>
            <w:r>
              <w:rPr>
                <w:rFonts w:hint="eastAsia"/>
                <w:sz w:val="24"/>
              </w:rPr>
              <w:t>按照《建设项目环境影响报告表编制技术指南》（污染影响类）（试行）中（三）区域环境质量现状、环境保护目标及评价标准，地下水、土壤环境原则上不开展环境质量现状调查。</w:t>
            </w:r>
          </w:p>
        </w:tc>
      </w:tr>
      <w:tr w14:paraId="594720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tcBorders>
              <w:tl2br w:val="nil"/>
              <w:tr2bl w:val="nil"/>
            </w:tcBorders>
            <w:vAlign w:val="center"/>
          </w:tcPr>
          <w:p w14:paraId="6AF5680B">
            <w:pPr>
              <w:adjustRightInd w:val="0"/>
              <w:snapToGrid w:val="0"/>
              <w:jc w:val="center"/>
              <w:rPr>
                <w:kern w:val="0"/>
                <w:sz w:val="24"/>
              </w:rPr>
            </w:pPr>
            <w:r>
              <w:rPr>
                <w:kern w:val="0"/>
                <w:sz w:val="24"/>
              </w:rPr>
              <w:t>环境</w:t>
            </w:r>
          </w:p>
          <w:p w14:paraId="63A55A91">
            <w:pPr>
              <w:adjustRightInd w:val="0"/>
              <w:snapToGrid w:val="0"/>
              <w:jc w:val="center"/>
              <w:rPr>
                <w:kern w:val="0"/>
                <w:sz w:val="24"/>
              </w:rPr>
            </w:pPr>
            <w:r>
              <w:rPr>
                <w:kern w:val="0"/>
                <w:sz w:val="24"/>
              </w:rPr>
              <w:t>保护</w:t>
            </w:r>
          </w:p>
          <w:p w14:paraId="59904E28">
            <w:pPr>
              <w:adjustRightInd w:val="0"/>
              <w:snapToGrid w:val="0"/>
              <w:jc w:val="center"/>
              <w:rPr>
                <w:kern w:val="0"/>
                <w:szCs w:val="21"/>
              </w:rPr>
            </w:pPr>
            <w:r>
              <w:rPr>
                <w:kern w:val="0"/>
                <w:sz w:val="24"/>
              </w:rPr>
              <w:t>目标</w:t>
            </w:r>
          </w:p>
        </w:tc>
        <w:tc>
          <w:tcPr>
            <w:tcW w:w="4643" w:type="pct"/>
            <w:tcBorders>
              <w:tl2br w:val="nil"/>
              <w:tr2bl w:val="nil"/>
            </w:tcBorders>
            <w:vAlign w:val="center"/>
          </w:tcPr>
          <w:p w14:paraId="10133A70">
            <w:pPr>
              <w:adjustRightInd w:val="0"/>
              <w:snapToGrid w:val="0"/>
              <w:spacing w:line="360" w:lineRule="auto"/>
              <w:rPr>
                <w:b/>
                <w:bCs/>
                <w:kern w:val="0"/>
                <w:sz w:val="24"/>
              </w:rPr>
            </w:pPr>
            <w:r>
              <w:rPr>
                <w:b/>
                <w:bCs/>
                <w:kern w:val="0"/>
                <w:sz w:val="24"/>
              </w:rPr>
              <w:t>1、大气环境</w:t>
            </w:r>
          </w:p>
          <w:p w14:paraId="4CB58F5D">
            <w:pPr>
              <w:adjustRightInd w:val="0"/>
              <w:snapToGrid w:val="0"/>
              <w:spacing w:line="360" w:lineRule="auto"/>
              <w:ind w:firstLine="480" w:firstLineChars="200"/>
              <w:rPr>
                <w:sz w:val="24"/>
              </w:rPr>
            </w:pPr>
            <w:r>
              <w:rPr>
                <w:kern w:val="0"/>
                <w:sz w:val="24"/>
              </w:rPr>
              <w:t>项目厂界外500m范围内主要环境保护目标详见</w:t>
            </w:r>
            <w:r>
              <w:rPr>
                <w:sz w:val="24"/>
              </w:rPr>
              <w:t>下表。</w:t>
            </w:r>
          </w:p>
          <w:p w14:paraId="6C49B0DC">
            <w:pPr>
              <w:pStyle w:val="52"/>
              <w:numPr>
                <w:ilvl w:val="0"/>
                <w:numId w:val="4"/>
              </w:numPr>
              <w:spacing w:line="360" w:lineRule="auto"/>
              <w:jc w:val="center"/>
              <w:rPr>
                <w:rFonts w:cs="Times New Roman"/>
              </w:rPr>
            </w:pPr>
            <w:r>
              <w:rPr>
                <w:rFonts w:cs="Times New Roman"/>
              </w:rPr>
              <w:t>项目环境空气主要保护目标</w:t>
            </w:r>
          </w:p>
          <w:tbl>
            <w:tblPr>
              <w:tblStyle w:val="75"/>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1341"/>
              <w:gridCol w:w="1258"/>
              <w:gridCol w:w="630"/>
              <w:gridCol w:w="992"/>
              <w:gridCol w:w="1816"/>
              <w:gridCol w:w="771"/>
              <w:gridCol w:w="903"/>
            </w:tblGrid>
            <w:tr w14:paraId="5229F4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0" w:type="auto"/>
                  <w:vAlign w:val="center"/>
                </w:tcPr>
                <w:p w14:paraId="6212CC19">
                  <w:pPr>
                    <w:snapToGrid w:val="0"/>
                    <w:jc w:val="center"/>
                    <w:rPr>
                      <w:rFonts w:ascii="Times New Roman" w:hAnsi="Times New Roman"/>
                      <w:bCs/>
                      <w:sz w:val="18"/>
                      <w:szCs w:val="18"/>
                    </w:rPr>
                  </w:pPr>
                  <w:r>
                    <w:rPr>
                      <w:rFonts w:ascii="Times New Roman" w:hAnsi="Times New Roman"/>
                      <w:bCs/>
                      <w:sz w:val="18"/>
                      <w:szCs w:val="18"/>
                    </w:rPr>
                    <w:t>名称</w:t>
                  </w:r>
                </w:p>
              </w:tc>
              <w:tc>
                <w:tcPr>
                  <w:tcW w:w="0" w:type="auto"/>
                  <w:vAlign w:val="center"/>
                </w:tcPr>
                <w:p w14:paraId="062CD5BE">
                  <w:pPr>
                    <w:snapToGrid w:val="0"/>
                    <w:jc w:val="center"/>
                    <w:rPr>
                      <w:rFonts w:ascii="Times New Roman" w:hAnsi="Times New Roman"/>
                      <w:bCs/>
                      <w:sz w:val="18"/>
                      <w:szCs w:val="18"/>
                    </w:rPr>
                  </w:pPr>
                  <w:r>
                    <w:rPr>
                      <w:rFonts w:ascii="Times New Roman" w:hAnsi="Times New Roman"/>
                      <w:bCs/>
                      <w:sz w:val="18"/>
                      <w:szCs w:val="18"/>
                    </w:rPr>
                    <w:t>中心点经度</w:t>
                  </w:r>
                </w:p>
              </w:tc>
              <w:tc>
                <w:tcPr>
                  <w:tcW w:w="0" w:type="auto"/>
                  <w:vAlign w:val="center"/>
                </w:tcPr>
                <w:p w14:paraId="01109AC4">
                  <w:pPr>
                    <w:snapToGrid w:val="0"/>
                    <w:jc w:val="center"/>
                    <w:rPr>
                      <w:rFonts w:ascii="Times New Roman" w:hAnsi="Times New Roman"/>
                      <w:bCs/>
                      <w:sz w:val="18"/>
                      <w:szCs w:val="18"/>
                    </w:rPr>
                  </w:pPr>
                  <w:r>
                    <w:rPr>
                      <w:rFonts w:ascii="Times New Roman" w:hAnsi="Times New Roman"/>
                      <w:bCs/>
                      <w:sz w:val="18"/>
                      <w:szCs w:val="18"/>
                    </w:rPr>
                    <w:t>中心点纬度</w:t>
                  </w:r>
                </w:p>
              </w:tc>
              <w:tc>
                <w:tcPr>
                  <w:tcW w:w="630" w:type="dxa"/>
                  <w:vAlign w:val="center"/>
                </w:tcPr>
                <w:p w14:paraId="750E0247">
                  <w:pPr>
                    <w:snapToGrid w:val="0"/>
                    <w:jc w:val="center"/>
                    <w:rPr>
                      <w:rFonts w:ascii="Times New Roman" w:hAnsi="Times New Roman"/>
                      <w:bCs/>
                      <w:sz w:val="18"/>
                      <w:szCs w:val="18"/>
                    </w:rPr>
                  </w:pPr>
                  <w:r>
                    <w:rPr>
                      <w:rFonts w:ascii="Times New Roman" w:hAnsi="Times New Roman"/>
                      <w:bCs/>
                      <w:sz w:val="18"/>
                      <w:szCs w:val="18"/>
                    </w:rPr>
                    <w:t>保护对象</w:t>
                  </w:r>
                </w:p>
              </w:tc>
              <w:tc>
                <w:tcPr>
                  <w:tcW w:w="992" w:type="dxa"/>
                  <w:vAlign w:val="center"/>
                </w:tcPr>
                <w:p w14:paraId="357A5D06">
                  <w:pPr>
                    <w:snapToGrid w:val="0"/>
                    <w:jc w:val="center"/>
                    <w:rPr>
                      <w:rFonts w:ascii="Times New Roman" w:hAnsi="Times New Roman"/>
                      <w:bCs/>
                      <w:sz w:val="18"/>
                      <w:szCs w:val="18"/>
                    </w:rPr>
                  </w:pPr>
                  <w:r>
                    <w:rPr>
                      <w:rFonts w:ascii="Times New Roman" w:hAnsi="Times New Roman"/>
                      <w:bCs/>
                      <w:sz w:val="18"/>
                      <w:szCs w:val="18"/>
                    </w:rPr>
                    <w:t>保护内容</w:t>
                  </w:r>
                </w:p>
              </w:tc>
              <w:tc>
                <w:tcPr>
                  <w:tcW w:w="1815" w:type="dxa"/>
                  <w:vAlign w:val="center"/>
                </w:tcPr>
                <w:p w14:paraId="324F7E88">
                  <w:pPr>
                    <w:snapToGrid w:val="0"/>
                    <w:jc w:val="center"/>
                    <w:rPr>
                      <w:rFonts w:ascii="Times New Roman" w:hAnsi="Times New Roman"/>
                      <w:bCs/>
                      <w:sz w:val="18"/>
                      <w:szCs w:val="18"/>
                    </w:rPr>
                  </w:pPr>
                  <w:r>
                    <w:rPr>
                      <w:rFonts w:ascii="Times New Roman" w:hAnsi="Times New Roman"/>
                      <w:bCs/>
                      <w:sz w:val="18"/>
                      <w:szCs w:val="18"/>
                    </w:rPr>
                    <w:t>环境功能区</w:t>
                  </w:r>
                </w:p>
              </w:tc>
              <w:tc>
                <w:tcPr>
                  <w:tcW w:w="0" w:type="auto"/>
                  <w:vAlign w:val="center"/>
                </w:tcPr>
                <w:p w14:paraId="2EB5E898">
                  <w:pPr>
                    <w:snapToGrid w:val="0"/>
                    <w:jc w:val="center"/>
                    <w:rPr>
                      <w:rFonts w:ascii="Times New Roman" w:hAnsi="Times New Roman"/>
                      <w:bCs/>
                      <w:sz w:val="18"/>
                      <w:szCs w:val="18"/>
                    </w:rPr>
                  </w:pPr>
                  <w:r>
                    <w:rPr>
                      <w:rFonts w:ascii="Times New Roman" w:hAnsi="Times New Roman"/>
                      <w:bCs/>
                      <w:sz w:val="18"/>
                      <w:szCs w:val="18"/>
                    </w:rPr>
                    <w:t>相对厂址方位</w:t>
                  </w:r>
                </w:p>
              </w:tc>
              <w:tc>
                <w:tcPr>
                  <w:tcW w:w="0" w:type="auto"/>
                  <w:vAlign w:val="center"/>
                </w:tcPr>
                <w:p w14:paraId="13A8EA1C">
                  <w:pPr>
                    <w:snapToGrid w:val="0"/>
                    <w:jc w:val="center"/>
                    <w:rPr>
                      <w:rFonts w:ascii="Times New Roman" w:hAnsi="Times New Roman"/>
                      <w:bCs/>
                      <w:sz w:val="18"/>
                      <w:szCs w:val="18"/>
                    </w:rPr>
                  </w:pPr>
                  <w:r>
                    <w:rPr>
                      <w:rFonts w:ascii="Times New Roman" w:hAnsi="Times New Roman"/>
                      <w:bCs/>
                      <w:sz w:val="18"/>
                      <w:szCs w:val="18"/>
                    </w:rPr>
                    <w:t>相对厂界距离/m</w:t>
                  </w:r>
                </w:p>
              </w:tc>
            </w:tr>
            <w:tr w14:paraId="00DAFD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E8E671F">
                  <w:pPr>
                    <w:snapToGrid w:val="0"/>
                    <w:jc w:val="center"/>
                    <w:rPr>
                      <w:rFonts w:ascii="Times New Roman" w:hAnsi="Times New Roman"/>
                      <w:bCs/>
                      <w:sz w:val="18"/>
                      <w:szCs w:val="18"/>
                    </w:rPr>
                  </w:pPr>
                  <w:r>
                    <w:rPr>
                      <w:rFonts w:ascii="Times New Roman" w:hAnsi="Times New Roman"/>
                      <w:bCs/>
                      <w:sz w:val="18"/>
                      <w:szCs w:val="18"/>
                    </w:rPr>
                    <w:t>马庄</w:t>
                  </w:r>
                </w:p>
              </w:tc>
              <w:tc>
                <w:tcPr>
                  <w:tcW w:w="0" w:type="auto"/>
                  <w:vAlign w:val="center"/>
                </w:tcPr>
                <w:p w14:paraId="2816E3BC">
                  <w:pPr>
                    <w:snapToGrid w:val="0"/>
                    <w:jc w:val="center"/>
                    <w:rPr>
                      <w:rFonts w:ascii="Times New Roman" w:hAnsi="Times New Roman"/>
                      <w:bCs/>
                      <w:sz w:val="18"/>
                      <w:szCs w:val="18"/>
                    </w:rPr>
                  </w:pPr>
                  <w:r>
                    <w:rPr>
                      <w:rFonts w:ascii="Times New Roman" w:hAnsi="Times New Roman"/>
                      <w:bCs/>
                      <w:sz w:val="18"/>
                      <w:szCs w:val="18"/>
                    </w:rPr>
                    <w:t>116°58′23″</w:t>
                  </w:r>
                </w:p>
              </w:tc>
              <w:tc>
                <w:tcPr>
                  <w:tcW w:w="0" w:type="auto"/>
                  <w:vAlign w:val="center"/>
                </w:tcPr>
                <w:p w14:paraId="112B641D">
                  <w:pPr>
                    <w:snapToGrid w:val="0"/>
                    <w:jc w:val="center"/>
                    <w:rPr>
                      <w:rFonts w:ascii="Times New Roman" w:hAnsi="Times New Roman"/>
                      <w:bCs/>
                      <w:sz w:val="18"/>
                      <w:szCs w:val="18"/>
                    </w:rPr>
                  </w:pPr>
                  <w:r>
                    <w:rPr>
                      <w:rFonts w:ascii="Times New Roman" w:hAnsi="Times New Roman"/>
                      <w:bCs/>
                      <w:sz w:val="18"/>
                      <w:szCs w:val="18"/>
                    </w:rPr>
                    <w:t>33°44′29″</w:t>
                  </w:r>
                </w:p>
              </w:tc>
              <w:tc>
                <w:tcPr>
                  <w:tcW w:w="630" w:type="dxa"/>
                  <w:vAlign w:val="center"/>
                </w:tcPr>
                <w:p w14:paraId="48AC6495">
                  <w:pPr>
                    <w:snapToGrid w:val="0"/>
                    <w:jc w:val="center"/>
                    <w:rPr>
                      <w:rFonts w:ascii="Times New Roman" w:hAnsi="Times New Roman"/>
                      <w:bCs/>
                      <w:sz w:val="18"/>
                      <w:szCs w:val="18"/>
                    </w:rPr>
                  </w:pPr>
                  <w:r>
                    <w:rPr>
                      <w:rFonts w:ascii="Times New Roman" w:hAnsi="Times New Roman"/>
                      <w:bCs/>
                      <w:sz w:val="18"/>
                      <w:szCs w:val="18"/>
                    </w:rPr>
                    <w:t>居民</w:t>
                  </w:r>
                </w:p>
              </w:tc>
              <w:tc>
                <w:tcPr>
                  <w:tcW w:w="992" w:type="dxa"/>
                  <w:vAlign w:val="center"/>
                </w:tcPr>
                <w:p w14:paraId="189B7CE0">
                  <w:pPr>
                    <w:snapToGrid w:val="0"/>
                    <w:jc w:val="center"/>
                    <w:rPr>
                      <w:rFonts w:ascii="Times New Roman" w:hAnsi="Times New Roman"/>
                      <w:bCs/>
                      <w:sz w:val="18"/>
                      <w:szCs w:val="18"/>
                    </w:rPr>
                  </w:pPr>
                  <w:r>
                    <w:rPr>
                      <w:rFonts w:ascii="Times New Roman" w:hAnsi="Times New Roman"/>
                      <w:bCs/>
                      <w:sz w:val="18"/>
                      <w:szCs w:val="18"/>
                    </w:rPr>
                    <w:t>约500人</w:t>
                  </w:r>
                </w:p>
              </w:tc>
              <w:tc>
                <w:tcPr>
                  <w:tcW w:w="1815" w:type="dxa"/>
                  <w:vMerge w:val="restart"/>
                  <w:vAlign w:val="center"/>
                </w:tcPr>
                <w:p w14:paraId="20126190">
                  <w:pPr>
                    <w:snapToGrid w:val="0"/>
                    <w:jc w:val="center"/>
                    <w:rPr>
                      <w:rFonts w:ascii="Times New Roman" w:hAnsi="Times New Roman"/>
                      <w:bCs/>
                      <w:sz w:val="18"/>
                      <w:szCs w:val="18"/>
                    </w:rPr>
                  </w:pPr>
                  <w:r>
                    <w:rPr>
                      <w:rFonts w:ascii="Times New Roman" w:hAnsi="Times New Roman"/>
                      <w:bCs/>
                      <w:sz w:val="18"/>
                      <w:szCs w:val="18"/>
                    </w:rPr>
                    <w:t>《环境空气质量标准》（GB3095-2012）二级标准</w:t>
                  </w:r>
                </w:p>
              </w:tc>
              <w:tc>
                <w:tcPr>
                  <w:tcW w:w="0" w:type="auto"/>
                  <w:vAlign w:val="center"/>
                </w:tcPr>
                <w:p w14:paraId="7C359006">
                  <w:pPr>
                    <w:snapToGrid w:val="0"/>
                    <w:jc w:val="center"/>
                    <w:rPr>
                      <w:rFonts w:ascii="Times New Roman" w:hAnsi="Times New Roman"/>
                      <w:bCs/>
                      <w:sz w:val="18"/>
                      <w:szCs w:val="18"/>
                    </w:rPr>
                  </w:pPr>
                  <w:r>
                    <w:rPr>
                      <w:rFonts w:ascii="Times New Roman" w:hAnsi="Times New Roman"/>
                      <w:bCs/>
                      <w:sz w:val="18"/>
                      <w:szCs w:val="18"/>
                    </w:rPr>
                    <w:t>南</w:t>
                  </w:r>
                </w:p>
              </w:tc>
              <w:tc>
                <w:tcPr>
                  <w:tcW w:w="0" w:type="auto"/>
                  <w:vAlign w:val="center"/>
                </w:tcPr>
                <w:p w14:paraId="2DE337A8">
                  <w:pPr>
                    <w:snapToGrid w:val="0"/>
                    <w:jc w:val="center"/>
                    <w:rPr>
                      <w:rFonts w:ascii="Times New Roman" w:hAnsi="Times New Roman"/>
                      <w:bCs/>
                      <w:sz w:val="18"/>
                      <w:szCs w:val="18"/>
                    </w:rPr>
                  </w:pPr>
                  <w:r>
                    <w:rPr>
                      <w:rFonts w:ascii="Times New Roman" w:hAnsi="Times New Roman"/>
                      <w:bCs/>
                      <w:sz w:val="18"/>
                      <w:szCs w:val="18"/>
                    </w:rPr>
                    <w:t>173</w:t>
                  </w:r>
                </w:p>
              </w:tc>
            </w:tr>
            <w:tr w14:paraId="539CE0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C2BA1F5">
                  <w:pPr>
                    <w:snapToGrid w:val="0"/>
                    <w:jc w:val="center"/>
                    <w:rPr>
                      <w:rFonts w:ascii="Times New Roman" w:hAnsi="Times New Roman"/>
                      <w:bCs/>
                      <w:sz w:val="18"/>
                      <w:szCs w:val="18"/>
                    </w:rPr>
                  </w:pPr>
                  <w:r>
                    <w:rPr>
                      <w:rFonts w:ascii="Times New Roman" w:hAnsi="Times New Roman"/>
                      <w:bCs/>
                      <w:sz w:val="18"/>
                      <w:szCs w:val="18"/>
                    </w:rPr>
                    <w:t>桥北</w:t>
                  </w:r>
                </w:p>
              </w:tc>
              <w:tc>
                <w:tcPr>
                  <w:tcW w:w="0" w:type="auto"/>
                  <w:vAlign w:val="center"/>
                </w:tcPr>
                <w:p w14:paraId="60F12EF6">
                  <w:pPr>
                    <w:snapToGrid w:val="0"/>
                    <w:jc w:val="center"/>
                    <w:rPr>
                      <w:rFonts w:ascii="Times New Roman" w:hAnsi="Times New Roman"/>
                      <w:bCs/>
                      <w:sz w:val="18"/>
                      <w:szCs w:val="18"/>
                    </w:rPr>
                  </w:pPr>
                  <w:r>
                    <w:rPr>
                      <w:rFonts w:ascii="Times New Roman" w:hAnsi="Times New Roman"/>
                      <w:bCs/>
                      <w:sz w:val="18"/>
                      <w:szCs w:val="18"/>
                    </w:rPr>
                    <w:t>116°58′37″</w:t>
                  </w:r>
                </w:p>
              </w:tc>
              <w:tc>
                <w:tcPr>
                  <w:tcW w:w="0" w:type="auto"/>
                  <w:vAlign w:val="center"/>
                </w:tcPr>
                <w:p w14:paraId="1FA37B98">
                  <w:pPr>
                    <w:snapToGrid w:val="0"/>
                    <w:jc w:val="center"/>
                    <w:rPr>
                      <w:rFonts w:ascii="Times New Roman" w:hAnsi="Times New Roman"/>
                      <w:bCs/>
                      <w:sz w:val="18"/>
                      <w:szCs w:val="18"/>
                    </w:rPr>
                  </w:pPr>
                  <w:r>
                    <w:rPr>
                      <w:rFonts w:ascii="Times New Roman" w:hAnsi="Times New Roman"/>
                      <w:bCs/>
                      <w:sz w:val="18"/>
                      <w:szCs w:val="18"/>
                    </w:rPr>
                    <w:t>33°44′36″</w:t>
                  </w:r>
                </w:p>
              </w:tc>
              <w:tc>
                <w:tcPr>
                  <w:tcW w:w="630" w:type="dxa"/>
                  <w:vAlign w:val="center"/>
                </w:tcPr>
                <w:p w14:paraId="5DC94318">
                  <w:pPr>
                    <w:snapToGrid w:val="0"/>
                    <w:jc w:val="center"/>
                    <w:rPr>
                      <w:rFonts w:ascii="Times New Roman" w:hAnsi="Times New Roman"/>
                      <w:bCs/>
                      <w:sz w:val="18"/>
                      <w:szCs w:val="18"/>
                    </w:rPr>
                  </w:pPr>
                  <w:r>
                    <w:rPr>
                      <w:rFonts w:ascii="Times New Roman" w:hAnsi="Times New Roman"/>
                      <w:bCs/>
                      <w:sz w:val="18"/>
                      <w:szCs w:val="18"/>
                    </w:rPr>
                    <w:t>居民</w:t>
                  </w:r>
                </w:p>
              </w:tc>
              <w:tc>
                <w:tcPr>
                  <w:tcW w:w="992" w:type="dxa"/>
                  <w:vAlign w:val="center"/>
                </w:tcPr>
                <w:p w14:paraId="0D1FD77F">
                  <w:pPr>
                    <w:snapToGrid w:val="0"/>
                    <w:jc w:val="center"/>
                    <w:rPr>
                      <w:rFonts w:ascii="Times New Roman" w:hAnsi="Times New Roman"/>
                      <w:bCs/>
                      <w:sz w:val="18"/>
                      <w:szCs w:val="18"/>
                    </w:rPr>
                  </w:pPr>
                  <w:r>
                    <w:rPr>
                      <w:rFonts w:ascii="Times New Roman" w:hAnsi="Times New Roman"/>
                      <w:bCs/>
                      <w:sz w:val="18"/>
                      <w:szCs w:val="18"/>
                    </w:rPr>
                    <w:t>约300人</w:t>
                  </w:r>
                </w:p>
              </w:tc>
              <w:tc>
                <w:tcPr>
                  <w:tcW w:w="1815" w:type="dxa"/>
                  <w:vMerge w:val="continue"/>
                  <w:vAlign w:val="center"/>
                </w:tcPr>
                <w:p w14:paraId="199AEC92">
                  <w:pPr>
                    <w:snapToGrid w:val="0"/>
                    <w:jc w:val="center"/>
                    <w:rPr>
                      <w:rFonts w:ascii="Times New Roman" w:hAnsi="Times New Roman"/>
                      <w:bCs/>
                      <w:sz w:val="18"/>
                      <w:szCs w:val="18"/>
                    </w:rPr>
                  </w:pPr>
                </w:p>
              </w:tc>
              <w:tc>
                <w:tcPr>
                  <w:tcW w:w="0" w:type="auto"/>
                  <w:vAlign w:val="center"/>
                </w:tcPr>
                <w:p w14:paraId="677250D0">
                  <w:pPr>
                    <w:snapToGrid w:val="0"/>
                    <w:jc w:val="center"/>
                    <w:rPr>
                      <w:rFonts w:ascii="Times New Roman" w:hAnsi="Times New Roman"/>
                      <w:bCs/>
                      <w:sz w:val="18"/>
                      <w:szCs w:val="18"/>
                    </w:rPr>
                  </w:pPr>
                  <w:r>
                    <w:rPr>
                      <w:rFonts w:ascii="Times New Roman" w:hAnsi="Times New Roman"/>
                      <w:bCs/>
                      <w:sz w:val="18"/>
                      <w:szCs w:val="18"/>
                    </w:rPr>
                    <w:t>东南</w:t>
                  </w:r>
                </w:p>
              </w:tc>
              <w:tc>
                <w:tcPr>
                  <w:tcW w:w="0" w:type="auto"/>
                  <w:vAlign w:val="center"/>
                </w:tcPr>
                <w:p w14:paraId="2793291C">
                  <w:pPr>
                    <w:snapToGrid w:val="0"/>
                    <w:jc w:val="center"/>
                    <w:rPr>
                      <w:rFonts w:ascii="Times New Roman" w:hAnsi="Times New Roman"/>
                      <w:bCs/>
                      <w:sz w:val="18"/>
                      <w:szCs w:val="18"/>
                    </w:rPr>
                  </w:pPr>
                  <w:r>
                    <w:rPr>
                      <w:rFonts w:ascii="Times New Roman" w:hAnsi="Times New Roman"/>
                      <w:bCs/>
                      <w:sz w:val="18"/>
                      <w:szCs w:val="18"/>
                    </w:rPr>
                    <w:t>285</w:t>
                  </w:r>
                </w:p>
              </w:tc>
            </w:tr>
            <w:tr w14:paraId="57D11F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44D2EFD">
                  <w:pPr>
                    <w:snapToGrid w:val="0"/>
                    <w:jc w:val="center"/>
                    <w:rPr>
                      <w:rFonts w:ascii="Times New Roman" w:hAnsi="Times New Roman"/>
                      <w:bCs/>
                      <w:sz w:val="18"/>
                      <w:szCs w:val="18"/>
                    </w:rPr>
                  </w:pPr>
                  <w:r>
                    <w:rPr>
                      <w:rFonts w:ascii="Times New Roman" w:hAnsi="Times New Roman"/>
                      <w:bCs/>
                      <w:sz w:val="18"/>
                      <w:szCs w:val="18"/>
                    </w:rPr>
                    <w:t>符离镇区</w:t>
                  </w:r>
                </w:p>
              </w:tc>
              <w:tc>
                <w:tcPr>
                  <w:tcW w:w="0" w:type="auto"/>
                  <w:vAlign w:val="center"/>
                </w:tcPr>
                <w:p w14:paraId="601083F0">
                  <w:pPr>
                    <w:snapToGrid w:val="0"/>
                    <w:jc w:val="center"/>
                    <w:rPr>
                      <w:rFonts w:ascii="Times New Roman" w:hAnsi="Times New Roman"/>
                      <w:bCs/>
                      <w:sz w:val="18"/>
                      <w:szCs w:val="18"/>
                    </w:rPr>
                  </w:pPr>
                  <w:r>
                    <w:rPr>
                      <w:rFonts w:ascii="Times New Roman" w:hAnsi="Times New Roman"/>
                      <w:bCs/>
                      <w:sz w:val="18"/>
                      <w:szCs w:val="18"/>
                    </w:rPr>
                    <w:t>116°58′24.623″</w:t>
                  </w:r>
                </w:p>
              </w:tc>
              <w:tc>
                <w:tcPr>
                  <w:tcW w:w="0" w:type="auto"/>
                  <w:vAlign w:val="center"/>
                </w:tcPr>
                <w:p w14:paraId="74A27AD5">
                  <w:pPr>
                    <w:snapToGrid w:val="0"/>
                    <w:jc w:val="center"/>
                    <w:rPr>
                      <w:rFonts w:ascii="Times New Roman" w:hAnsi="Times New Roman"/>
                      <w:bCs/>
                      <w:sz w:val="18"/>
                      <w:szCs w:val="18"/>
                    </w:rPr>
                  </w:pPr>
                  <w:r>
                    <w:rPr>
                      <w:rFonts w:ascii="Times New Roman" w:hAnsi="Times New Roman"/>
                      <w:bCs/>
                      <w:sz w:val="18"/>
                      <w:szCs w:val="18"/>
                    </w:rPr>
                    <w:t>33°44′51.945″</w:t>
                  </w:r>
                </w:p>
              </w:tc>
              <w:tc>
                <w:tcPr>
                  <w:tcW w:w="630" w:type="dxa"/>
                  <w:vAlign w:val="center"/>
                </w:tcPr>
                <w:p w14:paraId="184F25C2">
                  <w:pPr>
                    <w:snapToGrid w:val="0"/>
                    <w:jc w:val="center"/>
                    <w:rPr>
                      <w:rFonts w:ascii="Times New Roman" w:hAnsi="Times New Roman"/>
                      <w:bCs/>
                      <w:sz w:val="18"/>
                      <w:szCs w:val="18"/>
                    </w:rPr>
                  </w:pPr>
                  <w:r>
                    <w:rPr>
                      <w:rFonts w:ascii="Times New Roman" w:hAnsi="Times New Roman"/>
                      <w:bCs/>
                      <w:sz w:val="18"/>
                      <w:szCs w:val="18"/>
                    </w:rPr>
                    <w:t>居民</w:t>
                  </w:r>
                </w:p>
              </w:tc>
              <w:tc>
                <w:tcPr>
                  <w:tcW w:w="992" w:type="dxa"/>
                  <w:vAlign w:val="center"/>
                </w:tcPr>
                <w:p w14:paraId="2F683801">
                  <w:pPr>
                    <w:snapToGrid w:val="0"/>
                    <w:jc w:val="center"/>
                    <w:rPr>
                      <w:rFonts w:ascii="Times New Roman" w:hAnsi="Times New Roman"/>
                      <w:bCs/>
                      <w:sz w:val="18"/>
                      <w:szCs w:val="18"/>
                    </w:rPr>
                  </w:pPr>
                  <w:r>
                    <w:rPr>
                      <w:rFonts w:ascii="Times New Roman" w:hAnsi="Times New Roman"/>
                      <w:bCs/>
                      <w:sz w:val="18"/>
                      <w:szCs w:val="18"/>
                    </w:rPr>
                    <w:t>约1260人</w:t>
                  </w:r>
                </w:p>
              </w:tc>
              <w:tc>
                <w:tcPr>
                  <w:tcW w:w="1815" w:type="dxa"/>
                  <w:vMerge w:val="continue"/>
                  <w:vAlign w:val="center"/>
                </w:tcPr>
                <w:p w14:paraId="4C393E80">
                  <w:pPr>
                    <w:snapToGrid w:val="0"/>
                    <w:jc w:val="center"/>
                    <w:rPr>
                      <w:rFonts w:ascii="Times New Roman" w:hAnsi="Times New Roman"/>
                      <w:bCs/>
                      <w:sz w:val="18"/>
                      <w:szCs w:val="18"/>
                    </w:rPr>
                  </w:pPr>
                </w:p>
              </w:tc>
              <w:tc>
                <w:tcPr>
                  <w:tcW w:w="0" w:type="auto"/>
                  <w:vAlign w:val="center"/>
                </w:tcPr>
                <w:p w14:paraId="4B1FA0EC">
                  <w:pPr>
                    <w:snapToGrid w:val="0"/>
                    <w:jc w:val="center"/>
                    <w:rPr>
                      <w:rFonts w:ascii="Times New Roman" w:hAnsi="Times New Roman"/>
                      <w:bCs/>
                      <w:sz w:val="18"/>
                      <w:szCs w:val="18"/>
                    </w:rPr>
                  </w:pPr>
                  <w:r>
                    <w:rPr>
                      <w:rFonts w:ascii="Times New Roman" w:hAnsi="Times New Roman"/>
                      <w:bCs/>
                      <w:sz w:val="18"/>
                      <w:szCs w:val="18"/>
                    </w:rPr>
                    <w:t>北</w:t>
                  </w:r>
                </w:p>
              </w:tc>
              <w:tc>
                <w:tcPr>
                  <w:tcW w:w="0" w:type="auto"/>
                  <w:vAlign w:val="center"/>
                </w:tcPr>
                <w:p w14:paraId="176D5135">
                  <w:pPr>
                    <w:snapToGrid w:val="0"/>
                    <w:jc w:val="center"/>
                    <w:rPr>
                      <w:rFonts w:ascii="Times New Roman" w:hAnsi="Times New Roman"/>
                      <w:bCs/>
                      <w:sz w:val="18"/>
                      <w:szCs w:val="18"/>
                    </w:rPr>
                  </w:pPr>
                  <w:r>
                    <w:rPr>
                      <w:rFonts w:ascii="Times New Roman" w:hAnsi="Times New Roman"/>
                      <w:bCs/>
                      <w:sz w:val="18"/>
                      <w:szCs w:val="18"/>
                    </w:rPr>
                    <w:t>208</w:t>
                  </w:r>
                </w:p>
              </w:tc>
            </w:tr>
            <w:tr w14:paraId="75B38A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BDCE8C1">
                  <w:pPr>
                    <w:snapToGrid w:val="0"/>
                    <w:jc w:val="center"/>
                    <w:rPr>
                      <w:rFonts w:ascii="Times New Roman" w:hAnsi="Times New Roman"/>
                      <w:bCs/>
                      <w:sz w:val="18"/>
                      <w:szCs w:val="18"/>
                    </w:rPr>
                  </w:pPr>
                  <w:bookmarkStart w:id="7" w:name="_Hlk83218759"/>
                  <w:r>
                    <w:rPr>
                      <w:rFonts w:ascii="Times New Roman" w:hAnsi="Times New Roman"/>
                      <w:bCs/>
                      <w:sz w:val="18"/>
                      <w:szCs w:val="18"/>
                    </w:rPr>
                    <w:t>飞翔幼儿园</w:t>
                  </w:r>
                  <w:bookmarkEnd w:id="7"/>
                </w:p>
              </w:tc>
              <w:tc>
                <w:tcPr>
                  <w:tcW w:w="0" w:type="auto"/>
                  <w:vAlign w:val="center"/>
                </w:tcPr>
                <w:p w14:paraId="54DA0915">
                  <w:pPr>
                    <w:snapToGrid w:val="0"/>
                    <w:jc w:val="center"/>
                    <w:rPr>
                      <w:rFonts w:ascii="Times New Roman" w:hAnsi="Times New Roman"/>
                      <w:bCs/>
                      <w:sz w:val="18"/>
                      <w:szCs w:val="18"/>
                    </w:rPr>
                  </w:pPr>
                  <w:r>
                    <w:rPr>
                      <w:rFonts w:ascii="Times New Roman" w:hAnsi="Times New Roman"/>
                      <w:bCs/>
                      <w:sz w:val="18"/>
                      <w:szCs w:val="18"/>
                    </w:rPr>
                    <w:t>116°58′11.973″</w:t>
                  </w:r>
                </w:p>
              </w:tc>
              <w:tc>
                <w:tcPr>
                  <w:tcW w:w="0" w:type="auto"/>
                  <w:vAlign w:val="center"/>
                </w:tcPr>
                <w:p w14:paraId="4B9B43B8">
                  <w:pPr>
                    <w:snapToGrid w:val="0"/>
                    <w:jc w:val="center"/>
                    <w:rPr>
                      <w:rFonts w:ascii="Times New Roman" w:hAnsi="Times New Roman"/>
                      <w:bCs/>
                      <w:sz w:val="18"/>
                      <w:szCs w:val="18"/>
                    </w:rPr>
                  </w:pPr>
                  <w:r>
                    <w:rPr>
                      <w:rFonts w:ascii="Times New Roman" w:hAnsi="Times New Roman"/>
                      <w:bCs/>
                      <w:sz w:val="18"/>
                      <w:szCs w:val="18"/>
                    </w:rPr>
                    <w:t>33°44′39.817″</w:t>
                  </w:r>
                </w:p>
              </w:tc>
              <w:tc>
                <w:tcPr>
                  <w:tcW w:w="630" w:type="dxa"/>
                  <w:vAlign w:val="center"/>
                </w:tcPr>
                <w:p w14:paraId="1E81C290">
                  <w:pPr>
                    <w:snapToGrid w:val="0"/>
                    <w:jc w:val="center"/>
                    <w:rPr>
                      <w:rFonts w:ascii="Times New Roman" w:hAnsi="Times New Roman"/>
                      <w:bCs/>
                      <w:sz w:val="18"/>
                      <w:szCs w:val="18"/>
                    </w:rPr>
                  </w:pPr>
                  <w:r>
                    <w:rPr>
                      <w:rFonts w:ascii="Times New Roman" w:hAnsi="Times New Roman"/>
                      <w:bCs/>
                      <w:sz w:val="18"/>
                      <w:szCs w:val="18"/>
                    </w:rPr>
                    <w:t>学校</w:t>
                  </w:r>
                </w:p>
              </w:tc>
              <w:tc>
                <w:tcPr>
                  <w:tcW w:w="992" w:type="dxa"/>
                  <w:vAlign w:val="center"/>
                </w:tcPr>
                <w:p w14:paraId="7311C42F">
                  <w:pPr>
                    <w:snapToGrid w:val="0"/>
                    <w:jc w:val="center"/>
                    <w:rPr>
                      <w:rFonts w:ascii="Times New Roman" w:hAnsi="Times New Roman"/>
                      <w:bCs/>
                      <w:sz w:val="18"/>
                      <w:szCs w:val="18"/>
                    </w:rPr>
                  </w:pPr>
                  <w:r>
                    <w:rPr>
                      <w:rFonts w:ascii="Times New Roman" w:hAnsi="Times New Roman"/>
                      <w:bCs/>
                      <w:sz w:val="18"/>
                      <w:szCs w:val="18"/>
                    </w:rPr>
                    <w:t>约115人</w:t>
                  </w:r>
                </w:p>
              </w:tc>
              <w:tc>
                <w:tcPr>
                  <w:tcW w:w="1815" w:type="dxa"/>
                  <w:vMerge w:val="continue"/>
                  <w:vAlign w:val="center"/>
                </w:tcPr>
                <w:p w14:paraId="0BA02FEB">
                  <w:pPr>
                    <w:snapToGrid w:val="0"/>
                    <w:jc w:val="center"/>
                    <w:rPr>
                      <w:rFonts w:ascii="Times New Roman" w:hAnsi="Times New Roman"/>
                      <w:bCs/>
                      <w:sz w:val="18"/>
                      <w:szCs w:val="18"/>
                    </w:rPr>
                  </w:pPr>
                </w:p>
              </w:tc>
              <w:tc>
                <w:tcPr>
                  <w:tcW w:w="0" w:type="auto"/>
                  <w:vAlign w:val="center"/>
                </w:tcPr>
                <w:p w14:paraId="1B5B1321">
                  <w:pPr>
                    <w:snapToGrid w:val="0"/>
                    <w:jc w:val="center"/>
                    <w:rPr>
                      <w:rFonts w:ascii="Times New Roman" w:hAnsi="Times New Roman"/>
                      <w:bCs/>
                      <w:sz w:val="18"/>
                      <w:szCs w:val="18"/>
                    </w:rPr>
                  </w:pPr>
                  <w:r>
                    <w:rPr>
                      <w:rFonts w:ascii="Times New Roman" w:hAnsi="Times New Roman"/>
                      <w:bCs/>
                      <w:sz w:val="18"/>
                      <w:szCs w:val="18"/>
                    </w:rPr>
                    <w:t>西</w:t>
                  </w:r>
                </w:p>
              </w:tc>
              <w:tc>
                <w:tcPr>
                  <w:tcW w:w="0" w:type="auto"/>
                  <w:vAlign w:val="center"/>
                </w:tcPr>
                <w:p w14:paraId="0FF99AC7">
                  <w:pPr>
                    <w:snapToGrid w:val="0"/>
                    <w:jc w:val="center"/>
                    <w:rPr>
                      <w:rFonts w:ascii="Times New Roman" w:hAnsi="Times New Roman"/>
                      <w:bCs/>
                      <w:sz w:val="18"/>
                      <w:szCs w:val="18"/>
                    </w:rPr>
                  </w:pPr>
                  <w:r>
                    <w:rPr>
                      <w:rFonts w:ascii="Times New Roman" w:hAnsi="Times New Roman"/>
                      <w:bCs/>
                      <w:sz w:val="18"/>
                      <w:szCs w:val="18"/>
                    </w:rPr>
                    <w:t>233</w:t>
                  </w:r>
                </w:p>
              </w:tc>
            </w:tr>
          </w:tbl>
          <w:p w14:paraId="03C9B26E">
            <w:pPr>
              <w:widowControl/>
              <w:spacing w:line="360" w:lineRule="auto"/>
            </w:pPr>
          </w:p>
          <w:p w14:paraId="6BCEC8A7">
            <w:pPr>
              <w:adjustRightInd w:val="0"/>
              <w:snapToGrid w:val="0"/>
              <w:spacing w:line="360" w:lineRule="auto"/>
              <w:rPr>
                <w:b/>
                <w:bCs/>
                <w:kern w:val="0"/>
                <w:sz w:val="24"/>
              </w:rPr>
            </w:pPr>
            <w:r>
              <w:rPr>
                <w:b/>
                <w:bCs/>
                <w:kern w:val="0"/>
                <w:sz w:val="24"/>
              </w:rPr>
              <w:t>2、声环境</w:t>
            </w:r>
          </w:p>
          <w:p w14:paraId="76F48C53">
            <w:pPr>
              <w:adjustRightInd w:val="0"/>
              <w:snapToGrid w:val="0"/>
              <w:spacing w:line="360" w:lineRule="auto"/>
              <w:ind w:firstLine="480" w:firstLineChars="200"/>
              <w:rPr>
                <w:kern w:val="0"/>
                <w:sz w:val="24"/>
              </w:rPr>
            </w:pPr>
            <w:r>
              <w:rPr>
                <w:kern w:val="0"/>
                <w:sz w:val="24"/>
              </w:rPr>
              <w:t>厂界外50m范围内没有声环境保护目标。</w:t>
            </w:r>
          </w:p>
          <w:p w14:paraId="1EB84E74">
            <w:pPr>
              <w:adjustRightInd w:val="0"/>
              <w:snapToGrid w:val="0"/>
              <w:spacing w:line="360" w:lineRule="auto"/>
              <w:rPr>
                <w:b/>
                <w:bCs/>
                <w:kern w:val="0"/>
                <w:sz w:val="24"/>
              </w:rPr>
            </w:pPr>
            <w:r>
              <w:rPr>
                <w:b/>
                <w:bCs/>
                <w:kern w:val="0"/>
                <w:sz w:val="24"/>
              </w:rPr>
              <w:t>3、地下水环境</w:t>
            </w:r>
          </w:p>
          <w:p w14:paraId="1FA68D30">
            <w:pPr>
              <w:adjustRightInd w:val="0"/>
              <w:snapToGrid w:val="0"/>
              <w:spacing w:line="360" w:lineRule="auto"/>
              <w:ind w:firstLine="480" w:firstLineChars="200"/>
              <w:rPr>
                <w:kern w:val="0"/>
                <w:sz w:val="24"/>
              </w:rPr>
            </w:pPr>
            <w:r>
              <w:rPr>
                <w:kern w:val="0"/>
                <w:sz w:val="24"/>
              </w:rPr>
              <w:t>项目厂界外500米范围内无地下水集中式饮用水水源和热水、矿泉水、温泉等特殊地下水资源，无环境保护目标。</w:t>
            </w:r>
          </w:p>
          <w:p w14:paraId="53832422">
            <w:pPr>
              <w:adjustRightInd w:val="0"/>
              <w:snapToGrid w:val="0"/>
              <w:spacing w:line="360" w:lineRule="auto"/>
              <w:rPr>
                <w:b/>
                <w:bCs/>
                <w:kern w:val="0"/>
                <w:sz w:val="24"/>
              </w:rPr>
            </w:pPr>
            <w:r>
              <w:rPr>
                <w:b/>
                <w:bCs/>
                <w:kern w:val="0"/>
                <w:sz w:val="24"/>
              </w:rPr>
              <w:t>4、生态环境质量</w:t>
            </w:r>
          </w:p>
          <w:p w14:paraId="690E00F2">
            <w:pPr>
              <w:spacing w:line="360" w:lineRule="auto"/>
              <w:ind w:firstLine="480" w:firstLineChars="200"/>
              <w:rPr>
                <w:kern w:val="0"/>
                <w:sz w:val="24"/>
              </w:rPr>
            </w:pPr>
            <w:r>
              <w:rPr>
                <w:kern w:val="0"/>
                <w:sz w:val="24"/>
              </w:rPr>
              <w:t>本项目用地范围内不含有生态环境保护目标。</w:t>
            </w:r>
          </w:p>
        </w:tc>
      </w:tr>
      <w:tr w14:paraId="2CB9A8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tcBorders>
              <w:tl2br w:val="nil"/>
              <w:tr2bl w:val="nil"/>
            </w:tcBorders>
            <w:tcMar>
              <w:left w:w="28" w:type="dxa"/>
              <w:right w:w="28" w:type="dxa"/>
            </w:tcMar>
            <w:vAlign w:val="center"/>
          </w:tcPr>
          <w:p w14:paraId="18B7A201">
            <w:pPr>
              <w:adjustRightInd w:val="0"/>
              <w:snapToGrid w:val="0"/>
              <w:jc w:val="center"/>
              <w:rPr>
                <w:kern w:val="0"/>
                <w:sz w:val="24"/>
              </w:rPr>
            </w:pPr>
            <w:r>
              <w:rPr>
                <w:kern w:val="0"/>
                <w:sz w:val="24"/>
              </w:rPr>
              <w:t>污染</w:t>
            </w:r>
          </w:p>
          <w:p w14:paraId="57CEB45D">
            <w:pPr>
              <w:adjustRightInd w:val="0"/>
              <w:snapToGrid w:val="0"/>
              <w:jc w:val="center"/>
              <w:rPr>
                <w:kern w:val="0"/>
                <w:sz w:val="24"/>
              </w:rPr>
            </w:pPr>
            <w:r>
              <w:rPr>
                <w:kern w:val="0"/>
                <w:sz w:val="24"/>
              </w:rPr>
              <w:t>物排</w:t>
            </w:r>
          </w:p>
          <w:p w14:paraId="2FEA2FE0">
            <w:pPr>
              <w:adjustRightInd w:val="0"/>
              <w:snapToGrid w:val="0"/>
              <w:jc w:val="center"/>
              <w:rPr>
                <w:kern w:val="0"/>
                <w:sz w:val="24"/>
              </w:rPr>
            </w:pPr>
            <w:r>
              <w:rPr>
                <w:kern w:val="0"/>
                <w:sz w:val="24"/>
              </w:rPr>
              <w:t>放控</w:t>
            </w:r>
          </w:p>
          <w:p w14:paraId="463B60EB">
            <w:pPr>
              <w:adjustRightInd w:val="0"/>
              <w:snapToGrid w:val="0"/>
              <w:jc w:val="center"/>
              <w:rPr>
                <w:kern w:val="0"/>
                <w:sz w:val="24"/>
              </w:rPr>
            </w:pPr>
            <w:r>
              <w:rPr>
                <w:kern w:val="0"/>
                <w:sz w:val="24"/>
              </w:rPr>
              <w:t>制标</w:t>
            </w:r>
          </w:p>
          <w:p w14:paraId="6F01E837">
            <w:pPr>
              <w:adjustRightInd w:val="0"/>
              <w:snapToGrid w:val="0"/>
              <w:jc w:val="center"/>
              <w:rPr>
                <w:color w:val="0000FF"/>
                <w:kern w:val="0"/>
                <w:szCs w:val="21"/>
              </w:rPr>
            </w:pPr>
            <w:r>
              <w:rPr>
                <w:kern w:val="0"/>
                <w:sz w:val="24"/>
              </w:rPr>
              <w:t>准</w:t>
            </w:r>
          </w:p>
        </w:tc>
        <w:tc>
          <w:tcPr>
            <w:tcW w:w="4643" w:type="pct"/>
            <w:tcBorders>
              <w:tl2br w:val="nil"/>
              <w:tr2bl w:val="nil"/>
            </w:tcBorders>
            <w:vAlign w:val="center"/>
          </w:tcPr>
          <w:p w14:paraId="373685CF">
            <w:pPr>
              <w:adjustRightInd w:val="0"/>
              <w:snapToGrid w:val="0"/>
              <w:spacing w:before="120" w:beforeLines="50" w:line="360" w:lineRule="auto"/>
              <w:rPr>
                <w:b/>
                <w:bCs/>
                <w:kern w:val="0"/>
                <w:sz w:val="24"/>
              </w:rPr>
            </w:pPr>
            <w:r>
              <w:rPr>
                <w:b/>
                <w:bCs/>
                <w:kern w:val="0"/>
                <w:sz w:val="24"/>
              </w:rPr>
              <w:t>1、废水</w:t>
            </w:r>
          </w:p>
          <w:p w14:paraId="41B82B8B">
            <w:pPr>
              <w:snapToGrid w:val="0"/>
              <w:spacing w:line="360" w:lineRule="auto"/>
              <w:ind w:firstLine="480" w:firstLineChars="200"/>
              <w:rPr>
                <w:sz w:val="24"/>
              </w:rPr>
            </w:pPr>
            <w:r>
              <w:rPr>
                <w:sz w:val="24"/>
              </w:rPr>
              <w:t>项目废水主要为生活污水，生活污水依托厂房已建化粪池预处理后经抽粪车定期清掏。</w:t>
            </w:r>
          </w:p>
          <w:p w14:paraId="516B4910">
            <w:pPr>
              <w:adjustRightInd w:val="0"/>
              <w:snapToGrid w:val="0"/>
              <w:spacing w:before="120" w:beforeLines="50" w:line="360" w:lineRule="auto"/>
              <w:jc w:val="left"/>
              <w:rPr>
                <w:b/>
                <w:bCs/>
                <w:kern w:val="0"/>
                <w:sz w:val="24"/>
              </w:rPr>
            </w:pPr>
            <w:r>
              <w:rPr>
                <w:b/>
                <w:bCs/>
                <w:kern w:val="0"/>
                <w:sz w:val="24"/>
              </w:rPr>
              <w:t>2、大气污染物排放标准</w:t>
            </w:r>
          </w:p>
          <w:p w14:paraId="1BDED54A">
            <w:pPr>
              <w:adjustRightInd w:val="0"/>
              <w:snapToGrid w:val="0"/>
              <w:spacing w:line="360" w:lineRule="auto"/>
              <w:ind w:firstLine="480" w:firstLineChars="200"/>
              <w:jc w:val="left"/>
              <w:rPr>
                <w:color w:val="0000FF"/>
                <w:kern w:val="0"/>
                <w:sz w:val="24"/>
              </w:rPr>
            </w:pPr>
            <w:r>
              <w:rPr>
                <w:sz w:val="24"/>
              </w:rPr>
              <w:t>项目</w:t>
            </w:r>
            <w:r>
              <w:rPr>
                <w:rFonts w:hint="eastAsia"/>
                <w:sz w:val="24"/>
                <w:lang w:val="en-US" w:eastAsia="zh-CN"/>
              </w:rPr>
              <w:t>注塑</w:t>
            </w:r>
            <w:r>
              <w:rPr>
                <w:sz w:val="24"/>
              </w:rPr>
              <w:t>废气</w:t>
            </w:r>
            <w:r>
              <w:rPr>
                <w:rFonts w:hint="eastAsia"/>
                <w:sz w:val="24"/>
                <w:lang w:val="en-US" w:eastAsia="zh-CN"/>
              </w:rPr>
              <w:t>非甲烷总烃有组织</w:t>
            </w:r>
            <w:r>
              <w:rPr>
                <w:sz w:val="24"/>
              </w:rPr>
              <w:t>排放执行</w:t>
            </w:r>
            <w:r>
              <w:rPr>
                <w:rFonts w:hint="eastAsia"/>
                <w:sz w:val="24"/>
              </w:rPr>
              <w:t>安徽省《固定源挥发性有机物综合排放标准 第6部分 其他行业》（DB34/4812.6-2024）</w:t>
            </w:r>
            <w:r>
              <w:rPr>
                <w:sz w:val="24"/>
              </w:rPr>
              <w:t>中表</w:t>
            </w:r>
            <w:r>
              <w:rPr>
                <w:rFonts w:hint="eastAsia"/>
                <w:sz w:val="24"/>
                <w:lang w:val="en-US" w:eastAsia="zh-CN"/>
              </w:rPr>
              <w:t>1挥发性有机物基本污染物项目排放限值塑料制品工业</w:t>
            </w:r>
            <w:r>
              <w:rPr>
                <w:sz w:val="24"/>
              </w:rPr>
              <w:t>相关标准</w:t>
            </w:r>
            <w:r>
              <w:rPr>
                <w:rFonts w:hint="eastAsia"/>
                <w:sz w:val="24"/>
                <w:lang w:eastAsia="zh-CN"/>
              </w:rPr>
              <w:t>，</w:t>
            </w:r>
            <w:r>
              <w:rPr>
                <w:rFonts w:hint="eastAsia"/>
                <w:sz w:val="24"/>
                <w:lang w:val="en-US" w:eastAsia="zh-CN"/>
              </w:rPr>
              <w:t>塑料破碎废气执行《合成树脂工业污染物排放标准》（GB 31572-2015）表5 大气污染物特别排放限值，厂界非甲烷总烃执行</w:t>
            </w:r>
            <w:r>
              <w:rPr>
                <w:rFonts w:hint="eastAsia"/>
                <w:sz w:val="24"/>
              </w:rPr>
              <w:t>《合成树脂工业污染物排放标准》（GB 31572-2015）</w:t>
            </w:r>
            <w:r>
              <w:rPr>
                <w:sz w:val="24"/>
              </w:rPr>
              <w:t>，</w:t>
            </w:r>
            <w:r>
              <w:rPr>
                <w:rFonts w:hint="eastAsia"/>
                <w:sz w:val="24"/>
                <w:lang w:val="en-US" w:eastAsia="zh-CN"/>
              </w:rPr>
              <w:t>厂界颗粒物执行</w:t>
            </w:r>
            <w:r>
              <w:rPr>
                <w:rFonts w:hint="eastAsia"/>
                <w:sz w:val="24"/>
              </w:rPr>
              <w:t>《合成树脂工业污染物排放标准》（GB 31572-2015）</w:t>
            </w:r>
            <w:r>
              <w:rPr>
                <w:rFonts w:hint="eastAsia"/>
                <w:sz w:val="24"/>
                <w:lang w:val="en-US" w:eastAsia="zh-CN"/>
              </w:rPr>
              <w:t>，</w:t>
            </w:r>
            <w:r>
              <w:rPr>
                <w:sz w:val="24"/>
              </w:rPr>
              <w:t>其中厂区内无组织NMHC排放参照执行《挥发性有机物无组织排放控制标准》（GB 37822-2019）中特别排放限值要求，具体限值见下表。</w:t>
            </w:r>
          </w:p>
          <w:p w14:paraId="4EA92FA1">
            <w:pPr>
              <w:pStyle w:val="52"/>
              <w:numPr>
                <w:ilvl w:val="0"/>
                <w:numId w:val="4"/>
              </w:numPr>
              <w:spacing w:line="360" w:lineRule="auto"/>
              <w:rPr>
                <w:rFonts w:cs="Times New Roman"/>
              </w:rPr>
            </w:pPr>
            <w:r>
              <w:rPr>
                <w:rFonts w:hint="eastAsia" w:cs="Times New Roman"/>
                <w:lang w:val="en-US" w:eastAsia="zh-CN"/>
              </w:rPr>
              <w:t>排气筒和企业边界执行标准</w:t>
            </w:r>
            <w:r>
              <w:rPr>
                <w:rFonts w:cs="Times New Roman"/>
              </w:rPr>
              <w:t xml:space="preserve"> </w:t>
            </w:r>
          </w:p>
          <w:tbl>
            <w:tblPr>
              <w:tblStyle w:val="7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08"/>
              <w:gridCol w:w="1463"/>
              <w:gridCol w:w="1219"/>
              <w:gridCol w:w="1621"/>
              <w:gridCol w:w="2264"/>
              <w:gridCol w:w="1229"/>
            </w:tblGrid>
            <w:tr w14:paraId="0BFDCD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4" w:type="pct"/>
                  <w:vAlign w:val="center"/>
                </w:tcPr>
                <w:p w14:paraId="4B9512B9">
                  <w:pPr>
                    <w:widowControl/>
                    <w:jc w:val="center"/>
                    <w:rPr>
                      <w:rFonts w:ascii="Times New Roman" w:hAnsi="Times New Roman"/>
                      <w:b/>
                      <w:bCs/>
                      <w:color w:val="000000"/>
                      <w:szCs w:val="21"/>
                    </w:rPr>
                  </w:pPr>
                  <w:r>
                    <w:rPr>
                      <w:rFonts w:ascii="Times New Roman" w:hAnsi="Times New Roman"/>
                      <w:b/>
                      <w:bCs/>
                      <w:color w:val="000000"/>
                      <w:szCs w:val="21"/>
                    </w:rPr>
                    <w:t>序号</w:t>
                  </w:r>
                </w:p>
              </w:tc>
              <w:tc>
                <w:tcPr>
                  <w:tcW w:w="932" w:type="pct"/>
                  <w:vAlign w:val="center"/>
                </w:tcPr>
                <w:p w14:paraId="30FC17E1">
                  <w:pPr>
                    <w:widowControl/>
                    <w:jc w:val="center"/>
                    <w:rPr>
                      <w:rFonts w:ascii="Times New Roman" w:hAnsi="Times New Roman"/>
                      <w:b/>
                      <w:bCs/>
                      <w:color w:val="000000"/>
                      <w:szCs w:val="21"/>
                    </w:rPr>
                  </w:pPr>
                  <w:r>
                    <w:rPr>
                      <w:rFonts w:ascii="Times New Roman" w:hAnsi="Times New Roman"/>
                      <w:b/>
                      <w:bCs/>
                      <w:color w:val="000000"/>
                      <w:szCs w:val="21"/>
                    </w:rPr>
                    <w:t>污染物</w:t>
                  </w:r>
                </w:p>
              </w:tc>
              <w:tc>
                <w:tcPr>
                  <w:tcW w:w="777" w:type="pct"/>
                  <w:vAlign w:val="center"/>
                </w:tcPr>
                <w:p w14:paraId="522CCFF4">
                  <w:pPr>
                    <w:widowControl/>
                    <w:jc w:val="center"/>
                    <w:rPr>
                      <w:rFonts w:ascii="Times New Roman" w:hAnsi="Times New Roman"/>
                      <w:b/>
                      <w:bCs/>
                      <w:color w:val="000000"/>
                      <w:szCs w:val="21"/>
                    </w:rPr>
                  </w:pPr>
                  <w:r>
                    <w:rPr>
                      <w:rFonts w:ascii="Times New Roman" w:hAnsi="Times New Roman"/>
                      <w:b/>
                      <w:bCs/>
                      <w:color w:val="000000"/>
                      <w:szCs w:val="21"/>
                    </w:rPr>
                    <w:t>排放限值（mg/m</w:t>
                  </w:r>
                  <w:r>
                    <w:rPr>
                      <w:rFonts w:ascii="Times New Roman" w:hAnsi="Times New Roman"/>
                      <w:b/>
                      <w:bCs/>
                      <w:color w:val="000000"/>
                      <w:szCs w:val="21"/>
                      <w:vertAlign w:val="superscript"/>
                    </w:rPr>
                    <w:t>3</w:t>
                  </w:r>
                  <w:r>
                    <w:rPr>
                      <w:rFonts w:ascii="Times New Roman" w:hAnsi="Times New Roman"/>
                      <w:b/>
                      <w:bCs/>
                      <w:color w:val="000000"/>
                      <w:szCs w:val="21"/>
                    </w:rPr>
                    <w:t>）</w:t>
                  </w:r>
                </w:p>
              </w:tc>
              <w:tc>
                <w:tcPr>
                  <w:tcW w:w="1036" w:type="pct"/>
                  <w:vAlign w:val="center"/>
                </w:tcPr>
                <w:p w14:paraId="1BFF85E9">
                  <w:pPr>
                    <w:widowControl/>
                    <w:jc w:val="center"/>
                    <w:rPr>
                      <w:rFonts w:hint="eastAsia"/>
                      <w:b/>
                      <w:bCs/>
                      <w:color w:val="000000"/>
                      <w:szCs w:val="21"/>
                      <w:lang w:val="en-US" w:eastAsia="zh-CN"/>
                    </w:rPr>
                  </w:pPr>
                  <w:r>
                    <w:rPr>
                      <w:rFonts w:hint="eastAsia"/>
                      <w:b/>
                      <w:bCs/>
                      <w:color w:val="000000"/>
                      <w:szCs w:val="21"/>
                      <w:lang w:val="en-US" w:eastAsia="zh-CN"/>
                    </w:rPr>
                    <w:t>排放速率</w:t>
                  </w:r>
                </w:p>
                <w:p w14:paraId="0AD62D98">
                  <w:pPr>
                    <w:widowControl/>
                    <w:jc w:val="center"/>
                    <w:rPr>
                      <w:rFonts w:hint="default"/>
                      <w:b/>
                      <w:bCs/>
                      <w:color w:val="000000"/>
                      <w:szCs w:val="21"/>
                      <w:lang w:val="en-US" w:eastAsia="zh-CN"/>
                    </w:rPr>
                  </w:pPr>
                  <w:r>
                    <w:rPr>
                      <w:rFonts w:ascii="Times New Roman" w:hAnsi="Times New Roman"/>
                      <w:b/>
                      <w:bCs/>
                      <w:color w:val="000000"/>
                      <w:szCs w:val="21"/>
                    </w:rPr>
                    <w:t>（</w:t>
                  </w:r>
                  <w:r>
                    <w:rPr>
                      <w:rFonts w:hint="eastAsia" w:ascii="Times New Roman" w:hAnsi="Times New Roman"/>
                      <w:b/>
                      <w:bCs/>
                      <w:color w:val="000000"/>
                      <w:szCs w:val="21"/>
                      <w:lang w:val="en-US" w:eastAsia="zh-CN"/>
                    </w:rPr>
                    <w:t>kg</w:t>
                  </w:r>
                  <w:r>
                    <w:rPr>
                      <w:rFonts w:ascii="Times New Roman" w:hAnsi="Times New Roman"/>
                      <w:b/>
                      <w:bCs/>
                      <w:color w:val="000000"/>
                      <w:szCs w:val="21"/>
                    </w:rPr>
                    <w:t>/</w:t>
                  </w:r>
                  <w:r>
                    <w:rPr>
                      <w:rFonts w:hint="eastAsia" w:ascii="Times New Roman" w:hAnsi="Times New Roman"/>
                      <w:b/>
                      <w:bCs/>
                      <w:color w:val="000000"/>
                      <w:szCs w:val="21"/>
                      <w:lang w:val="en-US" w:eastAsia="zh-CN"/>
                    </w:rPr>
                    <w:t>h</w:t>
                  </w:r>
                  <w:r>
                    <w:rPr>
                      <w:rFonts w:ascii="Times New Roman" w:hAnsi="Times New Roman"/>
                      <w:b/>
                      <w:bCs/>
                      <w:color w:val="000000"/>
                      <w:szCs w:val="21"/>
                    </w:rPr>
                    <w:t>）</w:t>
                  </w:r>
                </w:p>
              </w:tc>
              <w:tc>
                <w:tcPr>
                  <w:tcW w:w="1036" w:type="pct"/>
                  <w:vAlign w:val="center"/>
                </w:tcPr>
                <w:p w14:paraId="1C32ACD8">
                  <w:pPr>
                    <w:widowControl/>
                    <w:jc w:val="center"/>
                    <w:rPr>
                      <w:rFonts w:hint="default" w:ascii="Times New Roman" w:hAnsi="Times New Roman" w:eastAsia="宋体"/>
                      <w:b/>
                      <w:bCs/>
                      <w:color w:val="000000"/>
                      <w:szCs w:val="21"/>
                      <w:lang w:val="en-US" w:eastAsia="zh-CN"/>
                    </w:rPr>
                  </w:pPr>
                  <w:r>
                    <w:rPr>
                      <w:rFonts w:hint="eastAsia"/>
                      <w:b/>
                      <w:bCs/>
                      <w:color w:val="000000"/>
                      <w:szCs w:val="21"/>
                      <w:lang w:val="en-US" w:eastAsia="zh-CN"/>
                    </w:rPr>
                    <w:t>执行标准来源</w:t>
                  </w:r>
                </w:p>
              </w:tc>
              <w:tc>
                <w:tcPr>
                  <w:tcW w:w="793" w:type="pct"/>
                  <w:vAlign w:val="center"/>
                </w:tcPr>
                <w:p w14:paraId="5F1D8ED8">
                  <w:pPr>
                    <w:widowControl/>
                    <w:jc w:val="center"/>
                    <w:rPr>
                      <w:rFonts w:ascii="Times New Roman" w:hAnsi="Times New Roman"/>
                      <w:b/>
                      <w:bCs/>
                      <w:color w:val="000000"/>
                      <w:szCs w:val="21"/>
                    </w:rPr>
                  </w:pPr>
                  <w:r>
                    <w:rPr>
                      <w:rFonts w:ascii="Times New Roman" w:hAnsi="Times New Roman"/>
                      <w:b/>
                      <w:bCs/>
                      <w:color w:val="000000"/>
                      <w:szCs w:val="21"/>
                    </w:rPr>
                    <w:t>污染物排放监控位置</w:t>
                  </w:r>
                </w:p>
              </w:tc>
            </w:tr>
            <w:tr w14:paraId="05E69B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424" w:type="pct"/>
                  <w:vAlign w:val="center"/>
                </w:tcPr>
                <w:p w14:paraId="22AFA092">
                  <w:pPr>
                    <w:widowControl/>
                    <w:jc w:val="center"/>
                    <w:rPr>
                      <w:rFonts w:ascii="Times New Roman" w:hAnsi="Times New Roman"/>
                      <w:color w:val="000000"/>
                      <w:szCs w:val="21"/>
                    </w:rPr>
                  </w:pPr>
                  <w:r>
                    <w:rPr>
                      <w:rFonts w:ascii="Times New Roman" w:hAnsi="Times New Roman"/>
                      <w:color w:val="000000"/>
                      <w:szCs w:val="21"/>
                    </w:rPr>
                    <w:t>1</w:t>
                  </w:r>
                </w:p>
              </w:tc>
              <w:tc>
                <w:tcPr>
                  <w:tcW w:w="932" w:type="pct"/>
                  <w:vAlign w:val="center"/>
                </w:tcPr>
                <w:p w14:paraId="46AFD3C3">
                  <w:pPr>
                    <w:widowControl/>
                    <w:jc w:val="center"/>
                    <w:rPr>
                      <w:rFonts w:ascii="Times New Roman" w:hAnsi="Times New Roman"/>
                      <w:color w:val="000000"/>
                      <w:szCs w:val="21"/>
                    </w:rPr>
                  </w:pPr>
                  <w:r>
                    <w:rPr>
                      <w:rFonts w:ascii="Times New Roman" w:hAnsi="Times New Roman"/>
                      <w:color w:val="000000"/>
                      <w:szCs w:val="21"/>
                    </w:rPr>
                    <w:t>非甲烷总烃</w:t>
                  </w:r>
                </w:p>
              </w:tc>
              <w:tc>
                <w:tcPr>
                  <w:tcW w:w="777" w:type="pct"/>
                  <w:vAlign w:val="center"/>
                </w:tcPr>
                <w:p w14:paraId="625BA7B2">
                  <w:pPr>
                    <w:widowControl/>
                    <w:jc w:val="center"/>
                    <w:rPr>
                      <w:rFonts w:ascii="Times New Roman" w:hAnsi="Times New Roman"/>
                      <w:color w:val="000000"/>
                      <w:szCs w:val="21"/>
                    </w:rPr>
                  </w:pPr>
                  <w:r>
                    <w:rPr>
                      <w:rFonts w:hint="eastAsia"/>
                      <w:color w:val="000000"/>
                      <w:szCs w:val="21"/>
                      <w:lang w:val="en-US" w:eastAsia="zh-CN"/>
                    </w:rPr>
                    <w:t>4</w:t>
                  </w:r>
                  <w:r>
                    <w:rPr>
                      <w:rFonts w:ascii="Times New Roman" w:hAnsi="Times New Roman"/>
                      <w:color w:val="000000"/>
                      <w:szCs w:val="21"/>
                    </w:rPr>
                    <w:t>0</w:t>
                  </w:r>
                </w:p>
              </w:tc>
              <w:tc>
                <w:tcPr>
                  <w:tcW w:w="1036" w:type="pct"/>
                  <w:vAlign w:val="center"/>
                </w:tcPr>
                <w:p w14:paraId="33EBC9A4">
                  <w:pPr>
                    <w:widowControl/>
                    <w:jc w:val="center"/>
                    <w:rPr>
                      <w:rFonts w:hint="default"/>
                      <w:color w:val="000000"/>
                      <w:szCs w:val="21"/>
                      <w:lang w:val="en-US" w:eastAsia="zh-CN"/>
                    </w:rPr>
                  </w:pPr>
                  <w:r>
                    <w:rPr>
                      <w:rFonts w:hint="eastAsia"/>
                      <w:color w:val="000000"/>
                      <w:szCs w:val="21"/>
                      <w:lang w:val="en-US" w:eastAsia="zh-CN"/>
                    </w:rPr>
                    <w:t>1.6</w:t>
                  </w:r>
                </w:p>
              </w:tc>
              <w:tc>
                <w:tcPr>
                  <w:tcW w:w="1036" w:type="pct"/>
                  <w:vAlign w:val="center"/>
                </w:tcPr>
                <w:p w14:paraId="713D38EB">
                  <w:pPr>
                    <w:widowControl/>
                    <w:jc w:val="center"/>
                    <w:rPr>
                      <w:rFonts w:hint="eastAsia" w:ascii="Times New Roman" w:hAnsi="Times New Roman" w:eastAsia="宋体"/>
                      <w:color w:val="000000"/>
                      <w:szCs w:val="21"/>
                      <w:lang w:val="en-US" w:eastAsia="zh-CN"/>
                    </w:rPr>
                  </w:pPr>
                  <w:r>
                    <w:rPr>
                      <w:rFonts w:hint="eastAsia" w:ascii="Times New Roman" w:hAnsi="Times New Roman"/>
                      <w:color w:val="000000"/>
                      <w:szCs w:val="21"/>
                    </w:rPr>
                    <w:t>《固定源挥发性有机物综合排放标准 第6部分 其他行业》（DB34/4812.6-2024）塑料制品工业</w:t>
                  </w:r>
                </w:p>
              </w:tc>
              <w:tc>
                <w:tcPr>
                  <w:tcW w:w="793" w:type="pct"/>
                  <w:vAlign w:val="center"/>
                </w:tcPr>
                <w:p w14:paraId="54BD86BB">
                  <w:pPr>
                    <w:widowControl/>
                    <w:jc w:val="center"/>
                    <w:rPr>
                      <w:rFonts w:hint="default" w:ascii="Times New Roman" w:hAnsi="Times New Roman" w:eastAsia="宋体"/>
                      <w:color w:val="000000"/>
                      <w:szCs w:val="21"/>
                      <w:lang w:val="en-US" w:eastAsia="zh-CN"/>
                    </w:rPr>
                  </w:pPr>
                  <w:r>
                    <w:rPr>
                      <w:rFonts w:hint="eastAsia"/>
                      <w:color w:val="000000"/>
                      <w:szCs w:val="21"/>
                      <w:lang w:val="en-US" w:eastAsia="zh-CN"/>
                    </w:rPr>
                    <w:t>注塑废气排气筒DA001</w:t>
                  </w:r>
                </w:p>
              </w:tc>
            </w:tr>
            <w:tr w14:paraId="3527C7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424" w:type="pct"/>
                  <w:vAlign w:val="center"/>
                </w:tcPr>
                <w:p w14:paraId="4CF8099A">
                  <w:pPr>
                    <w:widowControl/>
                    <w:jc w:val="center"/>
                    <w:rPr>
                      <w:rFonts w:hint="eastAsia" w:ascii="Times New Roman" w:hAnsi="Times New Roman" w:eastAsia="宋体"/>
                      <w:color w:val="000000"/>
                      <w:szCs w:val="21"/>
                      <w:lang w:val="en-US" w:eastAsia="zh-CN"/>
                    </w:rPr>
                  </w:pPr>
                  <w:r>
                    <w:rPr>
                      <w:rFonts w:hint="eastAsia"/>
                      <w:color w:val="000000"/>
                      <w:szCs w:val="21"/>
                      <w:lang w:val="en-US" w:eastAsia="zh-CN"/>
                    </w:rPr>
                    <w:t>2</w:t>
                  </w:r>
                </w:p>
              </w:tc>
              <w:tc>
                <w:tcPr>
                  <w:tcW w:w="932" w:type="pct"/>
                  <w:vAlign w:val="center"/>
                </w:tcPr>
                <w:p w14:paraId="70D64785">
                  <w:pPr>
                    <w:widowControl/>
                    <w:jc w:val="center"/>
                    <w:rPr>
                      <w:rFonts w:hint="eastAsia" w:ascii="Times New Roman" w:hAnsi="Times New Roman" w:eastAsia="宋体"/>
                      <w:color w:val="000000"/>
                      <w:szCs w:val="21"/>
                      <w:lang w:val="en-US" w:eastAsia="zh-CN"/>
                    </w:rPr>
                  </w:pPr>
                  <w:r>
                    <w:rPr>
                      <w:rFonts w:hint="eastAsia"/>
                      <w:color w:val="000000"/>
                      <w:szCs w:val="21"/>
                      <w:lang w:val="en-US" w:eastAsia="zh-CN"/>
                    </w:rPr>
                    <w:t>颗粒物</w:t>
                  </w:r>
                </w:p>
              </w:tc>
              <w:tc>
                <w:tcPr>
                  <w:tcW w:w="777" w:type="pct"/>
                  <w:vAlign w:val="center"/>
                </w:tcPr>
                <w:p w14:paraId="5F40D347">
                  <w:pPr>
                    <w:widowControl/>
                    <w:jc w:val="center"/>
                    <w:rPr>
                      <w:rFonts w:hint="default"/>
                      <w:color w:val="000000"/>
                      <w:szCs w:val="21"/>
                      <w:lang w:val="en-US" w:eastAsia="zh-CN"/>
                    </w:rPr>
                  </w:pPr>
                  <w:r>
                    <w:rPr>
                      <w:rFonts w:hint="eastAsia"/>
                      <w:color w:val="000000"/>
                      <w:szCs w:val="21"/>
                      <w:lang w:val="en-US" w:eastAsia="zh-CN"/>
                    </w:rPr>
                    <w:t>20</w:t>
                  </w:r>
                </w:p>
              </w:tc>
              <w:tc>
                <w:tcPr>
                  <w:tcW w:w="1036" w:type="pct"/>
                  <w:vAlign w:val="center"/>
                </w:tcPr>
                <w:p w14:paraId="7F309054">
                  <w:pPr>
                    <w:widowControl/>
                    <w:jc w:val="center"/>
                    <w:rPr>
                      <w:rFonts w:hint="default"/>
                      <w:color w:val="000000"/>
                      <w:szCs w:val="21"/>
                      <w:lang w:val="en-US" w:eastAsia="zh-CN"/>
                    </w:rPr>
                  </w:pPr>
                  <w:r>
                    <w:rPr>
                      <w:rFonts w:hint="eastAsia"/>
                      <w:color w:val="000000"/>
                      <w:szCs w:val="21"/>
                      <w:lang w:val="en-US" w:eastAsia="zh-CN"/>
                    </w:rPr>
                    <w:t>/</w:t>
                  </w:r>
                </w:p>
              </w:tc>
              <w:tc>
                <w:tcPr>
                  <w:tcW w:w="1036" w:type="pct"/>
                  <w:vAlign w:val="center"/>
                </w:tcPr>
                <w:p w14:paraId="2C796552">
                  <w:pPr>
                    <w:widowControl/>
                    <w:jc w:val="center"/>
                    <w:rPr>
                      <w:rFonts w:hint="eastAsia" w:ascii="Times New Roman" w:hAnsi="Times New Roman"/>
                      <w:color w:val="000000"/>
                      <w:szCs w:val="21"/>
                    </w:rPr>
                  </w:pPr>
                  <w:r>
                    <w:rPr>
                      <w:rFonts w:hint="eastAsia" w:ascii="Times New Roman" w:hAnsi="Times New Roman"/>
                      <w:color w:val="000000"/>
                      <w:szCs w:val="21"/>
                    </w:rPr>
                    <w:t>《合成树脂工业污染物排放标准》（GB 31572-2015）</w:t>
                  </w:r>
                </w:p>
              </w:tc>
              <w:tc>
                <w:tcPr>
                  <w:tcW w:w="793" w:type="pct"/>
                  <w:vAlign w:val="center"/>
                </w:tcPr>
                <w:p w14:paraId="6BD6613D">
                  <w:pPr>
                    <w:widowControl/>
                    <w:jc w:val="center"/>
                    <w:rPr>
                      <w:rFonts w:hint="default"/>
                      <w:color w:val="000000"/>
                      <w:szCs w:val="21"/>
                      <w:lang w:val="en-US" w:eastAsia="zh-CN"/>
                    </w:rPr>
                  </w:pPr>
                  <w:r>
                    <w:rPr>
                      <w:rFonts w:hint="eastAsia"/>
                      <w:color w:val="000000"/>
                      <w:szCs w:val="21"/>
                      <w:lang w:val="en-US" w:eastAsia="zh-CN"/>
                    </w:rPr>
                    <w:t>破碎废气排气筒DA002</w:t>
                  </w:r>
                </w:p>
              </w:tc>
            </w:tr>
            <w:tr w14:paraId="66A56E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4" w:type="pct"/>
                  <w:vAlign w:val="center"/>
                </w:tcPr>
                <w:p w14:paraId="45DFD401">
                  <w:pPr>
                    <w:widowControl/>
                    <w:jc w:val="center"/>
                    <w:rPr>
                      <w:rFonts w:hint="eastAsia" w:ascii="Times New Roman" w:hAnsi="Times New Roman" w:eastAsia="宋体"/>
                      <w:color w:val="000000"/>
                      <w:szCs w:val="21"/>
                      <w:lang w:val="en-US" w:eastAsia="zh-CN"/>
                    </w:rPr>
                  </w:pPr>
                  <w:r>
                    <w:rPr>
                      <w:rFonts w:hint="eastAsia"/>
                      <w:color w:val="000000"/>
                      <w:szCs w:val="21"/>
                      <w:lang w:val="en-US" w:eastAsia="zh-CN"/>
                    </w:rPr>
                    <w:t>3</w:t>
                  </w:r>
                </w:p>
              </w:tc>
              <w:tc>
                <w:tcPr>
                  <w:tcW w:w="932" w:type="pct"/>
                  <w:vAlign w:val="center"/>
                </w:tcPr>
                <w:p w14:paraId="7A616C00">
                  <w:pPr>
                    <w:widowControl/>
                    <w:jc w:val="center"/>
                    <w:rPr>
                      <w:rFonts w:hint="eastAsia" w:ascii="Times New Roman" w:hAnsi="Times New Roman" w:eastAsia="宋体"/>
                      <w:color w:val="000000"/>
                      <w:szCs w:val="21"/>
                      <w:lang w:val="en-US" w:eastAsia="zh-CN"/>
                    </w:rPr>
                  </w:pPr>
                  <w:r>
                    <w:rPr>
                      <w:rFonts w:hint="eastAsia"/>
                      <w:color w:val="000000"/>
                      <w:szCs w:val="21"/>
                      <w:lang w:val="en-US" w:eastAsia="zh-CN"/>
                    </w:rPr>
                    <w:t>颗粒物</w:t>
                  </w:r>
                </w:p>
              </w:tc>
              <w:tc>
                <w:tcPr>
                  <w:tcW w:w="777" w:type="pct"/>
                  <w:vAlign w:val="center"/>
                </w:tcPr>
                <w:p w14:paraId="42AC3089">
                  <w:pPr>
                    <w:widowControl/>
                    <w:jc w:val="center"/>
                    <w:rPr>
                      <w:rFonts w:hint="default" w:ascii="Times New Roman" w:hAnsi="Times New Roman" w:eastAsia="宋体"/>
                      <w:color w:val="000000"/>
                      <w:szCs w:val="21"/>
                      <w:lang w:val="en-US" w:eastAsia="zh-CN"/>
                    </w:rPr>
                  </w:pPr>
                  <w:r>
                    <w:rPr>
                      <w:rFonts w:hint="eastAsia"/>
                      <w:color w:val="000000"/>
                      <w:szCs w:val="21"/>
                      <w:lang w:val="en-US" w:eastAsia="zh-CN"/>
                    </w:rPr>
                    <w:t>1.0</w:t>
                  </w:r>
                </w:p>
              </w:tc>
              <w:tc>
                <w:tcPr>
                  <w:tcW w:w="1036" w:type="pct"/>
                  <w:vAlign w:val="center"/>
                </w:tcPr>
                <w:p w14:paraId="6AD92D9E">
                  <w:pPr>
                    <w:widowControl/>
                    <w:jc w:val="center"/>
                    <w:rPr>
                      <w:rFonts w:hint="default" w:ascii="Times New Roman" w:hAnsi="Times New Roman" w:eastAsia="宋体"/>
                      <w:color w:val="000000"/>
                      <w:szCs w:val="21"/>
                      <w:lang w:val="en-US" w:eastAsia="zh-CN"/>
                    </w:rPr>
                  </w:pPr>
                  <w:r>
                    <w:rPr>
                      <w:rFonts w:hint="eastAsia"/>
                      <w:color w:val="000000"/>
                      <w:szCs w:val="21"/>
                      <w:lang w:val="en-US" w:eastAsia="zh-CN"/>
                    </w:rPr>
                    <w:t>/</w:t>
                  </w:r>
                </w:p>
              </w:tc>
              <w:tc>
                <w:tcPr>
                  <w:tcW w:w="1036" w:type="pct"/>
                  <w:vAlign w:val="center"/>
                </w:tcPr>
                <w:p w14:paraId="5C74AF76">
                  <w:pPr>
                    <w:widowControl/>
                    <w:jc w:val="center"/>
                    <w:rPr>
                      <w:rFonts w:hint="default" w:ascii="Times New Roman" w:hAnsi="Times New Roman" w:eastAsia="宋体"/>
                      <w:color w:val="000000"/>
                      <w:szCs w:val="21"/>
                      <w:lang w:val="en-US" w:eastAsia="zh-CN"/>
                    </w:rPr>
                  </w:pPr>
                  <w:r>
                    <w:rPr>
                      <w:rFonts w:hint="eastAsia" w:ascii="Times New Roman" w:hAnsi="Times New Roman"/>
                      <w:color w:val="000000"/>
                      <w:szCs w:val="21"/>
                    </w:rPr>
                    <w:t>《合成树脂工业污染物排放标准》（GB 31572-2015）</w:t>
                  </w:r>
                </w:p>
              </w:tc>
              <w:tc>
                <w:tcPr>
                  <w:tcW w:w="793" w:type="pct"/>
                  <w:vAlign w:val="center"/>
                </w:tcPr>
                <w:p w14:paraId="5A06C5D9">
                  <w:pPr>
                    <w:widowControl/>
                    <w:jc w:val="center"/>
                    <w:rPr>
                      <w:rFonts w:hint="default" w:ascii="Times New Roman" w:hAnsi="Times New Roman" w:eastAsia="宋体"/>
                      <w:color w:val="000000"/>
                      <w:szCs w:val="21"/>
                      <w:lang w:val="en-US" w:eastAsia="zh-CN"/>
                    </w:rPr>
                  </w:pPr>
                  <w:r>
                    <w:rPr>
                      <w:rFonts w:hint="eastAsia"/>
                      <w:color w:val="000000"/>
                      <w:szCs w:val="21"/>
                      <w:lang w:val="en-US" w:eastAsia="zh-CN"/>
                    </w:rPr>
                    <w:t>企业边界</w:t>
                  </w:r>
                </w:p>
              </w:tc>
            </w:tr>
            <w:tr w14:paraId="0672AC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4" w:type="pct"/>
                  <w:vAlign w:val="center"/>
                </w:tcPr>
                <w:p w14:paraId="7AE4DF10">
                  <w:pPr>
                    <w:widowControl/>
                    <w:jc w:val="center"/>
                    <w:rPr>
                      <w:rFonts w:hint="eastAsia" w:ascii="Times New Roman" w:hAnsi="Times New Roman" w:eastAsia="宋体"/>
                      <w:color w:val="000000"/>
                      <w:szCs w:val="21"/>
                      <w:lang w:eastAsia="zh-CN"/>
                    </w:rPr>
                  </w:pPr>
                  <w:r>
                    <w:rPr>
                      <w:rFonts w:hint="eastAsia"/>
                      <w:color w:val="000000"/>
                      <w:szCs w:val="21"/>
                      <w:lang w:val="en-US" w:eastAsia="zh-CN"/>
                    </w:rPr>
                    <w:t>3</w:t>
                  </w:r>
                </w:p>
              </w:tc>
              <w:tc>
                <w:tcPr>
                  <w:tcW w:w="932" w:type="pct"/>
                  <w:vAlign w:val="center"/>
                </w:tcPr>
                <w:p w14:paraId="394E5370">
                  <w:pPr>
                    <w:widowControl/>
                    <w:jc w:val="center"/>
                    <w:rPr>
                      <w:rFonts w:ascii="Times New Roman" w:hAnsi="Times New Roman"/>
                      <w:color w:val="000000"/>
                      <w:szCs w:val="21"/>
                    </w:rPr>
                  </w:pPr>
                  <w:r>
                    <w:rPr>
                      <w:rFonts w:ascii="Times New Roman" w:hAnsi="Times New Roman"/>
                      <w:color w:val="000000"/>
                      <w:szCs w:val="21"/>
                    </w:rPr>
                    <w:t>非甲烷总烃</w:t>
                  </w:r>
                </w:p>
              </w:tc>
              <w:tc>
                <w:tcPr>
                  <w:tcW w:w="777" w:type="pct"/>
                  <w:vAlign w:val="center"/>
                </w:tcPr>
                <w:p w14:paraId="0CE3B573">
                  <w:pPr>
                    <w:widowControl/>
                    <w:jc w:val="center"/>
                    <w:rPr>
                      <w:rFonts w:ascii="Times New Roman" w:hAnsi="Times New Roman"/>
                      <w:color w:val="000000"/>
                      <w:szCs w:val="21"/>
                    </w:rPr>
                  </w:pPr>
                  <w:r>
                    <w:rPr>
                      <w:rFonts w:ascii="Times New Roman" w:hAnsi="Times New Roman"/>
                      <w:color w:val="000000"/>
                      <w:szCs w:val="21"/>
                    </w:rPr>
                    <w:t>4.0</w:t>
                  </w:r>
                </w:p>
              </w:tc>
              <w:tc>
                <w:tcPr>
                  <w:tcW w:w="1036" w:type="pct"/>
                  <w:vAlign w:val="center"/>
                </w:tcPr>
                <w:p w14:paraId="2E5F9707">
                  <w:pPr>
                    <w:widowControl/>
                    <w:jc w:val="center"/>
                    <w:rPr>
                      <w:rFonts w:hint="eastAsia" w:ascii="Times New Roman" w:hAnsi="Times New Roman" w:eastAsia="宋体"/>
                      <w:color w:val="000000"/>
                      <w:szCs w:val="21"/>
                      <w:lang w:val="en-US" w:eastAsia="zh-CN"/>
                    </w:rPr>
                  </w:pPr>
                  <w:r>
                    <w:rPr>
                      <w:rFonts w:hint="eastAsia"/>
                      <w:color w:val="000000"/>
                      <w:szCs w:val="21"/>
                      <w:lang w:val="en-US" w:eastAsia="zh-CN"/>
                    </w:rPr>
                    <w:t>/</w:t>
                  </w:r>
                </w:p>
              </w:tc>
              <w:tc>
                <w:tcPr>
                  <w:tcW w:w="1036" w:type="pct"/>
                  <w:vAlign w:val="center"/>
                </w:tcPr>
                <w:p w14:paraId="16B4B461">
                  <w:pPr>
                    <w:widowControl/>
                    <w:jc w:val="center"/>
                    <w:rPr>
                      <w:rFonts w:ascii="Times New Roman" w:hAnsi="Times New Roman"/>
                      <w:color w:val="000000"/>
                      <w:szCs w:val="21"/>
                    </w:rPr>
                  </w:pPr>
                  <w:r>
                    <w:rPr>
                      <w:rFonts w:hint="eastAsia" w:ascii="Times New Roman" w:hAnsi="Times New Roman"/>
                      <w:color w:val="000000"/>
                      <w:szCs w:val="21"/>
                    </w:rPr>
                    <w:t>《合成树脂工业污染物排放标准》（GB 31572-2015）</w:t>
                  </w:r>
                </w:p>
              </w:tc>
              <w:tc>
                <w:tcPr>
                  <w:tcW w:w="793" w:type="pct"/>
                  <w:vAlign w:val="center"/>
                </w:tcPr>
                <w:p w14:paraId="2D78982C">
                  <w:pPr>
                    <w:widowControl/>
                    <w:jc w:val="center"/>
                    <w:rPr>
                      <w:rFonts w:ascii="Times New Roman" w:hAnsi="Times New Roman"/>
                      <w:color w:val="000000"/>
                      <w:szCs w:val="21"/>
                    </w:rPr>
                  </w:pPr>
                  <w:r>
                    <w:rPr>
                      <w:rFonts w:ascii="Times New Roman" w:hAnsi="Times New Roman"/>
                      <w:color w:val="000000"/>
                      <w:szCs w:val="21"/>
                    </w:rPr>
                    <w:t>企业边界任何1小时浓度</w:t>
                  </w:r>
                </w:p>
              </w:tc>
            </w:tr>
          </w:tbl>
          <w:p w14:paraId="785FB005">
            <w:pPr>
              <w:pStyle w:val="52"/>
              <w:numPr>
                <w:ilvl w:val="0"/>
                <w:numId w:val="4"/>
              </w:numPr>
              <w:spacing w:line="360" w:lineRule="auto"/>
              <w:rPr>
                <w:rFonts w:cs="Times New Roman"/>
              </w:rPr>
            </w:pPr>
            <w:r>
              <w:rPr>
                <w:rFonts w:cs="Times New Roman"/>
              </w:rPr>
              <w:t>厂区内非甲烷总烃无组织排放限值</w:t>
            </w:r>
          </w:p>
          <w:tbl>
            <w:tblPr>
              <w:tblStyle w:val="7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48"/>
              <w:gridCol w:w="2184"/>
              <w:gridCol w:w="2676"/>
              <w:gridCol w:w="2199"/>
            </w:tblGrid>
            <w:tr w14:paraId="129134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33" w:type="dxa"/>
                  <w:vAlign w:val="center"/>
                </w:tcPr>
                <w:p w14:paraId="09F0A010">
                  <w:pPr>
                    <w:pStyle w:val="2"/>
                    <w:snapToGrid w:val="0"/>
                    <w:spacing w:before="48" w:beforeLines="20"/>
                    <w:jc w:val="center"/>
                    <w:rPr>
                      <w:color w:val="auto"/>
                      <w:sz w:val="21"/>
                      <w:szCs w:val="21"/>
                    </w:rPr>
                  </w:pPr>
                  <w:r>
                    <w:rPr>
                      <w:color w:val="auto"/>
                      <w:sz w:val="21"/>
                      <w:szCs w:val="21"/>
                    </w:rPr>
                    <w:t>污染物项目</w:t>
                  </w:r>
                </w:p>
              </w:tc>
              <w:tc>
                <w:tcPr>
                  <w:tcW w:w="2160" w:type="dxa"/>
                  <w:vAlign w:val="center"/>
                </w:tcPr>
                <w:p w14:paraId="6F393D2F">
                  <w:pPr>
                    <w:pStyle w:val="2"/>
                    <w:snapToGrid w:val="0"/>
                    <w:spacing w:before="48" w:beforeLines="20"/>
                    <w:jc w:val="center"/>
                    <w:rPr>
                      <w:color w:val="auto"/>
                      <w:sz w:val="21"/>
                      <w:szCs w:val="21"/>
                    </w:rPr>
                  </w:pPr>
                  <w:r>
                    <w:rPr>
                      <w:color w:val="auto"/>
                      <w:sz w:val="21"/>
                      <w:szCs w:val="21"/>
                    </w:rPr>
                    <w:t>特别排放限值mg/m</w:t>
                  </w:r>
                  <w:r>
                    <w:rPr>
                      <w:color w:val="auto"/>
                      <w:sz w:val="21"/>
                      <w:szCs w:val="21"/>
                      <w:vertAlign w:val="superscript"/>
                    </w:rPr>
                    <w:t>3</w:t>
                  </w:r>
                </w:p>
              </w:tc>
              <w:tc>
                <w:tcPr>
                  <w:tcW w:w="2646" w:type="dxa"/>
                  <w:vAlign w:val="center"/>
                </w:tcPr>
                <w:p w14:paraId="01ED16D5">
                  <w:pPr>
                    <w:pStyle w:val="2"/>
                    <w:snapToGrid w:val="0"/>
                    <w:spacing w:before="48" w:beforeLines="20"/>
                    <w:jc w:val="center"/>
                    <w:rPr>
                      <w:color w:val="auto"/>
                      <w:sz w:val="21"/>
                      <w:szCs w:val="21"/>
                    </w:rPr>
                  </w:pPr>
                  <w:r>
                    <w:rPr>
                      <w:color w:val="auto"/>
                      <w:sz w:val="21"/>
                      <w:szCs w:val="21"/>
                    </w:rPr>
                    <w:t>限值含义</w:t>
                  </w:r>
                </w:p>
              </w:tc>
              <w:tc>
                <w:tcPr>
                  <w:tcW w:w="2174" w:type="dxa"/>
                  <w:vAlign w:val="center"/>
                </w:tcPr>
                <w:p w14:paraId="7F91AC70">
                  <w:pPr>
                    <w:pStyle w:val="2"/>
                    <w:snapToGrid w:val="0"/>
                    <w:spacing w:before="48" w:beforeLines="20"/>
                    <w:jc w:val="center"/>
                    <w:rPr>
                      <w:color w:val="auto"/>
                      <w:sz w:val="21"/>
                      <w:szCs w:val="21"/>
                    </w:rPr>
                  </w:pPr>
                  <w:r>
                    <w:rPr>
                      <w:color w:val="auto"/>
                      <w:sz w:val="21"/>
                      <w:szCs w:val="21"/>
                    </w:rPr>
                    <w:t>无组织排放监控位置</w:t>
                  </w:r>
                </w:p>
              </w:tc>
            </w:tr>
            <w:tr w14:paraId="6CA387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33" w:type="dxa"/>
                  <w:vMerge w:val="restart"/>
                  <w:vAlign w:val="center"/>
                </w:tcPr>
                <w:p w14:paraId="67918428">
                  <w:pPr>
                    <w:pStyle w:val="2"/>
                    <w:snapToGrid w:val="0"/>
                    <w:spacing w:before="48" w:beforeLines="20"/>
                    <w:jc w:val="center"/>
                    <w:rPr>
                      <w:color w:val="auto"/>
                      <w:sz w:val="21"/>
                      <w:szCs w:val="21"/>
                    </w:rPr>
                  </w:pPr>
                  <w:r>
                    <w:rPr>
                      <w:color w:val="auto"/>
                      <w:sz w:val="21"/>
                      <w:szCs w:val="21"/>
                    </w:rPr>
                    <w:t>NMHC</w:t>
                  </w:r>
                </w:p>
              </w:tc>
              <w:tc>
                <w:tcPr>
                  <w:tcW w:w="2160" w:type="dxa"/>
                  <w:vAlign w:val="center"/>
                </w:tcPr>
                <w:p w14:paraId="5487E638">
                  <w:pPr>
                    <w:pStyle w:val="2"/>
                    <w:snapToGrid w:val="0"/>
                    <w:spacing w:before="48" w:beforeLines="20"/>
                    <w:jc w:val="center"/>
                    <w:rPr>
                      <w:color w:val="auto"/>
                      <w:sz w:val="21"/>
                      <w:szCs w:val="21"/>
                    </w:rPr>
                  </w:pPr>
                  <w:r>
                    <w:rPr>
                      <w:color w:val="auto"/>
                      <w:sz w:val="21"/>
                      <w:szCs w:val="21"/>
                    </w:rPr>
                    <w:t>6</w:t>
                  </w:r>
                </w:p>
              </w:tc>
              <w:tc>
                <w:tcPr>
                  <w:tcW w:w="2646" w:type="dxa"/>
                  <w:vAlign w:val="center"/>
                </w:tcPr>
                <w:p w14:paraId="7C97DD90">
                  <w:pPr>
                    <w:pStyle w:val="2"/>
                    <w:snapToGrid w:val="0"/>
                    <w:spacing w:before="48" w:beforeLines="20"/>
                    <w:jc w:val="center"/>
                    <w:rPr>
                      <w:color w:val="auto"/>
                      <w:sz w:val="21"/>
                      <w:szCs w:val="21"/>
                    </w:rPr>
                  </w:pPr>
                  <w:r>
                    <w:rPr>
                      <w:color w:val="auto"/>
                      <w:sz w:val="21"/>
                      <w:szCs w:val="21"/>
                    </w:rPr>
                    <w:t>监控点处1h平均浓度值</w:t>
                  </w:r>
                </w:p>
              </w:tc>
              <w:tc>
                <w:tcPr>
                  <w:tcW w:w="2174" w:type="dxa"/>
                  <w:vMerge w:val="restart"/>
                  <w:vAlign w:val="center"/>
                </w:tcPr>
                <w:p w14:paraId="691BDABE">
                  <w:pPr>
                    <w:pStyle w:val="2"/>
                    <w:snapToGrid w:val="0"/>
                    <w:spacing w:before="48" w:beforeLines="20"/>
                    <w:jc w:val="center"/>
                    <w:rPr>
                      <w:color w:val="auto"/>
                      <w:sz w:val="21"/>
                      <w:szCs w:val="21"/>
                    </w:rPr>
                  </w:pPr>
                  <w:r>
                    <w:rPr>
                      <w:color w:val="auto"/>
                      <w:sz w:val="21"/>
                      <w:szCs w:val="21"/>
                    </w:rPr>
                    <w:t>在厂房外设置监控点</w:t>
                  </w:r>
                </w:p>
              </w:tc>
            </w:tr>
            <w:tr w14:paraId="26804A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33" w:type="dxa"/>
                  <w:vMerge w:val="continue"/>
                  <w:vAlign w:val="center"/>
                </w:tcPr>
                <w:p w14:paraId="58945F4D">
                  <w:pPr>
                    <w:pStyle w:val="2"/>
                    <w:snapToGrid w:val="0"/>
                    <w:spacing w:before="48" w:beforeLines="20"/>
                    <w:jc w:val="center"/>
                    <w:rPr>
                      <w:color w:val="auto"/>
                      <w:sz w:val="21"/>
                      <w:szCs w:val="21"/>
                    </w:rPr>
                  </w:pPr>
                </w:p>
              </w:tc>
              <w:tc>
                <w:tcPr>
                  <w:tcW w:w="2160" w:type="dxa"/>
                  <w:vAlign w:val="center"/>
                </w:tcPr>
                <w:p w14:paraId="4F18EB9B">
                  <w:pPr>
                    <w:pStyle w:val="2"/>
                    <w:snapToGrid w:val="0"/>
                    <w:spacing w:before="48" w:beforeLines="20"/>
                    <w:jc w:val="center"/>
                    <w:rPr>
                      <w:color w:val="auto"/>
                      <w:sz w:val="21"/>
                      <w:szCs w:val="21"/>
                    </w:rPr>
                  </w:pPr>
                  <w:r>
                    <w:rPr>
                      <w:color w:val="auto"/>
                      <w:sz w:val="21"/>
                      <w:szCs w:val="21"/>
                    </w:rPr>
                    <w:t>20</w:t>
                  </w:r>
                </w:p>
              </w:tc>
              <w:tc>
                <w:tcPr>
                  <w:tcW w:w="2646" w:type="dxa"/>
                  <w:vAlign w:val="center"/>
                </w:tcPr>
                <w:p w14:paraId="0A1382F6">
                  <w:pPr>
                    <w:pStyle w:val="2"/>
                    <w:snapToGrid w:val="0"/>
                    <w:spacing w:before="48" w:beforeLines="20"/>
                    <w:jc w:val="center"/>
                    <w:rPr>
                      <w:color w:val="auto"/>
                      <w:sz w:val="21"/>
                      <w:szCs w:val="21"/>
                    </w:rPr>
                  </w:pPr>
                  <w:r>
                    <w:rPr>
                      <w:color w:val="auto"/>
                      <w:sz w:val="21"/>
                      <w:szCs w:val="21"/>
                    </w:rPr>
                    <w:t>监控点处任意一次浓度值</w:t>
                  </w:r>
                </w:p>
              </w:tc>
              <w:tc>
                <w:tcPr>
                  <w:tcW w:w="2174" w:type="dxa"/>
                  <w:vMerge w:val="continue"/>
                  <w:vAlign w:val="center"/>
                </w:tcPr>
                <w:p w14:paraId="2993CF31">
                  <w:pPr>
                    <w:pStyle w:val="2"/>
                    <w:snapToGrid w:val="0"/>
                    <w:spacing w:before="48" w:beforeLines="20"/>
                    <w:jc w:val="center"/>
                    <w:rPr>
                      <w:color w:val="auto"/>
                      <w:sz w:val="21"/>
                      <w:szCs w:val="21"/>
                    </w:rPr>
                  </w:pPr>
                </w:p>
              </w:tc>
            </w:tr>
          </w:tbl>
          <w:p w14:paraId="22BC4621">
            <w:pPr>
              <w:adjustRightInd w:val="0"/>
              <w:snapToGrid w:val="0"/>
              <w:spacing w:before="120" w:beforeLines="50" w:line="360" w:lineRule="auto"/>
              <w:jc w:val="left"/>
              <w:rPr>
                <w:b/>
                <w:bCs/>
                <w:kern w:val="0"/>
                <w:sz w:val="24"/>
              </w:rPr>
            </w:pPr>
            <w:r>
              <w:rPr>
                <w:b/>
                <w:bCs/>
                <w:kern w:val="0"/>
                <w:sz w:val="24"/>
              </w:rPr>
              <w:t>3、噪声排放标准</w:t>
            </w:r>
          </w:p>
          <w:p w14:paraId="2BDB1D95">
            <w:pPr>
              <w:snapToGrid w:val="0"/>
              <w:spacing w:line="360" w:lineRule="auto"/>
              <w:ind w:firstLine="480" w:firstLineChars="200"/>
              <w:rPr>
                <w:sz w:val="24"/>
              </w:rPr>
            </w:pPr>
            <w:r>
              <w:rPr>
                <w:sz w:val="24"/>
              </w:rPr>
              <w:t>厂界东侧执行《工业企业厂界环境噪声排放标准》（GB12348-2008）中4类标准，其他厂界执行《工业企业厂界环境噪声排放标准》（GB12348-2008）中3类标准，其标准限值见下表。</w:t>
            </w:r>
          </w:p>
          <w:p w14:paraId="100A9C72">
            <w:pPr>
              <w:pStyle w:val="52"/>
              <w:numPr>
                <w:ilvl w:val="0"/>
                <w:numId w:val="4"/>
              </w:numPr>
              <w:spacing w:line="360" w:lineRule="auto"/>
              <w:rPr>
                <w:rFonts w:cs="Times New Roman"/>
              </w:rPr>
            </w:pPr>
            <w:r>
              <w:rPr>
                <w:rFonts w:cs="Times New Roman"/>
              </w:rPr>
              <w:t>工业企业厂界环境噪声排放限值 单位：dB（A）</w:t>
            </w:r>
          </w:p>
          <w:tbl>
            <w:tblPr>
              <w:tblStyle w:val="7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823"/>
              <w:gridCol w:w="2511"/>
              <w:gridCol w:w="2073"/>
            </w:tblGrid>
            <w:tr w14:paraId="7947BD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05" w:type="dxa"/>
                  <w:vAlign w:val="center"/>
                </w:tcPr>
                <w:p w14:paraId="0220878D">
                  <w:pPr>
                    <w:autoSpaceDE w:val="0"/>
                    <w:autoSpaceDN w:val="0"/>
                    <w:adjustRightInd w:val="0"/>
                    <w:jc w:val="center"/>
                    <w:rPr>
                      <w:rFonts w:ascii="Times New Roman" w:hAnsi="Times New Roman"/>
                      <w:bCs/>
                      <w:szCs w:val="21"/>
                      <w:lang w:val="zh-CN"/>
                    </w:rPr>
                  </w:pPr>
                  <w:r>
                    <w:rPr>
                      <w:rFonts w:ascii="Times New Roman" w:hAnsi="Times New Roman"/>
                      <w:bCs/>
                      <w:szCs w:val="21"/>
                      <w:lang w:val="zh-CN"/>
                    </w:rPr>
                    <w:t>声环境功能区类别</w:t>
                  </w:r>
                </w:p>
              </w:tc>
              <w:tc>
                <w:tcPr>
                  <w:tcW w:w="2623" w:type="dxa"/>
                  <w:vAlign w:val="center"/>
                </w:tcPr>
                <w:p w14:paraId="34FCE04C">
                  <w:pPr>
                    <w:autoSpaceDE w:val="0"/>
                    <w:autoSpaceDN w:val="0"/>
                    <w:adjustRightInd w:val="0"/>
                    <w:jc w:val="center"/>
                    <w:rPr>
                      <w:rFonts w:ascii="Times New Roman" w:hAnsi="Times New Roman"/>
                      <w:bCs/>
                      <w:szCs w:val="21"/>
                      <w:lang w:val="zh-CN"/>
                    </w:rPr>
                  </w:pPr>
                  <w:r>
                    <w:rPr>
                      <w:rFonts w:ascii="Times New Roman" w:hAnsi="Times New Roman"/>
                      <w:bCs/>
                      <w:szCs w:val="21"/>
                      <w:lang w:val="zh-CN"/>
                    </w:rPr>
                    <w:t>昼间</w:t>
                  </w:r>
                </w:p>
              </w:tc>
              <w:tc>
                <w:tcPr>
                  <w:tcW w:w="2161" w:type="dxa"/>
                  <w:vAlign w:val="center"/>
                </w:tcPr>
                <w:p w14:paraId="6435A6AA">
                  <w:pPr>
                    <w:autoSpaceDE w:val="0"/>
                    <w:autoSpaceDN w:val="0"/>
                    <w:adjustRightInd w:val="0"/>
                    <w:jc w:val="center"/>
                    <w:rPr>
                      <w:rFonts w:ascii="Times New Roman" w:hAnsi="Times New Roman"/>
                      <w:bCs/>
                      <w:szCs w:val="21"/>
                      <w:lang w:val="zh-CN"/>
                    </w:rPr>
                  </w:pPr>
                  <w:r>
                    <w:rPr>
                      <w:rFonts w:ascii="Times New Roman" w:hAnsi="Times New Roman"/>
                      <w:bCs/>
                      <w:szCs w:val="21"/>
                      <w:lang w:val="zh-CN"/>
                    </w:rPr>
                    <w:t>夜间</w:t>
                  </w:r>
                </w:p>
              </w:tc>
            </w:tr>
            <w:tr w14:paraId="641402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05" w:type="dxa"/>
                  <w:vAlign w:val="center"/>
                </w:tcPr>
                <w:p w14:paraId="503F6C04">
                  <w:pPr>
                    <w:autoSpaceDE w:val="0"/>
                    <w:autoSpaceDN w:val="0"/>
                    <w:adjustRightInd w:val="0"/>
                    <w:jc w:val="center"/>
                    <w:rPr>
                      <w:rFonts w:ascii="Times New Roman" w:hAnsi="Times New Roman"/>
                      <w:bCs/>
                      <w:szCs w:val="21"/>
                      <w:lang w:val="zh-CN"/>
                    </w:rPr>
                  </w:pPr>
                  <w:r>
                    <w:rPr>
                      <w:rFonts w:ascii="Times New Roman" w:hAnsi="Times New Roman"/>
                      <w:bCs/>
                      <w:szCs w:val="21"/>
                    </w:rPr>
                    <w:t>3</w:t>
                  </w:r>
                  <w:r>
                    <w:rPr>
                      <w:rFonts w:ascii="Times New Roman" w:hAnsi="Times New Roman"/>
                      <w:bCs/>
                      <w:szCs w:val="21"/>
                      <w:lang w:val="zh-CN"/>
                    </w:rPr>
                    <w:t>类</w:t>
                  </w:r>
                </w:p>
              </w:tc>
              <w:tc>
                <w:tcPr>
                  <w:tcW w:w="2623" w:type="dxa"/>
                  <w:vAlign w:val="center"/>
                </w:tcPr>
                <w:p w14:paraId="2C1FAC4C">
                  <w:pPr>
                    <w:autoSpaceDE w:val="0"/>
                    <w:autoSpaceDN w:val="0"/>
                    <w:adjustRightInd w:val="0"/>
                    <w:jc w:val="center"/>
                    <w:rPr>
                      <w:rFonts w:ascii="Times New Roman" w:hAnsi="Times New Roman"/>
                      <w:bCs/>
                      <w:szCs w:val="21"/>
                      <w:lang w:val="zh-CN"/>
                    </w:rPr>
                  </w:pPr>
                  <w:r>
                    <w:rPr>
                      <w:rFonts w:ascii="Times New Roman" w:hAnsi="Times New Roman"/>
                      <w:bCs/>
                      <w:szCs w:val="21"/>
                      <w:lang w:val="zh-CN"/>
                    </w:rPr>
                    <w:t>6</w:t>
                  </w:r>
                  <w:r>
                    <w:rPr>
                      <w:rFonts w:ascii="Times New Roman" w:hAnsi="Times New Roman"/>
                      <w:bCs/>
                      <w:szCs w:val="21"/>
                    </w:rPr>
                    <w:t>5</w:t>
                  </w:r>
                </w:p>
              </w:tc>
              <w:tc>
                <w:tcPr>
                  <w:tcW w:w="2161" w:type="dxa"/>
                  <w:vAlign w:val="center"/>
                </w:tcPr>
                <w:p w14:paraId="5621A717">
                  <w:pPr>
                    <w:autoSpaceDE w:val="0"/>
                    <w:autoSpaceDN w:val="0"/>
                    <w:adjustRightInd w:val="0"/>
                    <w:jc w:val="center"/>
                    <w:rPr>
                      <w:rFonts w:ascii="Times New Roman" w:hAnsi="Times New Roman"/>
                      <w:bCs/>
                      <w:szCs w:val="21"/>
                      <w:lang w:val="zh-CN"/>
                    </w:rPr>
                  </w:pPr>
                  <w:r>
                    <w:rPr>
                      <w:rFonts w:ascii="Times New Roman" w:hAnsi="Times New Roman"/>
                      <w:bCs/>
                      <w:szCs w:val="21"/>
                      <w:lang w:val="zh-CN"/>
                    </w:rPr>
                    <w:t>5</w:t>
                  </w:r>
                  <w:r>
                    <w:rPr>
                      <w:rFonts w:ascii="Times New Roman" w:hAnsi="Times New Roman"/>
                      <w:bCs/>
                      <w:szCs w:val="21"/>
                    </w:rPr>
                    <w:t>5</w:t>
                  </w:r>
                </w:p>
              </w:tc>
            </w:tr>
            <w:tr w14:paraId="5413F0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05" w:type="dxa"/>
                  <w:vAlign w:val="center"/>
                </w:tcPr>
                <w:p w14:paraId="6EA2B7F4">
                  <w:pPr>
                    <w:autoSpaceDE w:val="0"/>
                    <w:autoSpaceDN w:val="0"/>
                    <w:adjustRightInd w:val="0"/>
                    <w:jc w:val="center"/>
                    <w:rPr>
                      <w:rFonts w:ascii="Times New Roman" w:hAnsi="Times New Roman"/>
                      <w:bCs/>
                      <w:szCs w:val="21"/>
                    </w:rPr>
                  </w:pPr>
                  <w:r>
                    <w:rPr>
                      <w:rFonts w:ascii="Times New Roman" w:hAnsi="Times New Roman"/>
                      <w:bCs/>
                      <w:szCs w:val="21"/>
                    </w:rPr>
                    <w:t>4类</w:t>
                  </w:r>
                </w:p>
              </w:tc>
              <w:tc>
                <w:tcPr>
                  <w:tcW w:w="2623" w:type="dxa"/>
                  <w:vAlign w:val="center"/>
                </w:tcPr>
                <w:p w14:paraId="7377F12A">
                  <w:pPr>
                    <w:autoSpaceDE w:val="0"/>
                    <w:autoSpaceDN w:val="0"/>
                    <w:adjustRightInd w:val="0"/>
                    <w:jc w:val="center"/>
                    <w:rPr>
                      <w:rFonts w:ascii="Times New Roman" w:hAnsi="Times New Roman"/>
                      <w:bCs/>
                      <w:szCs w:val="21"/>
                      <w:lang w:val="zh-CN"/>
                    </w:rPr>
                  </w:pPr>
                  <w:r>
                    <w:rPr>
                      <w:rFonts w:ascii="Times New Roman" w:hAnsi="Times New Roman"/>
                      <w:bCs/>
                      <w:szCs w:val="21"/>
                      <w:lang w:val="zh-CN"/>
                    </w:rPr>
                    <w:t>70</w:t>
                  </w:r>
                </w:p>
              </w:tc>
              <w:tc>
                <w:tcPr>
                  <w:tcW w:w="2161" w:type="dxa"/>
                  <w:vAlign w:val="center"/>
                </w:tcPr>
                <w:p w14:paraId="5B6BDD41">
                  <w:pPr>
                    <w:autoSpaceDE w:val="0"/>
                    <w:autoSpaceDN w:val="0"/>
                    <w:adjustRightInd w:val="0"/>
                    <w:jc w:val="center"/>
                    <w:rPr>
                      <w:rFonts w:ascii="Times New Roman" w:hAnsi="Times New Roman"/>
                      <w:bCs/>
                      <w:szCs w:val="21"/>
                      <w:lang w:val="zh-CN"/>
                    </w:rPr>
                  </w:pPr>
                  <w:r>
                    <w:rPr>
                      <w:rFonts w:ascii="Times New Roman" w:hAnsi="Times New Roman"/>
                      <w:bCs/>
                      <w:szCs w:val="21"/>
                      <w:lang w:val="zh-CN"/>
                    </w:rPr>
                    <w:t>55</w:t>
                  </w:r>
                </w:p>
              </w:tc>
            </w:tr>
          </w:tbl>
          <w:p w14:paraId="1BF7F866">
            <w:pPr>
              <w:adjustRightInd w:val="0"/>
              <w:snapToGrid w:val="0"/>
              <w:spacing w:before="120" w:beforeLines="50" w:line="360" w:lineRule="auto"/>
              <w:jc w:val="left"/>
              <w:rPr>
                <w:b/>
                <w:bCs/>
                <w:kern w:val="0"/>
                <w:sz w:val="24"/>
              </w:rPr>
            </w:pPr>
            <w:r>
              <w:rPr>
                <w:b/>
                <w:bCs/>
                <w:kern w:val="0"/>
                <w:sz w:val="24"/>
              </w:rPr>
              <w:t>4、固废排放标准</w:t>
            </w:r>
          </w:p>
          <w:p w14:paraId="13011CC7">
            <w:pPr>
              <w:adjustRightInd w:val="0"/>
              <w:snapToGrid w:val="0"/>
              <w:spacing w:line="360" w:lineRule="auto"/>
              <w:ind w:firstLine="480" w:firstLineChars="200"/>
              <w:rPr>
                <w:color w:val="0000FF"/>
                <w:kern w:val="0"/>
                <w:szCs w:val="21"/>
              </w:rPr>
            </w:pPr>
            <w:r>
              <w:rPr>
                <w:rFonts w:hint="eastAsia"/>
                <w:kern w:val="0"/>
                <w:sz w:val="24"/>
              </w:rPr>
              <w:t>项目一般固废执行《一般工业固体废物贮存和填埋污染物控制标准》（GB18599-2020）和《中华人民共和国固体废物污染环境防治法》中的有关规定。危险废物贮存执行《危险废物贮存污染控制标准》（GB18597-2023）中的有关规定。</w:t>
            </w:r>
          </w:p>
        </w:tc>
      </w:tr>
      <w:tr w14:paraId="0318A8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357" w:type="pct"/>
            <w:tcBorders>
              <w:tl2br w:val="nil"/>
              <w:tr2bl w:val="nil"/>
            </w:tcBorders>
            <w:vAlign w:val="center"/>
          </w:tcPr>
          <w:p w14:paraId="698F93A0">
            <w:pPr>
              <w:adjustRightInd w:val="0"/>
              <w:snapToGrid w:val="0"/>
              <w:jc w:val="center"/>
              <w:rPr>
                <w:kern w:val="0"/>
                <w:sz w:val="24"/>
              </w:rPr>
            </w:pPr>
            <w:r>
              <w:rPr>
                <w:kern w:val="0"/>
                <w:sz w:val="24"/>
              </w:rPr>
              <w:t>总量</w:t>
            </w:r>
          </w:p>
          <w:p w14:paraId="441F5890">
            <w:pPr>
              <w:adjustRightInd w:val="0"/>
              <w:snapToGrid w:val="0"/>
              <w:jc w:val="center"/>
              <w:rPr>
                <w:kern w:val="0"/>
                <w:sz w:val="24"/>
              </w:rPr>
            </w:pPr>
            <w:r>
              <w:rPr>
                <w:kern w:val="0"/>
                <w:sz w:val="24"/>
              </w:rPr>
              <w:t>控制</w:t>
            </w:r>
          </w:p>
          <w:p w14:paraId="01955453">
            <w:pPr>
              <w:adjustRightInd w:val="0"/>
              <w:snapToGrid w:val="0"/>
              <w:jc w:val="center"/>
              <w:rPr>
                <w:kern w:val="0"/>
                <w:sz w:val="24"/>
              </w:rPr>
            </w:pPr>
            <w:r>
              <w:rPr>
                <w:kern w:val="0"/>
                <w:sz w:val="24"/>
              </w:rPr>
              <w:t>指标</w:t>
            </w:r>
          </w:p>
        </w:tc>
        <w:tc>
          <w:tcPr>
            <w:tcW w:w="4643" w:type="pct"/>
            <w:tcBorders>
              <w:tl2br w:val="nil"/>
              <w:tr2bl w:val="nil"/>
            </w:tcBorders>
            <w:vAlign w:val="center"/>
          </w:tcPr>
          <w:p w14:paraId="7E93FFE0">
            <w:pPr>
              <w:pStyle w:val="4"/>
              <w:rPr>
                <w:rFonts w:hint="eastAsia"/>
                <w:color w:val="auto"/>
                <w:kern w:val="0"/>
                <w:sz w:val="24"/>
                <w:szCs w:val="24"/>
              </w:rPr>
            </w:pPr>
            <w:r>
              <w:rPr>
                <w:rFonts w:hint="eastAsia"/>
                <w:color w:val="auto"/>
                <w:kern w:val="0"/>
                <w:sz w:val="24"/>
                <w:szCs w:val="24"/>
              </w:rPr>
              <w:t>根据生态环境部印发《关于做好“十四五”主要污染物总量减排工作的通知》办综合函(2021)323号)，总量控制指标主要包括COD、NH3-N、NOx、VOCs。根据《安徽省环保厅关于进一步加强建设项目新增大气主要污染物总量指标管理工作的通知》(皖环发[2017]19号)文件的要求“上一年度PM2.5不达标的城市，新增的SO2、NOx、VOCs指标均需执行“倍量替代”，上年度PM10不达标的城市，新增烟(粉)尘指标要执行“倍量替代”。本项目位于</w:t>
            </w:r>
            <w:r>
              <w:rPr>
                <w:rFonts w:hint="eastAsia"/>
                <w:color w:val="auto"/>
                <w:kern w:val="0"/>
                <w:sz w:val="24"/>
                <w:szCs w:val="24"/>
                <w:lang w:val="en-US" w:eastAsia="zh-CN"/>
              </w:rPr>
              <w:t>宿州市埇桥区</w:t>
            </w:r>
            <w:r>
              <w:rPr>
                <w:rFonts w:hint="eastAsia"/>
                <w:color w:val="auto"/>
                <w:kern w:val="0"/>
                <w:sz w:val="24"/>
                <w:szCs w:val="24"/>
              </w:rPr>
              <w:t>，根据大气环境达标判定结果，项目所在区域为不达标区。</w:t>
            </w:r>
          </w:p>
          <w:p w14:paraId="0927883F">
            <w:pPr>
              <w:pStyle w:val="4"/>
              <w:rPr>
                <w:rFonts w:hint="eastAsia"/>
                <w:color w:val="auto"/>
                <w:kern w:val="0"/>
                <w:sz w:val="24"/>
                <w:szCs w:val="24"/>
              </w:rPr>
            </w:pPr>
            <w:r>
              <w:rPr>
                <w:rFonts w:hint="eastAsia"/>
                <w:color w:val="auto"/>
                <w:kern w:val="0"/>
                <w:sz w:val="24"/>
                <w:szCs w:val="24"/>
              </w:rPr>
              <w:t>结合本项目特征，本项目需申请总量为：</w:t>
            </w:r>
          </w:p>
          <w:p w14:paraId="77B69F76">
            <w:pPr>
              <w:pStyle w:val="4"/>
              <w:rPr>
                <w:rFonts w:hint="eastAsia"/>
                <w:color w:val="auto"/>
                <w:kern w:val="0"/>
                <w:sz w:val="24"/>
                <w:szCs w:val="24"/>
              </w:rPr>
            </w:pPr>
            <w:r>
              <w:rPr>
                <w:rFonts w:hint="eastAsia"/>
                <w:color w:val="auto"/>
                <w:kern w:val="0"/>
                <w:sz w:val="24"/>
                <w:szCs w:val="24"/>
              </w:rPr>
              <w:t>烟（粉）尘：0.</w:t>
            </w:r>
            <w:r>
              <w:rPr>
                <w:rFonts w:hint="eastAsia"/>
                <w:color w:val="auto"/>
                <w:kern w:val="0"/>
                <w:sz w:val="24"/>
                <w:szCs w:val="24"/>
                <w:lang w:val="en-US" w:eastAsia="zh-CN"/>
              </w:rPr>
              <w:t>00054</w:t>
            </w:r>
            <w:r>
              <w:rPr>
                <w:rFonts w:hint="eastAsia"/>
                <w:color w:val="auto"/>
                <w:kern w:val="0"/>
                <w:sz w:val="24"/>
                <w:szCs w:val="24"/>
              </w:rPr>
              <w:t>t/a；</w:t>
            </w:r>
          </w:p>
          <w:p w14:paraId="59117D53">
            <w:pPr>
              <w:pStyle w:val="4"/>
              <w:rPr>
                <w:color w:val="auto"/>
                <w:highlight w:val="yellow"/>
              </w:rPr>
            </w:pPr>
            <w:r>
              <w:rPr>
                <w:rFonts w:hint="eastAsia"/>
                <w:color w:val="auto"/>
                <w:kern w:val="0"/>
                <w:sz w:val="24"/>
                <w:szCs w:val="24"/>
              </w:rPr>
              <w:t>非甲烷总烃：0.</w:t>
            </w:r>
            <w:r>
              <w:rPr>
                <w:rFonts w:hint="eastAsia"/>
                <w:color w:val="auto"/>
                <w:kern w:val="0"/>
                <w:sz w:val="24"/>
                <w:szCs w:val="24"/>
                <w:lang w:val="en-US" w:eastAsia="zh-CN"/>
              </w:rPr>
              <w:t>088</w:t>
            </w:r>
            <w:r>
              <w:rPr>
                <w:rFonts w:hint="eastAsia"/>
                <w:color w:val="auto"/>
                <w:kern w:val="0"/>
                <w:sz w:val="24"/>
                <w:szCs w:val="24"/>
              </w:rPr>
              <w:t>t/a。</w:t>
            </w:r>
          </w:p>
          <w:p w14:paraId="11B41C35">
            <w:pPr>
              <w:rPr>
                <w:color w:val="auto"/>
              </w:rPr>
            </w:pPr>
          </w:p>
          <w:p w14:paraId="45AACF9B">
            <w:pPr>
              <w:pStyle w:val="12"/>
            </w:pPr>
          </w:p>
          <w:p w14:paraId="44EB498C"/>
          <w:p w14:paraId="11714A57">
            <w:pPr>
              <w:pStyle w:val="12"/>
            </w:pPr>
          </w:p>
          <w:p w14:paraId="423DB436">
            <w:pPr>
              <w:pStyle w:val="12"/>
            </w:pPr>
          </w:p>
          <w:p w14:paraId="543755D4"/>
          <w:p w14:paraId="69E49A87"/>
          <w:p w14:paraId="02091832"/>
          <w:p w14:paraId="31F1DFE6">
            <w:pPr>
              <w:pStyle w:val="12"/>
            </w:pPr>
          </w:p>
          <w:p w14:paraId="27275B11"/>
          <w:p w14:paraId="2BDD63DC"/>
          <w:p w14:paraId="674CA9BD">
            <w:pPr>
              <w:pStyle w:val="2"/>
              <w:rPr>
                <w:color w:val="auto"/>
                <w:kern w:val="0"/>
              </w:rPr>
            </w:pPr>
          </w:p>
        </w:tc>
      </w:tr>
    </w:tbl>
    <w:p w14:paraId="14DC38F6">
      <w:pPr>
        <w:pStyle w:val="26"/>
        <w:snapToGrid w:val="0"/>
        <w:spacing w:before="0" w:beforeAutospacing="0" w:after="0" w:afterAutospacing="0" w:line="360" w:lineRule="auto"/>
        <w:jc w:val="center"/>
        <w:outlineLvl w:val="0"/>
        <w:rPr>
          <w:rFonts w:ascii="Times New Roman" w:hAnsi="Times New Roman"/>
          <w:b/>
          <w:bCs/>
          <w:snapToGrid w:val="0"/>
          <w:sz w:val="30"/>
          <w:szCs w:val="30"/>
        </w:rPr>
      </w:pPr>
      <w:r>
        <w:rPr>
          <w:rFonts w:ascii="Times New Roman" w:hAnsi="Times New Roman"/>
          <w:snapToGrid w:val="0"/>
          <w:color w:val="0000FF"/>
          <w:sz w:val="36"/>
          <w:szCs w:val="36"/>
        </w:rPr>
        <w:br w:type="page"/>
      </w:r>
      <w:r>
        <w:rPr>
          <w:rFonts w:ascii="Times New Roman" w:hAnsi="Times New Roman"/>
          <w:b/>
          <w:bCs/>
          <w:snapToGrid w:val="0"/>
          <w:sz w:val="30"/>
          <w:szCs w:val="30"/>
        </w:rPr>
        <w:t>四、主要环境影响和保护措施</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21"/>
        <w:gridCol w:w="8685"/>
      </w:tblGrid>
      <w:tr w14:paraId="117871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39" w:hRule="atLeast"/>
          <w:jc w:val="center"/>
        </w:trPr>
        <w:tc>
          <w:tcPr>
            <w:tcW w:w="283" w:type="pct"/>
            <w:tcBorders>
              <w:tl2br w:val="nil"/>
              <w:tr2bl w:val="nil"/>
            </w:tcBorders>
            <w:tcMar>
              <w:left w:w="28" w:type="dxa"/>
              <w:right w:w="28" w:type="dxa"/>
            </w:tcMar>
            <w:vAlign w:val="center"/>
          </w:tcPr>
          <w:p w14:paraId="493D88F5">
            <w:pPr>
              <w:pStyle w:val="26"/>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施工</w:t>
            </w:r>
          </w:p>
          <w:p w14:paraId="58BC0C66">
            <w:pPr>
              <w:pStyle w:val="26"/>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期环</w:t>
            </w:r>
          </w:p>
          <w:p w14:paraId="41348663">
            <w:pPr>
              <w:pStyle w:val="26"/>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境保</w:t>
            </w:r>
          </w:p>
          <w:p w14:paraId="17145BEF">
            <w:pPr>
              <w:pStyle w:val="26"/>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护措</w:t>
            </w:r>
          </w:p>
          <w:p w14:paraId="03179CBF">
            <w:pPr>
              <w:pStyle w:val="26"/>
              <w:adjustRightInd w:val="0"/>
              <w:snapToGrid w:val="0"/>
              <w:spacing w:before="0" w:beforeAutospacing="0" w:after="0" w:afterAutospacing="0"/>
              <w:jc w:val="center"/>
              <w:rPr>
                <w:rFonts w:ascii="Times New Roman" w:hAnsi="Times New Roman"/>
                <w:bCs/>
                <w:kern w:val="2"/>
                <w:sz w:val="21"/>
                <w:szCs w:val="21"/>
              </w:rPr>
            </w:pPr>
            <w:r>
              <w:rPr>
                <w:rFonts w:ascii="Times New Roman" w:hAnsi="Times New Roman"/>
                <w:kern w:val="2"/>
                <w:szCs w:val="24"/>
              </w:rPr>
              <w:t>施</w:t>
            </w:r>
          </w:p>
        </w:tc>
        <w:tc>
          <w:tcPr>
            <w:tcW w:w="4717" w:type="pct"/>
            <w:tcBorders>
              <w:tl2br w:val="nil"/>
              <w:tr2bl w:val="nil"/>
            </w:tcBorders>
            <w:vAlign w:val="center"/>
          </w:tcPr>
          <w:p w14:paraId="23F6ACDB">
            <w:pPr>
              <w:spacing w:line="360" w:lineRule="auto"/>
              <w:ind w:firstLine="480" w:firstLineChars="200"/>
              <w:rPr>
                <w:bCs/>
                <w:color w:val="000000"/>
                <w:sz w:val="24"/>
              </w:rPr>
            </w:pPr>
            <w:r>
              <w:rPr>
                <w:color w:val="000000"/>
                <w:sz w:val="24"/>
              </w:rPr>
              <w:t>本项目属于未批先建，施工期为环保设备等安装，施工期不产生废水、废气，对环境影响主要为噪声影响</w:t>
            </w:r>
            <w:r>
              <w:rPr>
                <w:bCs/>
                <w:color w:val="000000"/>
                <w:sz w:val="24"/>
              </w:rPr>
              <w:t>。</w:t>
            </w:r>
            <w:r>
              <w:rPr>
                <w:snapToGrid w:val="0"/>
                <w:color w:val="000000"/>
                <w:sz w:val="24"/>
              </w:rPr>
              <w:t>噪声主要指一些零星的敲打声、吆喝声，多为瞬间噪声。施工单位必须严格遵守《中华人民共和国环境噪声污染防治法》中的有关建筑施工噪声污染防治的条款：在城市市区内向周围生活环境排放建筑施工噪声的，应当符合国家规定的建筑施工场界环境噪声排放标准，即《建筑施工场界环境噪声排放标准》（</w:t>
            </w:r>
            <w:r>
              <w:rPr>
                <w:bCs/>
                <w:color w:val="000000"/>
                <w:sz w:val="24"/>
              </w:rPr>
              <w:t>GB12523-2011</w:t>
            </w:r>
            <w:r>
              <w:rPr>
                <w:snapToGrid w:val="0"/>
                <w:color w:val="000000"/>
                <w:sz w:val="24"/>
              </w:rPr>
              <w:t>）；选用低噪声的先进施工机具和工艺，合理安排安装时段，降低和减少噪声排放。</w:t>
            </w:r>
          </w:p>
          <w:p w14:paraId="0646AA43">
            <w:pPr>
              <w:adjustRightInd w:val="0"/>
              <w:snapToGrid w:val="0"/>
              <w:ind w:firstLine="380" w:firstLineChars="200"/>
              <w:rPr>
                <w:bCs/>
                <w:spacing w:val="-10"/>
                <w:szCs w:val="21"/>
              </w:rPr>
            </w:pPr>
          </w:p>
          <w:p w14:paraId="5FFE8E33">
            <w:pPr>
              <w:adjustRightInd w:val="0"/>
              <w:snapToGrid w:val="0"/>
              <w:ind w:firstLine="380" w:firstLineChars="200"/>
              <w:rPr>
                <w:bCs/>
                <w:spacing w:val="-10"/>
                <w:szCs w:val="21"/>
              </w:rPr>
            </w:pPr>
          </w:p>
          <w:p w14:paraId="43A22DC4">
            <w:pPr>
              <w:adjustRightInd w:val="0"/>
              <w:snapToGrid w:val="0"/>
              <w:ind w:firstLine="380" w:firstLineChars="200"/>
              <w:rPr>
                <w:bCs/>
                <w:spacing w:val="-10"/>
                <w:szCs w:val="21"/>
              </w:rPr>
            </w:pPr>
          </w:p>
          <w:p w14:paraId="3FC29FFB">
            <w:pPr>
              <w:adjustRightInd w:val="0"/>
              <w:snapToGrid w:val="0"/>
              <w:ind w:firstLine="380" w:firstLineChars="200"/>
              <w:rPr>
                <w:bCs/>
                <w:spacing w:val="-10"/>
                <w:szCs w:val="21"/>
              </w:rPr>
            </w:pPr>
          </w:p>
          <w:p w14:paraId="2880299D">
            <w:pPr>
              <w:adjustRightInd w:val="0"/>
              <w:snapToGrid w:val="0"/>
              <w:ind w:firstLine="380" w:firstLineChars="200"/>
              <w:rPr>
                <w:bCs/>
                <w:spacing w:val="-10"/>
                <w:szCs w:val="21"/>
              </w:rPr>
            </w:pPr>
          </w:p>
          <w:p w14:paraId="57C9462C">
            <w:pPr>
              <w:adjustRightInd w:val="0"/>
              <w:snapToGrid w:val="0"/>
              <w:ind w:firstLine="380" w:firstLineChars="200"/>
              <w:rPr>
                <w:bCs/>
                <w:spacing w:val="-10"/>
                <w:szCs w:val="21"/>
              </w:rPr>
            </w:pPr>
          </w:p>
          <w:p w14:paraId="5F95F387">
            <w:pPr>
              <w:adjustRightInd w:val="0"/>
              <w:snapToGrid w:val="0"/>
              <w:ind w:firstLine="380" w:firstLineChars="200"/>
              <w:rPr>
                <w:bCs/>
                <w:spacing w:val="-10"/>
                <w:szCs w:val="21"/>
              </w:rPr>
            </w:pPr>
          </w:p>
          <w:p w14:paraId="16AC7150">
            <w:pPr>
              <w:adjustRightInd w:val="0"/>
              <w:snapToGrid w:val="0"/>
              <w:ind w:firstLine="380" w:firstLineChars="200"/>
              <w:rPr>
                <w:bCs/>
                <w:spacing w:val="-10"/>
                <w:szCs w:val="21"/>
              </w:rPr>
            </w:pPr>
          </w:p>
          <w:p w14:paraId="7083D9C9">
            <w:pPr>
              <w:adjustRightInd w:val="0"/>
              <w:snapToGrid w:val="0"/>
              <w:ind w:firstLine="380" w:firstLineChars="200"/>
              <w:rPr>
                <w:bCs/>
                <w:spacing w:val="-10"/>
                <w:szCs w:val="21"/>
              </w:rPr>
            </w:pPr>
          </w:p>
          <w:p w14:paraId="0D46D80D">
            <w:pPr>
              <w:adjustRightInd w:val="0"/>
              <w:snapToGrid w:val="0"/>
              <w:ind w:firstLine="380" w:firstLineChars="200"/>
              <w:rPr>
                <w:bCs/>
                <w:spacing w:val="-10"/>
                <w:szCs w:val="21"/>
              </w:rPr>
            </w:pPr>
          </w:p>
          <w:p w14:paraId="71DB3114">
            <w:pPr>
              <w:adjustRightInd w:val="0"/>
              <w:snapToGrid w:val="0"/>
              <w:ind w:firstLine="380" w:firstLineChars="200"/>
              <w:rPr>
                <w:bCs/>
                <w:spacing w:val="-10"/>
                <w:szCs w:val="21"/>
              </w:rPr>
            </w:pPr>
          </w:p>
          <w:p w14:paraId="00F6BB9D">
            <w:pPr>
              <w:adjustRightInd w:val="0"/>
              <w:snapToGrid w:val="0"/>
              <w:ind w:firstLine="380" w:firstLineChars="200"/>
              <w:rPr>
                <w:bCs/>
                <w:spacing w:val="-10"/>
                <w:szCs w:val="21"/>
              </w:rPr>
            </w:pPr>
          </w:p>
          <w:p w14:paraId="14882684">
            <w:pPr>
              <w:adjustRightInd w:val="0"/>
              <w:snapToGrid w:val="0"/>
              <w:ind w:firstLine="380" w:firstLineChars="200"/>
              <w:rPr>
                <w:bCs/>
                <w:spacing w:val="-10"/>
                <w:szCs w:val="21"/>
              </w:rPr>
            </w:pPr>
          </w:p>
          <w:p w14:paraId="463A5D70">
            <w:pPr>
              <w:adjustRightInd w:val="0"/>
              <w:snapToGrid w:val="0"/>
              <w:ind w:firstLine="380" w:firstLineChars="200"/>
              <w:rPr>
                <w:bCs/>
                <w:spacing w:val="-10"/>
                <w:szCs w:val="21"/>
              </w:rPr>
            </w:pPr>
          </w:p>
          <w:p w14:paraId="481F5B9B">
            <w:pPr>
              <w:adjustRightInd w:val="0"/>
              <w:snapToGrid w:val="0"/>
              <w:ind w:firstLine="380" w:firstLineChars="200"/>
              <w:rPr>
                <w:bCs/>
                <w:spacing w:val="-10"/>
                <w:szCs w:val="21"/>
              </w:rPr>
            </w:pPr>
          </w:p>
          <w:p w14:paraId="760A173B">
            <w:pPr>
              <w:adjustRightInd w:val="0"/>
              <w:snapToGrid w:val="0"/>
              <w:ind w:firstLine="380" w:firstLineChars="200"/>
              <w:rPr>
                <w:bCs/>
                <w:spacing w:val="-10"/>
                <w:szCs w:val="21"/>
              </w:rPr>
            </w:pPr>
          </w:p>
          <w:p w14:paraId="7C2A2F09">
            <w:pPr>
              <w:adjustRightInd w:val="0"/>
              <w:snapToGrid w:val="0"/>
              <w:ind w:firstLine="380" w:firstLineChars="200"/>
              <w:rPr>
                <w:bCs/>
                <w:spacing w:val="-10"/>
                <w:szCs w:val="21"/>
              </w:rPr>
            </w:pPr>
          </w:p>
          <w:p w14:paraId="795B6F2B">
            <w:pPr>
              <w:adjustRightInd w:val="0"/>
              <w:snapToGrid w:val="0"/>
              <w:ind w:firstLine="380" w:firstLineChars="200"/>
              <w:rPr>
                <w:bCs/>
                <w:spacing w:val="-10"/>
                <w:szCs w:val="21"/>
              </w:rPr>
            </w:pPr>
          </w:p>
          <w:p w14:paraId="43C4AB0C">
            <w:pPr>
              <w:adjustRightInd w:val="0"/>
              <w:snapToGrid w:val="0"/>
              <w:ind w:firstLine="380" w:firstLineChars="200"/>
              <w:rPr>
                <w:bCs/>
                <w:spacing w:val="-10"/>
                <w:szCs w:val="21"/>
              </w:rPr>
            </w:pPr>
          </w:p>
          <w:p w14:paraId="6AE2D0E3">
            <w:pPr>
              <w:adjustRightInd w:val="0"/>
              <w:snapToGrid w:val="0"/>
              <w:ind w:firstLine="380" w:firstLineChars="200"/>
              <w:rPr>
                <w:bCs/>
                <w:spacing w:val="-10"/>
                <w:szCs w:val="21"/>
              </w:rPr>
            </w:pPr>
          </w:p>
          <w:p w14:paraId="1A747307">
            <w:pPr>
              <w:adjustRightInd w:val="0"/>
              <w:snapToGrid w:val="0"/>
              <w:ind w:firstLine="380" w:firstLineChars="200"/>
              <w:rPr>
                <w:bCs/>
                <w:spacing w:val="-10"/>
                <w:szCs w:val="21"/>
              </w:rPr>
            </w:pPr>
          </w:p>
          <w:p w14:paraId="006D9004">
            <w:pPr>
              <w:adjustRightInd w:val="0"/>
              <w:snapToGrid w:val="0"/>
              <w:ind w:firstLine="380" w:firstLineChars="200"/>
              <w:rPr>
                <w:bCs/>
                <w:spacing w:val="-10"/>
                <w:szCs w:val="21"/>
              </w:rPr>
            </w:pPr>
          </w:p>
          <w:p w14:paraId="063A8CF9">
            <w:pPr>
              <w:adjustRightInd w:val="0"/>
              <w:snapToGrid w:val="0"/>
              <w:ind w:firstLine="380" w:firstLineChars="200"/>
              <w:rPr>
                <w:bCs/>
                <w:spacing w:val="-10"/>
                <w:szCs w:val="21"/>
              </w:rPr>
            </w:pPr>
          </w:p>
          <w:p w14:paraId="0F3EE3AF">
            <w:pPr>
              <w:adjustRightInd w:val="0"/>
              <w:snapToGrid w:val="0"/>
              <w:ind w:firstLine="380" w:firstLineChars="200"/>
              <w:rPr>
                <w:bCs/>
                <w:spacing w:val="-10"/>
                <w:szCs w:val="21"/>
              </w:rPr>
            </w:pPr>
          </w:p>
          <w:p w14:paraId="7AB16A86">
            <w:pPr>
              <w:adjustRightInd w:val="0"/>
              <w:snapToGrid w:val="0"/>
              <w:ind w:firstLine="380" w:firstLineChars="200"/>
              <w:rPr>
                <w:bCs/>
                <w:spacing w:val="-10"/>
                <w:szCs w:val="21"/>
              </w:rPr>
            </w:pPr>
          </w:p>
          <w:p w14:paraId="03508F39">
            <w:pPr>
              <w:adjustRightInd w:val="0"/>
              <w:snapToGrid w:val="0"/>
              <w:ind w:firstLine="380" w:firstLineChars="200"/>
              <w:rPr>
                <w:bCs/>
                <w:spacing w:val="-10"/>
                <w:szCs w:val="21"/>
              </w:rPr>
            </w:pPr>
          </w:p>
          <w:p w14:paraId="44934304">
            <w:pPr>
              <w:adjustRightInd w:val="0"/>
              <w:snapToGrid w:val="0"/>
              <w:ind w:firstLine="380" w:firstLineChars="200"/>
              <w:rPr>
                <w:bCs/>
                <w:spacing w:val="-10"/>
                <w:szCs w:val="21"/>
              </w:rPr>
            </w:pPr>
          </w:p>
          <w:p w14:paraId="607ECAF8">
            <w:pPr>
              <w:adjustRightInd w:val="0"/>
              <w:snapToGrid w:val="0"/>
              <w:ind w:firstLine="380" w:firstLineChars="200"/>
              <w:rPr>
                <w:bCs/>
                <w:spacing w:val="-10"/>
                <w:szCs w:val="21"/>
              </w:rPr>
            </w:pPr>
          </w:p>
          <w:p w14:paraId="7B3D66C1">
            <w:pPr>
              <w:adjustRightInd w:val="0"/>
              <w:snapToGrid w:val="0"/>
              <w:ind w:firstLine="380" w:firstLineChars="200"/>
              <w:rPr>
                <w:bCs/>
                <w:spacing w:val="-10"/>
                <w:szCs w:val="21"/>
              </w:rPr>
            </w:pPr>
          </w:p>
          <w:p w14:paraId="19C6FF42">
            <w:pPr>
              <w:adjustRightInd w:val="0"/>
              <w:snapToGrid w:val="0"/>
              <w:rPr>
                <w:bCs/>
                <w:spacing w:val="-10"/>
                <w:szCs w:val="21"/>
              </w:rPr>
            </w:pPr>
          </w:p>
          <w:p w14:paraId="3920D911">
            <w:pPr>
              <w:rPr>
                <w:szCs w:val="21"/>
              </w:rPr>
            </w:pPr>
          </w:p>
          <w:p w14:paraId="39C07D07">
            <w:pPr>
              <w:rPr>
                <w:szCs w:val="21"/>
              </w:rPr>
            </w:pPr>
          </w:p>
          <w:p w14:paraId="460A3AA4">
            <w:pPr>
              <w:rPr>
                <w:szCs w:val="21"/>
              </w:rPr>
            </w:pPr>
          </w:p>
        </w:tc>
      </w:tr>
    </w:tbl>
    <w:p w14:paraId="08D811EF">
      <w:pPr>
        <w:pStyle w:val="26"/>
        <w:snapToGrid w:val="0"/>
        <w:spacing w:before="0" w:beforeAutospacing="0" w:after="0" w:afterAutospacing="0" w:line="360" w:lineRule="auto"/>
        <w:jc w:val="center"/>
        <w:outlineLvl w:val="0"/>
        <w:rPr>
          <w:rFonts w:ascii="Times New Roman" w:hAnsi="Times New Roman"/>
          <w:b/>
          <w:bCs/>
          <w:snapToGrid w:val="0"/>
          <w:sz w:val="30"/>
          <w:szCs w:val="30"/>
        </w:rPr>
        <w:sectPr>
          <w:pgSz w:w="11906" w:h="16838"/>
          <w:pgMar w:top="1440" w:right="1418" w:bottom="1440" w:left="1418" w:header="851" w:footer="851" w:gutter="0"/>
          <w:cols w:space="720" w:num="1"/>
          <w:docGrid w:linePitch="312" w:charSpace="0"/>
        </w:sectPr>
      </w:pPr>
    </w:p>
    <w:tbl>
      <w:tblPr>
        <w:tblStyle w:val="29"/>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80"/>
        <w:gridCol w:w="8528"/>
      </w:tblGrid>
      <w:tr w14:paraId="379093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30" w:hRule="atLeast"/>
        </w:trPr>
        <w:tc>
          <w:tcPr>
            <w:tcW w:w="480" w:type="dxa"/>
            <w:tcBorders>
              <w:tl2br w:val="nil"/>
              <w:tr2bl w:val="nil"/>
            </w:tcBorders>
            <w:vAlign w:val="center"/>
          </w:tcPr>
          <w:p w14:paraId="679DB340">
            <w:pPr>
              <w:adjustRightInd w:val="0"/>
              <w:snapToGrid w:val="0"/>
              <w:jc w:val="center"/>
              <w:rPr>
                <w:sz w:val="24"/>
              </w:rPr>
            </w:pPr>
            <w:r>
              <w:rPr>
                <w:sz w:val="24"/>
              </w:rPr>
              <w:t>运营</w:t>
            </w:r>
          </w:p>
          <w:p w14:paraId="27F28F18">
            <w:pPr>
              <w:adjustRightInd w:val="0"/>
              <w:snapToGrid w:val="0"/>
              <w:jc w:val="center"/>
              <w:rPr>
                <w:sz w:val="24"/>
              </w:rPr>
            </w:pPr>
            <w:r>
              <w:rPr>
                <w:sz w:val="24"/>
              </w:rPr>
              <w:t>期环</w:t>
            </w:r>
          </w:p>
          <w:p w14:paraId="1F685454">
            <w:pPr>
              <w:adjustRightInd w:val="0"/>
              <w:snapToGrid w:val="0"/>
              <w:jc w:val="center"/>
              <w:rPr>
                <w:sz w:val="24"/>
              </w:rPr>
            </w:pPr>
            <w:r>
              <w:rPr>
                <w:sz w:val="24"/>
              </w:rPr>
              <w:t>境影</w:t>
            </w:r>
          </w:p>
          <w:p w14:paraId="0077CE5F">
            <w:pPr>
              <w:adjustRightInd w:val="0"/>
              <w:snapToGrid w:val="0"/>
              <w:jc w:val="center"/>
              <w:rPr>
                <w:sz w:val="24"/>
              </w:rPr>
            </w:pPr>
            <w:r>
              <w:rPr>
                <w:sz w:val="24"/>
              </w:rPr>
              <w:t>响和</w:t>
            </w:r>
          </w:p>
          <w:p w14:paraId="0F34BA4D">
            <w:pPr>
              <w:adjustRightInd w:val="0"/>
              <w:snapToGrid w:val="0"/>
              <w:jc w:val="center"/>
              <w:rPr>
                <w:sz w:val="24"/>
              </w:rPr>
            </w:pPr>
            <w:r>
              <w:rPr>
                <w:sz w:val="24"/>
              </w:rPr>
              <w:t>保护</w:t>
            </w:r>
          </w:p>
          <w:p w14:paraId="74DBE0C1">
            <w:pPr>
              <w:pStyle w:val="2"/>
              <w:rPr>
                <w:color w:val="0000FF"/>
              </w:rPr>
            </w:pPr>
            <w:r>
              <w:rPr>
                <w:color w:val="auto"/>
              </w:rPr>
              <w:t>措施</w:t>
            </w:r>
          </w:p>
        </w:tc>
        <w:tc>
          <w:tcPr>
            <w:tcW w:w="8528" w:type="dxa"/>
            <w:tcBorders>
              <w:tl2br w:val="nil"/>
              <w:tr2bl w:val="nil"/>
            </w:tcBorders>
            <w:vAlign w:val="center"/>
          </w:tcPr>
          <w:p w14:paraId="324A4E14">
            <w:pPr>
              <w:spacing w:line="360" w:lineRule="auto"/>
              <w:ind w:firstLine="482" w:firstLineChars="200"/>
              <w:rPr>
                <w:b/>
                <w:bCs/>
                <w:sz w:val="24"/>
              </w:rPr>
            </w:pPr>
            <w:r>
              <w:rPr>
                <w:b/>
                <w:bCs/>
                <w:sz w:val="24"/>
              </w:rPr>
              <w:t>一、废气产生及排放情况</w:t>
            </w:r>
          </w:p>
          <w:p w14:paraId="2C043131">
            <w:pPr>
              <w:autoSpaceDE w:val="0"/>
              <w:autoSpaceDN w:val="0"/>
              <w:adjustRightInd w:val="0"/>
              <w:spacing w:line="360" w:lineRule="auto"/>
              <w:ind w:firstLine="480" w:firstLineChars="200"/>
              <w:rPr>
                <w:sz w:val="24"/>
              </w:rPr>
            </w:pPr>
            <w:r>
              <w:rPr>
                <w:sz w:val="24"/>
              </w:rPr>
              <w:t>拟建项目生产过程中废气主要是注塑产生的非甲烷总烃</w:t>
            </w:r>
            <w:r>
              <w:rPr>
                <w:rFonts w:hint="eastAsia"/>
                <w:sz w:val="24"/>
                <w:lang w:eastAsia="zh-CN"/>
              </w:rPr>
              <w:t>，</w:t>
            </w:r>
            <w:r>
              <w:rPr>
                <w:rFonts w:hint="eastAsia"/>
                <w:sz w:val="24"/>
                <w:lang w:val="en-US" w:eastAsia="zh-CN"/>
              </w:rPr>
              <w:t>不合格塑料破碎产生的颗粒物</w:t>
            </w:r>
            <w:r>
              <w:rPr>
                <w:sz w:val="24"/>
              </w:rPr>
              <w:t>。</w:t>
            </w:r>
          </w:p>
          <w:p w14:paraId="0798CABB">
            <w:pPr>
              <w:spacing w:line="360" w:lineRule="auto"/>
              <w:ind w:firstLine="482" w:firstLineChars="200"/>
              <w:rPr>
                <w:b/>
                <w:bCs/>
                <w:kern w:val="0"/>
                <w:sz w:val="24"/>
                <w:szCs w:val="28"/>
              </w:rPr>
            </w:pPr>
            <w:r>
              <w:rPr>
                <w:b/>
                <w:bCs/>
                <w:sz w:val="24"/>
              </w:rPr>
              <w:t>1、</w:t>
            </w:r>
            <w:r>
              <w:rPr>
                <w:b/>
                <w:bCs/>
                <w:kern w:val="0"/>
                <w:sz w:val="24"/>
                <w:szCs w:val="28"/>
              </w:rPr>
              <w:t>正常工况废气排放情况</w:t>
            </w:r>
          </w:p>
          <w:p w14:paraId="640B9997">
            <w:pPr>
              <w:spacing w:line="360" w:lineRule="auto"/>
              <w:ind w:firstLine="480" w:firstLineChars="200"/>
              <w:rPr>
                <w:rFonts w:hint="default" w:eastAsia="宋体"/>
                <w:sz w:val="24"/>
                <w:lang w:val="en-US" w:eastAsia="zh-CN"/>
              </w:rPr>
            </w:pPr>
            <w:r>
              <w:rPr>
                <w:rFonts w:hint="eastAsia"/>
                <w:sz w:val="24"/>
                <w:lang w:eastAsia="zh-CN"/>
              </w:rPr>
              <w:t>（</w:t>
            </w:r>
            <w:r>
              <w:rPr>
                <w:rFonts w:hint="eastAsia"/>
                <w:sz w:val="24"/>
                <w:lang w:val="en-US" w:eastAsia="zh-CN"/>
              </w:rPr>
              <w:t>1</w:t>
            </w:r>
            <w:r>
              <w:rPr>
                <w:rFonts w:hint="eastAsia"/>
                <w:sz w:val="24"/>
                <w:lang w:eastAsia="zh-CN"/>
              </w:rPr>
              <w:t>）</w:t>
            </w:r>
            <w:r>
              <w:rPr>
                <w:rFonts w:hint="eastAsia"/>
                <w:sz w:val="24"/>
                <w:lang w:val="en-US" w:eastAsia="zh-CN"/>
              </w:rPr>
              <w:t>注塑废气</w:t>
            </w:r>
          </w:p>
          <w:p w14:paraId="33766F90">
            <w:pPr>
              <w:spacing w:line="360" w:lineRule="auto"/>
              <w:ind w:firstLine="480" w:firstLineChars="200"/>
              <w:rPr>
                <w:sz w:val="24"/>
              </w:rPr>
            </w:pPr>
            <w:r>
              <w:rPr>
                <w:sz w:val="24"/>
              </w:rPr>
              <w:t>由于外购的塑料颗粒粒径均匀、表面光泽度好，故粉尘产生量甚微，可忽略不计。则塑料颗粒注塑成型过程中产生的废气主要是在熔融加热、受压过程中部分分子键发生断链产生少量游离单体废气，主要为有机物质单体（以非甲烷总烃计）。</w:t>
            </w:r>
          </w:p>
          <w:p w14:paraId="61A2AFB1">
            <w:pPr>
              <w:spacing w:line="360" w:lineRule="auto"/>
              <w:ind w:firstLine="480" w:firstLineChars="200"/>
              <w:rPr>
                <w:sz w:val="24"/>
              </w:rPr>
            </w:pPr>
            <w:r>
              <w:rPr>
                <w:sz w:val="24"/>
              </w:rPr>
              <w:t>根据《排放源统计调查产排污核算方法和系数手册》（公告2021年第24号）塑料家具制造行业系数表，本项目注塑产污系数取塑料制品行业系数手册中规定系数，即2.70千克/吨-产品，根据建设单位提供资料，塑料颗粒年使用量共为</w:t>
            </w:r>
            <w:r>
              <w:rPr>
                <w:rFonts w:hint="eastAsia"/>
                <w:sz w:val="24"/>
                <w:lang w:val="en-US" w:eastAsia="zh-CN"/>
              </w:rPr>
              <w:t>180</w:t>
            </w:r>
            <w:r>
              <w:rPr>
                <w:sz w:val="24"/>
              </w:rPr>
              <w:t>t，则非甲烷总烃产生量约为0.</w:t>
            </w:r>
            <w:r>
              <w:rPr>
                <w:rFonts w:hint="eastAsia"/>
                <w:sz w:val="24"/>
                <w:lang w:val="en-US" w:eastAsia="zh-CN"/>
              </w:rPr>
              <w:t>486</w:t>
            </w:r>
            <w:r>
              <w:rPr>
                <w:sz w:val="24"/>
              </w:rPr>
              <w:t>t/a。</w:t>
            </w:r>
          </w:p>
          <w:p w14:paraId="26A107A0">
            <w:pPr>
              <w:spacing w:line="360" w:lineRule="auto"/>
              <w:ind w:firstLine="480" w:firstLineChars="200"/>
              <w:rPr>
                <w:sz w:val="24"/>
              </w:rPr>
            </w:pPr>
            <w:r>
              <w:rPr>
                <w:sz w:val="24"/>
              </w:rPr>
              <w:t>在注塑机上方设置集气罩和集气管道，废气经收集后通过二级活性炭吸附装置处理后引至15m高排气筒（DA001）排放，风机设计风量为</w:t>
            </w:r>
            <w:r>
              <w:rPr>
                <w:rFonts w:hint="eastAsia"/>
                <w:sz w:val="24"/>
                <w:lang w:val="en-US" w:eastAsia="zh-CN"/>
              </w:rPr>
              <w:t>6</w:t>
            </w:r>
            <w:r>
              <w:rPr>
                <w:sz w:val="24"/>
              </w:rPr>
              <w:t>000m</w:t>
            </w:r>
            <w:r>
              <w:rPr>
                <w:sz w:val="24"/>
                <w:vertAlign w:val="superscript"/>
              </w:rPr>
              <w:t>3</w:t>
            </w:r>
            <w:r>
              <w:rPr>
                <w:sz w:val="24"/>
              </w:rPr>
              <w:t>/h，年工作时间为2400h，收集效率为90%，</w:t>
            </w:r>
            <w:bookmarkStart w:id="8" w:name="_Hlk79307156"/>
            <w:r>
              <w:rPr>
                <w:sz w:val="24"/>
              </w:rPr>
              <w:t>根据《排放源统计调查产排污核算方法和系数手册》中塑料制品行业系数手册活性炭吸附效率推荐值，单一活性炭吸附效率70%，则本项目二级活性炭吸附效率</w:t>
            </w:r>
            <w:r>
              <w:rPr>
                <w:rFonts w:hint="eastAsia"/>
                <w:sz w:val="24"/>
                <w:lang w:val="en-US" w:eastAsia="zh-CN"/>
              </w:rPr>
              <w:t>取90%</w:t>
            </w:r>
            <w:r>
              <w:rPr>
                <w:sz w:val="24"/>
              </w:rPr>
              <w:t>。</w:t>
            </w:r>
            <w:bookmarkEnd w:id="8"/>
            <w:r>
              <w:rPr>
                <w:sz w:val="24"/>
              </w:rPr>
              <w:t>则有组织非甲烷总烃产生量约为0.</w:t>
            </w:r>
            <w:r>
              <w:rPr>
                <w:rFonts w:hint="eastAsia"/>
                <w:sz w:val="24"/>
                <w:lang w:val="en-US" w:eastAsia="zh-CN"/>
              </w:rPr>
              <w:t>4374</w:t>
            </w:r>
            <w:r>
              <w:rPr>
                <w:sz w:val="24"/>
              </w:rPr>
              <w:t>t/a，产生浓度约为</w:t>
            </w:r>
            <w:r>
              <w:rPr>
                <w:rFonts w:hint="eastAsia"/>
                <w:sz w:val="24"/>
                <w:lang w:val="en-US" w:eastAsia="zh-CN"/>
              </w:rPr>
              <w:t>30.375</w:t>
            </w:r>
            <w:r>
              <w:rPr>
                <w:sz w:val="24"/>
              </w:rPr>
              <w:t>mg/m</w:t>
            </w:r>
            <w:r>
              <w:rPr>
                <w:sz w:val="24"/>
                <w:vertAlign w:val="superscript"/>
              </w:rPr>
              <w:t>3</w:t>
            </w:r>
            <w:r>
              <w:rPr>
                <w:sz w:val="24"/>
              </w:rPr>
              <w:t>；排放量约为0.</w:t>
            </w:r>
            <w:r>
              <w:rPr>
                <w:rFonts w:hint="eastAsia"/>
                <w:sz w:val="24"/>
                <w:lang w:val="en-US" w:eastAsia="zh-CN"/>
              </w:rPr>
              <w:t>044</w:t>
            </w:r>
            <w:r>
              <w:rPr>
                <w:sz w:val="24"/>
              </w:rPr>
              <w:t>t/a，排放速率约为0.01</w:t>
            </w:r>
            <w:r>
              <w:rPr>
                <w:rFonts w:hint="eastAsia"/>
                <w:sz w:val="24"/>
                <w:lang w:val="en-US" w:eastAsia="zh-CN"/>
              </w:rPr>
              <w:t>8</w:t>
            </w:r>
            <w:r>
              <w:rPr>
                <w:sz w:val="24"/>
              </w:rPr>
              <w:t>kg/h，排放浓度约为</w:t>
            </w:r>
            <w:r>
              <w:rPr>
                <w:rFonts w:hint="eastAsia"/>
                <w:sz w:val="24"/>
                <w:lang w:val="en-US" w:eastAsia="zh-CN"/>
              </w:rPr>
              <w:t>3.04</w:t>
            </w:r>
            <w:r>
              <w:rPr>
                <w:sz w:val="24"/>
              </w:rPr>
              <w:t>mg/m</w:t>
            </w:r>
            <w:r>
              <w:rPr>
                <w:sz w:val="24"/>
                <w:vertAlign w:val="superscript"/>
              </w:rPr>
              <w:t>3</w:t>
            </w:r>
            <w:r>
              <w:rPr>
                <w:sz w:val="24"/>
              </w:rPr>
              <w:t>。非甲烷总烃无组织排放量为0.0</w:t>
            </w:r>
            <w:r>
              <w:rPr>
                <w:rFonts w:hint="eastAsia"/>
                <w:sz w:val="24"/>
                <w:lang w:val="en-US" w:eastAsia="zh-CN"/>
              </w:rPr>
              <w:t>486</w:t>
            </w:r>
            <w:r>
              <w:rPr>
                <w:sz w:val="24"/>
              </w:rPr>
              <w:t>t/a，排放速率为0.02</w:t>
            </w:r>
            <w:r>
              <w:rPr>
                <w:rFonts w:hint="eastAsia"/>
                <w:sz w:val="24"/>
                <w:lang w:val="en-US" w:eastAsia="zh-CN"/>
              </w:rPr>
              <w:t>0</w:t>
            </w:r>
            <w:r>
              <w:rPr>
                <w:sz w:val="24"/>
              </w:rPr>
              <w:t>kg/h。</w:t>
            </w:r>
          </w:p>
          <w:p w14:paraId="14A7807D">
            <w:pPr>
              <w:numPr>
                <w:ilvl w:val="0"/>
                <w:numId w:val="5"/>
              </w:numPr>
              <w:spacing w:line="360" w:lineRule="auto"/>
              <w:ind w:firstLine="480" w:firstLineChars="200"/>
              <w:rPr>
                <w:rFonts w:hint="eastAsia"/>
                <w:sz w:val="24"/>
                <w:lang w:val="en-US" w:eastAsia="zh-CN"/>
              </w:rPr>
            </w:pPr>
            <w:r>
              <w:rPr>
                <w:rFonts w:hint="eastAsia"/>
                <w:sz w:val="24"/>
                <w:lang w:val="en-US" w:eastAsia="zh-CN"/>
              </w:rPr>
              <w:t>破碎废气</w:t>
            </w:r>
          </w:p>
          <w:p w14:paraId="5C7479EC">
            <w:pPr>
              <w:numPr>
                <w:ilvl w:val="0"/>
                <w:numId w:val="0"/>
              </w:numPr>
              <w:spacing w:line="360" w:lineRule="auto"/>
              <w:ind w:firstLine="480" w:firstLineChars="200"/>
              <w:rPr>
                <w:rFonts w:hint="eastAsia"/>
                <w:sz w:val="24"/>
                <w:lang w:val="en-US" w:eastAsia="zh-CN"/>
              </w:rPr>
            </w:pPr>
            <w:r>
              <w:rPr>
                <w:rFonts w:hint="eastAsia"/>
                <w:sz w:val="24"/>
                <w:lang w:val="en-US" w:eastAsia="zh-CN"/>
              </w:rPr>
              <w:t>本项目注塑不合格品需要破碎为小颗粒回用注塑。参考《排放源统计调查产排污核算方法和系数手册》中的“42废弃资源综合利用行业系数手册”，废塑料干法破碎过程颗粒物产污系数为0.375kg/t-原料,废气量为2500m³每吨原料。本项目不合格产品约占总量9%，共计16.2t，则粉碎工序颗粒物产生量为0.006t/a，废气产生量为40500立方米，破碎工序生产时间为50h/a，则废气量为810m³/h.</w:t>
            </w:r>
          </w:p>
          <w:p w14:paraId="7DB9E100">
            <w:pPr>
              <w:spacing w:line="360" w:lineRule="auto"/>
              <w:ind w:firstLine="480" w:firstLineChars="200"/>
              <w:rPr>
                <w:rFonts w:hint="default"/>
                <w:color w:val="auto"/>
                <w:lang w:val="en-US" w:eastAsia="zh-CN"/>
              </w:rPr>
            </w:pPr>
            <w:r>
              <w:rPr>
                <w:rFonts w:hint="eastAsia"/>
                <w:color w:val="auto"/>
                <w:sz w:val="24"/>
                <w:lang w:val="en-US" w:eastAsia="zh-CN"/>
              </w:rPr>
              <w:t>本项目为保证收集效果，废气量设置为2000m³/h，收集效率取90%。废气治理措施采用布袋除尘器，处理效率95%，则有组织颗粒物产生量约为0.0054t/a，产生浓度约为54mg/m</w:t>
            </w:r>
            <w:r>
              <w:rPr>
                <w:rFonts w:hint="eastAsia"/>
                <w:color w:val="auto"/>
                <w:sz w:val="24"/>
                <w:vertAlign w:val="superscript"/>
                <w:lang w:val="en-US" w:eastAsia="zh-CN"/>
              </w:rPr>
              <w:t>3</w:t>
            </w:r>
            <w:r>
              <w:rPr>
                <w:rFonts w:hint="eastAsia"/>
                <w:color w:val="auto"/>
                <w:sz w:val="24"/>
                <w:lang w:val="en-US" w:eastAsia="zh-CN"/>
              </w:rPr>
              <w:t>；排放量约为0.00027t/a，排放速率约为0.0054kg/h，排放浓度约为2.7mg/m</w:t>
            </w:r>
            <w:r>
              <w:rPr>
                <w:rFonts w:hint="eastAsia"/>
                <w:color w:val="auto"/>
                <w:sz w:val="24"/>
                <w:vertAlign w:val="superscript"/>
                <w:lang w:val="en-US" w:eastAsia="zh-CN"/>
              </w:rPr>
              <w:t>3</w:t>
            </w:r>
            <w:r>
              <w:rPr>
                <w:rFonts w:hint="eastAsia"/>
                <w:color w:val="auto"/>
                <w:sz w:val="24"/>
                <w:lang w:val="en-US" w:eastAsia="zh-CN"/>
              </w:rPr>
              <w:t>。破碎废气颗粒物</w:t>
            </w:r>
            <w:r>
              <w:rPr>
                <w:color w:val="auto"/>
                <w:sz w:val="24"/>
              </w:rPr>
              <w:t>无组织排放量为0</w:t>
            </w:r>
            <w:r>
              <w:rPr>
                <w:rFonts w:hint="eastAsia"/>
                <w:color w:val="auto"/>
                <w:sz w:val="24"/>
                <w:lang w:val="en-US" w:eastAsia="zh-CN"/>
              </w:rPr>
              <w:t>.0006</w:t>
            </w:r>
            <w:r>
              <w:rPr>
                <w:color w:val="auto"/>
                <w:sz w:val="24"/>
              </w:rPr>
              <w:t>t/a，排放速率为0.0</w:t>
            </w:r>
            <w:r>
              <w:rPr>
                <w:rFonts w:hint="eastAsia"/>
                <w:color w:val="auto"/>
                <w:sz w:val="24"/>
                <w:lang w:val="en-US" w:eastAsia="zh-CN"/>
              </w:rPr>
              <w:t>12</w:t>
            </w:r>
            <w:r>
              <w:rPr>
                <w:color w:val="auto"/>
                <w:sz w:val="24"/>
              </w:rPr>
              <w:t>kg/h。</w:t>
            </w:r>
          </w:p>
          <w:p w14:paraId="22D94C72">
            <w:pPr>
              <w:numPr>
                <w:ilvl w:val="0"/>
                <w:numId w:val="5"/>
              </w:numPr>
              <w:spacing w:line="360" w:lineRule="auto"/>
              <w:ind w:left="0" w:leftChars="0" w:firstLine="480" w:firstLineChars="200"/>
              <w:rPr>
                <w:rFonts w:hint="eastAsia"/>
                <w:sz w:val="24"/>
                <w:lang w:val="en-US" w:eastAsia="zh-CN"/>
              </w:rPr>
            </w:pPr>
            <w:r>
              <w:rPr>
                <w:rFonts w:hint="eastAsia"/>
                <w:sz w:val="24"/>
                <w:lang w:val="en-US" w:eastAsia="zh-CN"/>
              </w:rPr>
              <w:t>切割废气</w:t>
            </w:r>
          </w:p>
          <w:p w14:paraId="7F311E23">
            <w:pPr>
              <w:numPr>
                <w:ilvl w:val="0"/>
                <w:numId w:val="0"/>
              </w:numPr>
              <w:spacing w:line="360" w:lineRule="auto"/>
              <w:ind w:firstLine="480" w:firstLineChars="200"/>
              <w:rPr>
                <w:rFonts w:hint="default"/>
                <w:sz w:val="24"/>
                <w:lang w:val="en-US" w:eastAsia="zh-CN"/>
              </w:rPr>
            </w:pPr>
            <w:r>
              <w:rPr>
                <w:rFonts w:hint="default"/>
                <w:sz w:val="24"/>
                <w:lang w:val="en-US" w:eastAsia="zh-CN"/>
              </w:rPr>
              <w:t>切割粉尘源强核算：项目</w:t>
            </w:r>
            <w:r>
              <w:rPr>
                <w:rFonts w:hint="eastAsia"/>
                <w:sz w:val="24"/>
                <w:lang w:val="en-US" w:eastAsia="zh-CN"/>
              </w:rPr>
              <w:t>钢管</w:t>
            </w:r>
            <w:r>
              <w:rPr>
                <w:rFonts w:hint="default"/>
                <w:sz w:val="24"/>
                <w:lang w:val="en-US" w:eastAsia="zh-CN"/>
              </w:rPr>
              <w:t>钢板加工部分采用切割机切割，切割过程会产生切割粉尘，参照《排放源统计调查产排污核算方法和系数手册》“机械行业系数手册”，切割废气产污系数为1.10kg/吨-原料，本项目需要切割的钢材量约</w:t>
            </w:r>
            <w:r>
              <w:rPr>
                <w:rFonts w:hint="eastAsia"/>
                <w:sz w:val="24"/>
                <w:lang w:val="en-US" w:eastAsia="zh-CN"/>
              </w:rPr>
              <w:t>1</w:t>
            </w:r>
            <w:r>
              <w:rPr>
                <w:rFonts w:hint="default"/>
                <w:sz w:val="24"/>
                <w:lang w:val="en-US" w:eastAsia="zh-CN"/>
              </w:rPr>
              <w:t>00t/a，</w:t>
            </w:r>
            <w:r>
              <w:rPr>
                <w:rFonts w:hint="eastAsia"/>
                <w:sz w:val="24"/>
                <w:lang w:val="en-US" w:eastAsia="zh-CN"/>
              </w:rPr>
              <w:t>切割年工作时间1000h，</w:t>
            </w:r>
            <w:r>
              <w:rPr>
                <w:rFonts w:hint="default"/>
                <w:sz w:val="24"/>
                <w:lang w:val="en-US" w:eastAsia="zh-CN"/>
              </w:rPr>
              <w:t>则产生的切割粉尘量约为</w:t>
            </w:r>
            <w:r>
              <w:rPr>
                <w:rFonts w:hint="eastAsia"/>
                <w:sz w:val="24"/>
                <w:lang w:val="en-US" w:eastAsia="zh-CN"/>
              </w:rPr>
              <w:t>0.11</w:t>
            </w:r>
            <w:r>
              <w:rPr>
                <w:rFonts w:hint="default"/>
                <w:sz w:val="24"/>
                <w:lang w:val="en-US" w:eastAsia="zh-CN"/>
              </w:rPr>
              <w:t>t/a。</w:t>
            </w:r>
            <w:r>
              <w:rPr>
                <w:rFonts w:hint="eastAsia"/>
                <w:sz w:val="24"/>
                <w:lang w:val="en-US" w:eastAsia="zh-CN"/>
              </w:rPr>
              <w:t>切割粉尘比重较大，经车间自然沉降可减少50%排放，</w:t>
            </w:r>
            <w:r>
              <w:rPr>
                <w:rFonts w:hint="default"/>
                <w:sz w:val="24"/>
                <w:lang w:val="en-US" w:eastAsia="zh-CN"/>
              </w:rPr>
              <w:t>因此本项目焊接烟尘无组织排放量为 0.0</w:t>
            </w:r>
            <w:r>
              <w:rPr>
                <w:rFonts w:hint="eastAsia"/>
                <w:sz w:val="24"/>
                <w:lang w:val="en-US" w:eastAsia="zh-CN"/>
              </w:rPr>
              <w:t>55</w:t>
            </w:r>
            <w:r>
              <w:rPr>
                <w:rFonts w:hint="default"/>
                <w:sz w:val="24"/>
                <w:lang w:val="en-US" w:eastAsia="zh-CN"/>
              </w:rPr>
              <w:t>t/a，排放速率为 0.0</w:t>
            </w:r>
            <w:r>
              <w:rPr>
                <w:rFonts w:hint="eastAsia"/>
                <w:sz w:val="24"/>
                <w:lang w:val="en-US" w:eastAsia="zh-CN"/>
              </w:rPr>
              <w:t>55</w:t>
            </w:r>
            <w:r>
              <w:rPr>
                <w:rFonts w:hint="default"/>
                <w:sz w:val="24"/>
                <w:lang w:val="en-US" w:eastAsia="zh-CN"/>
              </w:rPr>
              <w:t>kg/</w:t>
            </w:r>
            <w:r>
              <w:rPr>
                <w:rFonts w:hint="eastAsia"/>
                <w:sz w:val="24"/>
                <w:lang w:val="en-US" w:eastAsia="zh-CN"/>
              </w:rPr>
              <w:t>h。</w:t>
            </w:r>
          </w:p>
          <w:p w14:paraId="083FE326">
            <w:pPr>
              <w:numPr>
                <w:ilvl w:val="0"/>
                <w:numId w:val="0"/>
              </w:numPr>
              <w:spacing w:line="360" w:lineRule="auto"/>
              <w:ind w:firstLine="480" w:firstLineChars="200"/>
              <w:rPr>
                <w:rFonts w:hint="eastAsia"/>
                <w:sz w:val="24"/>
                <w:lang w:val="en-US" w:eastAsia="zh-CN"/>
              </w:rPr>
            </w:pPr>
            <w:r>
              <w:rPr>
                <w:rFonts w:hint="eastAsia"/>
                <w:sz w:val="24"/>
                <w:lang w:val="en-US" w:eastAsia="zh-CN"/>
              </w:rPr>
              <w:t>（4）焊接废气</w:t>
            </w:r>
          </w:p>
          <w:p w14:paraId="769CBA42">
            <w:pPr>
              <w:numPr>
                <w:ilvl w:val="0"/>
                <w:numId w:val="0"/>
              </w:numPr>
              <w:spacing w:line="360" w:lineRule="auto"/>
              <w:ind w:firstLine="480" w:firstLineChars="200"/>
              <w:rPr>
                <w:rFonts w:hint="default"/>
                <w:sz w:val="24"/>
                <w:lang w:val="en-US" w:eastAsia="zh-CN"/>
              </w:rPr>
            </w:pPr>
            <w:r>
              <w:rPr>
                <w:rFonts w:hint="default"/>
                <w:sz w:val="24"/>
                <w:lang w:val="en-US" w:eastAsia="zh-CN"/>
              </w:rPr>
              <w:t>本项目共有1台电焊机，焊条使用量为0.3t/a，本项目焊接工序年运行时间约为</w:t>
            </w:r>
            <w:r>
              <w:rPr>
                <w:rFonts w:hint="eastAsia"/>
                <w:sz w:val="24"/>
                <w:lang w:val="en-US" w:eastAsia="zh-CN"/>
              </w:rPr>
              <w:t>1000</w:t>
            </w:r>
            <w:r>
              <w:rPr>
                <w:rFonts w:hint="default"/>
                <w:sz w:val="24"/>
                <w:lang w:val="en-US" w:eastAsia="zh-CN"/>
              </w:rPr>
              <w:t xml:space="preserve">h。查阅《逸散性工业粉尘控制方法》（中国环境科学出版社），焊接产尘系数为 7～10g/kg（焊接材料），本项目取最大值“10g/kg（焊接材料）”，则产生的焊接烟尘为 0.003t/a。治理措施：本项目为电焊机安装 1 台移动式焊烟净化器，收集效率为 </w:t>
            </w:r>
            <w:r>
              <w:rPr>
                <w:rFonts w:hint="eastAsia"/>
                <w:sz w:val="24"/>
                <w:lang w:val="en-US" w:eastAsia="zh-CN"/>
              </w:rPr>
              <w:t>80</w:t>
            </w:r>
            <w:r>
              <w:rPr>
                <w:rFonts w:hint="default"/>
                <w:sz w:val="24"/>
                <w:lang w:val="en-US" w:eastAsia="zh-CN"/>
              </w:rPr>
              <w:t xml:space="preserve">%，净化效率为 </w:t>
            </w:r>
            <w:r>
              <w:rPr>
                <w:rFonts w:hint="eastAsia"/>
                <w:sz w:val="24"/>
                <w:lang w:val="en-US" w:eastAsia="zh-CN"/>
              </w:rPr>
              <w:t>80</w:t>
            </w:r>
            <w:r>
              <w:rPr>
                <w:rFonts w:hint="default"/>
                <w:sz w:val="24"/>
                <w:lang w:val="en-US" w:eastAsia="zh-CN"/>
              </w:rPr>
              <w:t>%，风机风量共 1000m³/h，焊接烟尘经烟尘净化器收集处理后排入车间。因此本项目焊接烟尘无组织排放量为 0.00</w:t>
            </w:r>
            <w:r>
              <w:rPr>
                <w:rFonts w:hint="eastAsia"/>
                <w:sz w:val="24"/>
                <w:lang w:val="en-US" w:eastAsia="zh-CN"/>
              </w:rPr>
              <w:t>1</w:t>
            </w:r>
            <w:r>
              <w:rPr>
                <w:rFonts w:hint="default"/>
                <w:sz w:val="24"/>
                <w:lang w:val="en-US" w:eastAsia="zh-CN"/>
              </w:rPr>
              <w:t>t/a，排放速率为 0.00</w:t>
            </w:r>
            <w:r>
              <w:rPr>
                <w:rFonts w:hint="eastAsia"/>
                <w:sz w:val="24"/>
                <w:lang w:val="en-US" w:eastAsia="zh-CN"/>
              </w:rPr>
              <w:t>1</w:t>
            </w:r>
            <w:r>
              <w:rPr>
                <w:rFonts w:hint="default"/>
                <w:sz w:val="24"/>
                <w:lang w:val="en-US" w:eastAsia="zh-CN"/>
              </w:rPr>
              <w:t>kg/</w:t>
            </w:r>
            <w:r>
              <w:rPr>
                <w:rFonts w:hint="eastAsia"/>
                <w:sz w:val="24"/>
                <w:lang w:val="en-US" w:eastAsia="zh-CN"/>
              </w:rPr>
              <w:t>h。</w:t>
            </w:r>
          </w:p>
          <w:p w14:paraId="4CB50234">
            <w:pPr>
              <w:spacing w:line="360" w:lineRule="auto"/>
              <w:ind w:firstLine="482" w:firstLineChars="200"/>
              <w:rPr>
                <w:b/>
                <w:bCs/>
                <w:kern w:val="0"/>
                <w:sz w:val="24"/>
                <w:szCs w:val="28"/>
              </w:rPr>
            </w:pPr>
            <w:r>
              <w:rPr>
                <w:b/>
                <w:bCs/>
                <w:sz w:val="24"/>
              </w:rPr>
              <w:t>2、</w:t>
            </w:r>
            <w:r>
              <w:rPr>
                <w:b/>
                <w:bCs/>
                <w:kern w:val="0"/>
                <w:sz w:val="24"/>
                <w:szCs w:val="28"/>
              </w:rPr>
              <w:t>非正常工况废气排放情况</w:t>
            </w:r>
          </w:p>
          <w:p w14:paraId="57224FF8">
            <w:pPr>
              <w:spacing w:line="360" w:lineRule="auto"/>
              <w:ind w:firstLine="482"/>
              <w:rPr>
                <w:kern w:val="0"/>
                <w:sz w:val="24"/>
                <w:szCs w:val="28"/>
              </w:rPr>
            </w:pPr>
            <w:r>
              <w:rPr>
                <w:kern w:val="0"/>
                <w:sz w:val="24"/>
                <w:szCs w:val="28"/>
              </w:rPr>
              <w:t>项目在车间开工时，首先运行所有的废气处理装置，然后再开启车间的工艺流程，使在生产中所产生的废气都能得到处理。车间停工时，所有的废气处理装置继续运转，待工艺中的废气没有排出之后才逐台关闭。车间在开、停车时排出污染物均得到有效处理，经排气筒排出的污染物浓度和正常生产时基本一致。</w:t>
            </w:r>
          </w:p>
          <w:p w14:paraId="5A62B715">
            <w:pPr>
              <w:spacing w:line="360" w:lineRule="auto"/>
              <w:ind w:firstLine="482"/>
              <w:rPr>
                <w:kern w:val="0"/>
                <w:sz w:val="24"/>
                <w:szCs w:val="28"/>
              </w:rPr>
            </w:pPr>
            <w:r>
              <w:rPr>
                <w:kern w:val="0"/>
                <w:sz w:val="24"/>
                <w:szCs w:val="28"/>
              </w:rPr>
              <w:t>当废气处理设备出现故障时，工艺生产过程排放的废气将未经处理直接排入大气，造成非正常排放。日常运行中，若出现故障，检修人员可立即到现场进行维修，一般操作在30分钟内基本上可以完成，预计最长不会超过60分钟。</w:t>
            </w:r>
          </w:p>
          <w:p w14:paraId="1816803D">
            <w:pPr>
              <w:spacing w:line="360" w:lineRule="auto"/>
              <w:ind w:firstLine="482"/>
              <w:rPr>
                <w:kern w:val="0"/>
                <w:sz w:val="24"/>
                <w:szCs w:val="28"/>
              </w:rPr>
            </w:pPr>
            <w:r>
              <w:rPr>
                <w:kern w:val="0"/>
                <w:sz w:val="24"/>
                <w:szCs w:val="28"/>
              </w:rPr>
              <w:t>废气处理系统出现故障，一般有3种情况：停电、净化装置和风机出现故障，对生产异常情况，采取以下措施：</w:t>
            </w:r>
          </w:p>
          <w:p w14:paraId="3242754F">
            <w:pPr>
              <w:spacing w:line="360" w:lineRule="auto"/>
              <w:ind w:firstLine="482"/>
              <w:rPr>
                <w:kern w:val="0"/>
                <w:sz w:val="24"/>
                <w:szCs w:val="28"/>
              </w:rPr>
            </w:pPr>
            <w:r>
              <w:rPr>
                <w:kern w:val="0"/>
                <w:sz w:val="24"/>
                <w:szCs w:val="28"/>
              </w:rPr>
              <w:t>a.如果全厂停电，停止生产，无污染物产生。为确保安全，风机仍然继续运转。</w:t>
            </w:r>
          </w:p>
          <w:p w14:paraId="3A9B26AD">
            <w:pPr>
              <w:spacing w:line="360" w:lineRule="auto"/>
              <w:ind w:firstLine="482"/>
              <w:rPr>
                <w:kern w:val="0"/>
                <w:sz w:val="24"/>
                <w:szCs w:val="28"/>
              </w:rPr>
            </w:pPr>
            <w:r>
              <w:rPr>
                <w:kern w:val="0"/>
                <w:sz w:val="24"/>
                <w:szCs w:val="28"/>
              </w:rPr>
              <w:t>b.风机出现故障时，备用风机立即启动。</w:t>
            </w:r>
          </w:p>
          <w:p w14:paraId="6D277F8E">
            <w:pPr>
              <w:spacing w:line="360" w:lineRule="auto"/>
              <w:ind w:firstLine="482"/>
              <w:rPr>
                <w:kern w:val="0"/>
                <w:sz w:val="24"/>
                <w:szCs w:val="28"/>
              </w:rPr>
            </w:pPr>
            <w:r>
              <w:rPr>
                <w:kern w:val="0"/>
                <w:sz w:val="24"/>
                <w:szCs w:val="28"/>
              </w:rPr>
              <w:t>c.当废气处理设施出现故障时，应立即进行维修，必要时停止生产原料的供给。</w:t>
            </w:r>
          </w:p>
          <w:p w14:paraId="1F555A15">
            <w:pPr>
              <w:spacing w:line="360" w:lineRule="auto"/>
              <w:ind w:firstLine="482"/>
              <w:rPr>
                <w:kern w:val="0"/>
                <w:sz w:val="24"/>
                <w:szCs w:val="28"/>
              </w:rPr>
            </w:pPr>
            <w:r>
              <w:rPr>
                <w:kern w:val="0"/>
                <w:sz w:val="24"/>
                <w:szCs w:val="28"/>
              </w:rPr>
              <w:t>本报告废气非正常排放考虑装置处理效率为0的情况，非正常排放情况及概率见下表。</w:t>
            </w:r>
          </w:p>
          <w:p w14:paraId="286D95E5">
            <w:pPr>
              <w:pStyle w:val="52"/>
              <w:numPr>
                <w:ilvl w:val="0"/>
                <w:numId w:val="0"/>
              </w:numPr>
              <w:spacing w:line="360" w:lineRule="auto"/>
              <w:ind w:left="420" w:leftChars="0" w:hanging="132" w:firstLineChars="0"/>
              <w:rPr>
                <w:rFonts w:cs="Times New Roman"/>
              </w:rPr>
            </w:pPr>
            <w:r>
              <w:rPr>
                <w:rFonts w:hint="eastAsia" w:ascii="Times New Roman" w:hAnsi="Times New Roman" w:eastAsia="宋体" w:cs="Times New Roman"/>
                <w:b/>
                <w:kern w:val="0"/>
                <w:sz w:val="21"/>
                <w:szCs w:val="21"/>
                <w:lang w:val="en-US" w:eastAsia="zh-CN" w:bidi="ar-SA"/>
              </w:rPr>
              <w:t>表4-1</w:t>
            </w:r>
            <w:r>
              <w:rPr>
                <w:rFonts w:cs="Times New Roman"/>
              </w:rPr>
              <w:t>非正常排放情况及概率分析</w:t>
            </w:r>
          </w:p>
          <w:tbl>
            <w:tblPr>
              <w:tblStyle w:val="75"/>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2"/>
              <w:gridCol w:w="1062"/>
              <w:gridCol w:w="849"/>
              <w:gridCol w:w="849"/>
              <w:gridCol w:w="1226"/>
              <w:gridCol w:w="1894"/>
              <w:gridCol w:w="847"/>
              <w:gridCol w:w="946"/>
            </w:tblGrid>
            <w:tr w14:paraId="4C29FD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8" w:type="pct"/>
                  <w:vAlign w:val="center"/>
                </w:tcPr>
                <w:p w14:paraId="0F1C49DC">
                  <w:pPr>
                    <w:jc w:val="center"/>
                    <w:rPr>
                      <w:rFonts w:ascii="Times New Roman" w:hAnsi="Times New Roman"/>
                      <w:b/>
                      <w:kern w:val="44"/>
                      <w:szCs w:val="21"/>
                    </w:rPr>
                  </w:pPr>
                  <w:r>
                    <w:rPr>
                      <w:rFonts w:ascii="Times New Roman" w:hAnsi="Times New Roman"/>
                      <w:b/>
                      <w:kern w:val="44"/>
                      <w:szCs w:val="21"/>
                    </w:rPr>
                    <w:t>种类</w:t>
                  </w:r>
                </w:p>
              </w:tc>
              <w:tc>
                <w:tcPr>
                  <w:tcW w:w="647" w:type="pct"/>
                  <w:vAlign w:val="center"/>
                </w:tcPr>
                <w:p w14:paraId="4B4A4454">
                  <w:pPr>
                    <w:jc w:val="center"/>
                    <w:rPr>
                      <w:rFonts w:ascii="Times New Roman" w:hAnsi="Times New Roman"/>
                      <w:b/>
                      <w:kern w:val="44"/>
                      <w:szCs w:val="21"/>
                    </w:rPr>
                  </w:pPr>
                  <w:r>
                    <w:rPr>
                      <w:rFonts w:ascii="Times New Roman" w:hAnsi="Times New Roman"/>
                      <w:b/>
                      <w:kern w:val="44"/>
                      <w:szCs w:val="21"/>
                    </w:rPr>
                    <w:t>排放情况</w:t>
                  </w:r>
                </w:p>
              </w:tc>
              <w:tc>
                <w:tcPr>
                  <w:tcW w:w="518" w:type="pct"/>
                  <w:vAlign w:val="center"/>
                </w:tcPr>
                <w:p w14:paraId="7B2C2853">
                  <w:pPr>
                    <w:jc w:val="center"/>
                    <w:rPr>
                      <w:rFonts w:ascii="Times New Roman" w:hAnsi="Times New Roman"/>
                      <w:b/>
                      <w:kern w:val="44"/>
                      <w:szCs w:val="21"/>
                    </w:rPr>
                  </w:pPr>
                  <w:r>
                    <w:rPr>
                      <w:rFonts w:ascii="Times New Roman" w:hAnsi="Times New Roman"/>
                      <w:b/>
                      <w:kern w:val="44"/>
                      <w:szCs w:val="21"/>
                    </w:rPr>
                    <w:t>排气筒</w:t>
                  </w:r>
                </w:p>
              </w:tc>
              <w:tc>
                <w:tcPr>
                  <w:tcW w:w="518" w:type="pct"/>
                  <w:vAlign w:val="center"/>
                </w:tcPr>
                <w:p w14:paraId="6813E1E0">
                  <w:pPr>
                    <w:jc w:val="center"/>
                    <w:rPr>
                      <w:rFonts w:ascii="Times New Roman" w:hAnsi="Times New Roman"/>
                      <w:b/>
                      <w:kern w:val="44"/>
                      <w:szCs w:val="21"/>
                    </w:rPr>
                  </w:pPr>
                  <w:r>
                    <w:rPr>
                      <w:rFonts w:ascii="Times New Roman" w:hAnsi="Times New Roman"/>
                      <w:b/>
                      <w:kern w:val="44"/>
                      <w:szCs w:val="21"/>
                    </w:rPr>
                    <w:t>污染物</w:t>
                  </w:r>
                </w:p>
                <w:p w14:paraId="5DCD339A">
                  <w:pPr>
                    <w:jc w:val="center"/>
                    <w:rPr>
                      <w:rFonts w:ascii="Times New Roman" w:hAnsi="Times New Roman"/>
                      <w:b/>
                      <w:kern w:val="44"/>
                      <w:szCs w:val="21"/>
                    </w:rPr>
                  </w:pPr>
                  <w:r>
                    <w:rPr>
                      <w:rFonts w:ascii="Times New Roman" w:hAnsi="Times New Roman"/>
                      <w:b/>
                      <w:kern w:val="44"/>
                      <w:szCs w:val="21"/>
                    </w:rPr>
                    <w:t>名称</w:t>
                  </w:r>
                </w:p>
              </w:tc>
              <w:tc>
                <w:tcPr>
                  <w:tcW w:w="745" w:type="pct"/>
                  <w:vAlign w:val="center"/>
                </w:tcPr>
                <w:p w14:paraId="244183FF">
                  <w:pPr>
                    <w:jc w:val="center"/>
                    <w:rPr>
                      <w:rFonts w:ascii="Times New Roman" w:hAnsi="Times New Roman"/>
                      <w:b/>
                      <w:kern w:val="44"/>
                      <w:szCs w:val="21"/>
                    </w:rPr>
                  </w:pPr>
                  <w:r>
                    <w:rPr>
                      <w:rFonts w:ascii="Times New Roman" w:hAnsi="Times New Roman"/>
                      <w:b/>
                      <w:kern w:val="44"/>
                      <w:szCs w:val="21"/>
                      <w:lang w:bidi="ar"/>
                    </w:rPr>
                    <w:t>排放浓度</w:t>
                  </w:r>
                </w:p>
                <w:p w14:paraId="00719A71">
                  <w:pPr>
                    <w:jc w:val="center"/>
                    <w:rPr>
                      <w:rFonts w:ascii="Times New Roman" w:hAnsi="Times New Roman"/>
                      <w:b/>
                      <w:kern w:val="44"/>
                      <w:szCs w:val="21"/>
                    </w:rPr>
                  </w:pPr>
                  <w:r>
                    <w:rPr>
                      <w:rFonts w:ascii="Times New Roman" w:hAnsi="Times New Roman"/>
                      <w:b/>
                      <w:kern w:val="44"/>
                      <w:szCs w:val="21"/>
                    </w:rPr>
                    <w:t>（mg/m</w:t>
                  </w:r>
                  <w:r>
                    <w:rPr>
                      <w:rFonts w:ascii="Times New Roman" w:hAnsi="Times New Roman"/>
                      <w:b/>
                      <w:kern w:val="44"/>
                      <w:szCs w:val="21"/>
                      <w:vertAlign w:val="superscript"/>
                    </w:rPr>
                    <w:t>3</w:t>
                  </w:r>
                  <w:r>
                    <w:rPr>
                      <w:rFonts w:ascii="Times New Roman" w:hAnsi="Times New Roman"/>
                      <w:b/>
                      <w:kern w:val="44"/>
                      <w:szCs w:val="21"/>
                    </w:rPr>
                    <w:t>）</w:t>
                  </w:r>
                </w:p>
              </w:tc>
              <w:tc>
                <w:tcPr>
                  <w:tcW w:w="1147" w:type="pct"/>
                  <w:vAlign w:val="center"/>
                </w:tcPr>
                <w:p w14:paraId="213E9B7F">
                  <w:pPr>
                    <w:jc w:val="center"/>
                    <w:rPr>
                      <w:rFonts w:ascii="Times New Roman" w:hAnsi="Times New Roman"/>
                      <w:b/>
                      <w:kern w:val="44"/>
                      <w:szCs w:val="21"/>
                    </w:rPr>
                  </w:pPr>
                  <w:r>
                    <w:rPr>
                      <w:rFonts w:ascii="Times New Roman" w:hAnsi="Times New Roman"/>
                      <w:b/>
                      <w:kern w:val="44"/>
                      <w:szCs w:val="21"/>
                    </w:rPr>
                    <w:t>排放情况（</w:t>
                  </w:r>
                  <w:r>
                    <w:rPr>
                      <w:rFonts w:ascii="Times New Roman" w:hAnsi="Times New Roman"/>
                      <w:b/>
                      <w:szCs w:val="21"/>
                    </w:rPr>
                    <w:t>kg/h</w:t>
                  </w:r>
                  <w:r>
                    <w:rPr>
                      <w:rFonts w:ascii="Times New Roman" w:hAnsi="Times New Roman"/>
                      <w:b/>
                      <w:kern w:val="44"/>
                      <w:szCs w:val="21"/>
                    </w:rPr>
                    <w:t>）</w:t>
                  </w:r>
                </w:p>
              </w:tc>
              <w:tc>
                <w:tcPr>
                  <w:tcW w:w="517" w:type="pct"/>
                  <w:vAlign w:val="center"/>
                </w:tcPr>
                <w:p w14:paraId="26EC5934">
                  <w:pPr>
                    <w:jc w:val="center"/>
                    <w:rPr>
                      <w:rFonts w:hint="default" w:ascii="Times New Roman" w:hAnsi="Times New Roman" w:eastAsia="宋体"/>
                      <w:b/>
                      <w:kern w:val="44"/>
                      <w:szCs w:val="21"/>
                      <w:lang w:val="en-US" w:eastAsia="zh-CN"/>
                    </w:rPr>
                  </w:pPr>
                  <w:r>
                    <w:rPr>
                      <w:rFonts w:hint="eastAsia"/>
                      <w:b/>
                      <w:kern w:val="44"/>
                      <w:szCs w:val="21"/>
                      <w:lang w:val="en-US" w:eastAsia="zh-CN"/>
                    </w:rPr>
                    <w:t>时长</w:t>
                  </w:r>
                </w:p>
              </w:tc>
              <w:tc>
                <w:tcPr>
                  <w:tcW w:w="517" w:type="pct"/>
                  <w:vAlign w:val="center"/>
                </w:tcPr>
                <w:p w14:paraId="6F527143">
                  <w:pPr>
                    <w:jc w:val="center"/>
                    <w:rPr>
                      <w:rFonts w:hint="default"/>
                      <w:b/>
                      <w:kern w:val="44"/>
                      <w:szCs w:val="21"/>
                      <w:lang w:val="en-US" w:eastAsia="zh-CN"/>
                    </w:rPr>
                  </w:pPr>
                  <w:r>
                    <w:rPr>
                      <w:rFonts w:hint="eastAsia"/>
                      <w:b/>
                      <w:kern w:val="44"/>
                      <w:szCs w:val="21"/>
                      <w:lang w:val="en-US" w:eastAsia="zh-CN"/>
                    </w:rPr>
                    <w:t>排放量</w:t>
                  </w:r>
                </w:p>
              </w:tc>
            </w:tr>
            <w:tr w14:paraId="3E1B61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8" w:type="pct"/>
                  <w:vAlign w:val="center"/>
                </w:tcPr>
                <w:p w14:paraId="76360D61">
                  <w:pPr>
                    <w:jc w:val="center"/>
                    <w:rPr>
                      <w:rFonts w:ascii="Times New Roman" w:hAnsi="Times New Roman"/>
                      <w:kern w:val="44"/>
                      <w:szCs w:val="21"/>
                    </w:rPr>
                  </w:pPr>
                  <w:r>
                    <w:rPr>
                      <w:rFonts w:ascii="Times New Roman" w:hAnsi="Times New Roman"/>
                      <w:kern w:val="44"/>
                      <w:szCs w:val="21"/>
                    </w:rPr>
                    <w:t>废气</w:t>
                  </w:r>
                </w:p>
              </w:tc>
              <w:tc>
                <w:tcPr>
                  <w:tcW w:w="647" w:type="pct"/>
                  <w:vAlign w:val="center"/>
                </w:tcPr>
                <w:p w14:paraId="12AC345B">
                  <w:pPr>
                    <w:jc w:val="center"/>
                    <w:rPr>
                      <w:rFonts w:ascii="Times New Roman" w:hAnsi="Times New Roman"/>
                      <w:kern w:val="44"/>
                      <w:szCs w:val="21"/>
                    </w:rPr>
                  </w:pPr>
                  <w:r>
                    <w:rPr>
                      <w:rFonts w:ascii="Times New Roman" w:hAnsi="Times New Roman"/>
                      <w:kern w:val="44"/>
                      <w:szCs w:val="21"/>
                    </w:rPr>
                    <w:t>非正常</w:t>
                  </w:r>
                </w:p>
                <w:p w14:paraId="7361531C">
                  <w:pPr>
                    <w:jc w:val="center"/>
                    <w:rPr>
                      <w:rFonts w:ascii="Times New Roman" w:hAnsi="Times New Roman"/>
                      <w:kern w:val="44"/>
                      <w:szCs w:val="21"/>
                    </w:rPr>
                  </w:pPr>
                  <w:r>
                    <w:rPr>
                      <w:rFonts w:ascii="Times New Roman" w:hAnsi="Times New Roman"/>
                      <w:kern w:val="44"/>
                      <w:szCs w:val="21"/>
                    </w:rPr>
                    <w:t>工况</w:t>
                  </w:r>
                </w:p>
              </w:tc>
              <w:tc>
                <w:tcPr>
                  <w:tcW w:w="518" w:type="pct"/>
                  <w:vAlign w:val="center"/>
                </w:tcPr>
                <w:p w14:paraId="77BE4105">
                  <w:pPr>
                    <w:jc w:val="center"/>
                    <w:rPr>
                      <w:rFonts w:ascii="Times New Roman" w:hAnsi="Times New Roman"/>
                      <w:kern w:val="44"/>
                      <w:szCs w:val="21"/>
                    </w:rPr>
                  </w:pPr>
                  <w:r>
                    <w:rPr>
                      <w:rFonts w:ascii="Times New Roman" w:hAnsi="Times New Roman"/>
                      <w:kern w:val="44"/>
                      <w:szCs w:val="21"/>
                    </w:rPr>
                    <w:t>DA001</w:t>
                  </w:r>
                </w:p>
              </w:tc>
              <w:tc>
                <w:tcPr>
                  <w:tcW w:w="518" w:type="pct"/>
                  <w:vAlign w:val="center"/>
                </w:tcPr>
                <w:p w14:paraId="58D153BA">
                  <w:pPr>
                    <w:ind w:left="-105" w:leftChars="-50" w:right="-105" w:rightChars="-50"/>
                    <w:jc w:val="center"/>
                    <w:rPr>
                      <w:rFonts w:ascii="Times New Roman" w:hAnsi="Times New Roman"/>
                      <w:kern w:val="44"/>
                      <w:szCs w:val="21"/>
                    </w:rPr>
                  </w:pPr>
                  <w:r>
                    <w:rPr>
                      <w:rFonts w:ascii="Times New Roman" w:hAnsi="Times New Roman"/>
                      <w:kern w:val="44"/>
                      <w:szCs w:val="21"/>
                    </w:rPr>
                    <w:t>非甲烷总烃</w:t>
                  </w:r>
                </w:p>
              </w:tc>
              <w:tc>
                <w:tcPr>
                  <w:tcW w:w="745" w:type="pct"/>
                  <w:vAlign w:val="center"/>
                </w:tcPr>
                <w:p w14:paraId="7185EA99">
                  <w:pPr>
                    <w:jc w:val="center"/>
                    <w:rPr>
                      <w:rFonts w:hint="default" w:ascii="Times New Roman" w:hAnsi="Times New Roman" w:eastAsia="宋体"/>
                      <w:kern w:val="44"/>
                      <w:szCs w:val="21"/>
                      <w:lang w:val="en-US" w:eastAsia="zh-CN"/>
                    </w:rPr>
                  </w:pPr>
                  <w:r>
                    <w:rPr>
                      <w:rFonts w:hint="eastAsia"/>
                      <w:sz w:val="18"/>
                      <w:szCs w:val="18"/>
                      <w:lang w:val="en-US" w:eastAsia="zh-CN"/>
                    </w:rPr>
                    <w:t>30.375</w:t>
                  </w:r>
                </w:p>
              </w:tc>
              <w:tc>
                <w:tcPr>
                  <w:tcW w:w="1147" w:type="pct"/>
                  <w:vAlign w:val="center"/>
                </w:tcPr>
                <w:p w14:paraId="3985DC3B">
                  <w:pPr>
                    <w:jc w:val="center"/>
                    <w:rPr>
                      <w:rFonts w:hint="default" w:ascii="Times New Roman" w:hAnsi="Times New Roman" w:eastAsia="宋体"/>
                      <w:kern w:val="44"/>
                      <w:szCs w:val="21"/>
                      <w:lang w:val="en-US" w:eastAsia="zh-CN"/>
                    </w:rPr>
                  </w:pPr>
                  <w:r>
                    <w:rPr>
                      <w:rFonts w:ascii="Times New Roman" w:hAnsi="Times New Roman"/>
                      <w:sz w:val="18"/>
                      <w:szCs w:val="18"/>
                    </w:rPr>
                    <w:t>0.</w:t>
                  </w:r>
                  <w:r>
                    <w:rPr>
                      <w:rFonts w:hint="eastAsia"/>
                      <w:sz w:val="18"/>
                      <w:szCs w:val="18"/>
                      <w:lang w:val="en-US" w:eastAsia="zh-CN"/>
                    </w:rPr>
                    <w:t>1823</w:t>
                  </w:r>
                </w:p>
              </w:tc>
              <w:tc>
                <w:tcPr>
                  <w:tcW w:w="517" w:type="pct"/>
                  <w:vAlign w:val="center"/>
                </w:tcPr>
                <w:p w14:paraId="5F5E8598">
                  <w:pPr>
                    <w:ind w:left="-105" w:leftChars="-50" w:right="-105" w:rightChars="-50"/>
                    <w:jc w:val="center"/>
                    <w:rPr>
                      <w:rFonts w:hint="default" w:ascii="Times New Roman" w:hAnsi="Times New Roman" w:eastAsia="宋体"/>
                      <w:kern w:val="44"/>
                      <w:szCs w:val="21"/>
                      <w:lang w:val="en-US" w:eastAsia="zh-CN"/>
                    </w:rPr>
                  </w:pPr>
                  <w:r>
                    <w:rPr>
                      <w:rFonts w:hint="eastAsia"/>
                      <w:kern w:val="44"/>
                      <w:szCs w:val="21"/>
                      <w:lang w:val="en-US" w:eastAsia="zh-CN"/>
                    </w:rPr>
                    <w:t>1h</w:t>
                  </w:r>
                </w:p>
              </w:tc>
              <w:tc>
                <w:tcPr>
                  <w:tcW w:w="517" w:type="pct"/>
                  <w:vAlign w:val="center"/>
                </w:tcPr>
                <w:p w14:paraId="0167A5E3">
                  <w:pPr>
                    <w:ind w:left="-105" w:leftChars="-50" w:right="-105" w:rightChars="-50"/>
                    <w:jc w:val="center"/>
                    <w:rPr>
                      <w:rFonts w:hint="default"/>
                      <w:kern w:val="44"/>
                      <w:szCs w:val="21"/>
                      <w:lang w:val="en-US" w:eastAsia="zh-CN"/>
                    </w:rPr>
                  </w:pPr>
                  <w:r>
                    <w:rPr>
                      <w:rFonts w:hint="eastAsia"/>
                      <w:kern w:val="44"/>
                      <w:szCs w:val="21"/>
                      <w:lang w:val="en-US" w:eastAsia="zh-CN"/>
                    </w:rPr>
                    <w:t>0.1823kg/a</w:t>
                  </w:r>
                </w:p>
              </w:tc>
            </w:tr>
            <w:tr w14:paraId="51F1F6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8" w:type="pct"/>
                  <w:vAlign w:val="center"/>
                </w:tcPr>
                <w:p w14:paraId="76DDD289">
                  <w:pPr>
                    <w:jc w:val="center"/>
                    <w:rPr>
                      <w:rFonts w:hint="eastAsia" w:ascii="Times New Roman" w:hAnsi="Times New Roman" w:eastAsia="宋体"/>
                      <w:kern w:val="44"/>
                      <w:szCs w:val="21"/>
                      <w:lang w:val="en-US" w:eastAsia="zh-CN"/>
                    </w:rPr>
                  </w:pPr>
                  <w:r>
                    <w:rPr>
                      <w:rFonts w:hint="eastAsia"/>
                      <w:kern w:val="44"/>
                      <w:szCs w:val="21"/>
                      <w:lang w:val="en-US" w:eastAsia="zh-CN"/>
                    </w:rPr>
                    <w:t>废气</w:t>
                  </w:r>
                </w:p>
              </w:tc>
              <w:tc>
                <w:tcPr>
                  <w:tcW w:w="647" w:type="pct"/>
                  <w:vAlign w:val="center"/>
                </w:tcPr>
                <w:p w14:paraId="134DFC8B">
                  <w:pPr>
                    <w:jc w:val="center"/>
                    <w:rPr>
                      <w:rFonts w:hint="default" w:ascii="Times New Roman" w:hAnsi="Times New Roman" w:eastAsia="宋体"/>
                      <w:kern w:val="44"/>
                      <w:szCs w:val="21"/>
                      <w:lang w:val="en-US" w:eastAsia="zh-CN"/>
                    </w:rPr>
                  </w:pPr>
                  <w:r>
                    <w:rPr>
                      <w:rFonts w:hint="eastAsia"/>
                      <w:kern w:val="44"/>
                      <w:szCs w:val="21"/>
                      <w:lang w:val="en-US" w:eastAsia="zh-CN"/>
                    </w:rPr>
                    <w:t>非正常工况</w:t>
                  </w:r>
                </w:p>
              </w:tc>
              <w:tc>
                <w:tcPr>
                  <w:tcW w:w="518" w:type="pct"/>
                  <w:vAlign w:val="center"/>
                </w:tcPr>
                <w:p w14:paraId="4544C3BF">
                  <w:pPr>
                    <w:jc w:val="center"/>
                    <w:rPr>
                      <w:rFonts w:hint="default" w:ascii="Times New Roman" w:hAnsi="Times New Roman" w:eastAsia="宋体"/>
                      <w:kern w:val="44"/>
                      <w:szCs w:val="21"/>
                      <w:lang w:val="en-US" w:eastAsia="zh-CN"/>
                    </w:rPr>
                  </w:pPr>
                  <w:r>
                    <w:rPr>
                      <w:rFonts w:hint="eastAsia"/>
                      <w:kern w:val="44"/>
                      <w:szCs w:val="21"/>
                      <w:lang w:val="en-US" w:eastAsia="zh-CN"/>
                    </w:rPr>
                    <w:t>DA002</w:t>
                  </w:r>
                </w:p>
              </w:tc>
              <w:tc>
                <w:tcPr>
                  <w:tcW w:w="518" w:type="pct"/>
                  <w:vAlign w:val="center"/>
                </w:tcPr>
                <w:p w14:paraId="3060FEE1">
                  <w:pPr>
                    <w:ind w:left="-105" w:leftChars="-50" w:right="-105" w:rightChars="-50"/>
                    <w:jc w:val="center"/>
                    <w:rPr>
                      <w:rFonts w:hint="default" w:ascii="Times New Roman" w:hAnsi="Times New Roman" w:eastAsia="宋体"/>
                      <w:kern w:val="44"/>
                      <w:szCs w:val="21"/>
                      <w:lang w:val="en-US" w:eastAsia="zh-CN"/>
                    </w:rPr>
                  </w:pPr>
                  <w:r>
                    <w:rPr>
                      <w:rFonts w:hint="eastAsia"/>
                      <w:kern w:val="44"/>
                      <w:szCs w:val="21"/>
                      <w:lang w:val="en-US" w:eastAsia="zh-CN"/>
                    </w:rPr>
                    <w:t>颗粒物</w:t>
                  </w:r>
                </w:p>
              </w:tc>
              <w:tc>
                <w:tcPr>
                  <w:tcW w:w="745" w:type="pct"/>
                  <w:vAlign w:val="center"/>
                </w:tcPr>
                <w:p w14:paraId="547C24DE">
                  <w:pPr>
                    <w:jc w:val="center"/>
                    <w:rPr>
                      <w:rFonts w:hint="default"/>
                      <w:sz w:val="18"/>
                      <w:szCs w:val="18"/>
                      <w:lang w:val="en-US" w:eastAsia="zh-CN"/>
                    </w:rPr>
                  </w:pPr>
                  <w:r>
                    <w:rPr>
                      <w:rFonts w:hint="eastAsia"/>
                      <w:sz w:val="18"/>
                      <w:szCs w:val="18"/>
                      <w:lang w:val="en-US" w:eastAsia="zh-CN"/>
                    </w:rPr>
                    <w:t>54</w:t>
                  </w:r>
                </w:p>
              </w:tc>
              <w:tc>
                <w:tcPr>
                  <w:tcW w:w="1147" w:type="pct"/>
                  <w:vAlign w:val="center"/>
                </w:tcPr>
                <w:p w14:paraId="45A91418">
                  <w:pPr>
                    <w:jc w:val="center"/>
                    <w:rPr>
                      <w:rFonts w:hint="default" w:ascii="Times New Roman" w:hAnsi="Times New Roman" w:eastAsia="宋体"/>
                      <w:sz w:val="18"/>
                      <w:szCs w:val="18"/>
                      <w:lang w:val="en-US" w:eastAsia="zh-CN"/>
                    </w:rPr>
                  </w:pPr>
                  <w:r>
                    <w:rPr>
                      <w:rFonts w:hint="eastAsia"/>
                      <w:sz w:val="18"/>
                      <w:szCs w:val="18"/>
                      <w:lang w:val="en-US" w:eastAsia="zh-CN"/>
                    </w:rPr>
                    <w:t>0.108</w:t>
                  </w:r>
                </w:p>
              </w:tc>
              <w:tc>
                <w:tcPr>
                  <w:tcW w:w="517" w:type="pct"/>
                  <w:vAlign w:val="center"/>
                </w:tcPr>
                <w:p w14:paraId="11FEB761">
                  <w:pPr>
                    <w:ind w:left="-105" w:leftChars="-50" w:right="-105" w:rightChars="-50"/>
                    <w:jc w:val="center"/>
                    <w:rPr>
                      <w:rFonts w:hint="default"/>
                      <w:kern w:val="44"/>
                      <w:szCs w:val="21"/>
                      <w:lang w:val="en-US" w:eastAsia="zh-CN"/>
                    </w:rPr>
                  </w:pPr>
                  <w:r>
                    <w:rPr>
                      <w:rFonts w:hint="eastAsia"/>
                      <w:kern w:val="44"/>
                      <w:szCs w:val="21"/>
                      <w:lang w:val="en-US" w:eastAsia="zh-CN"/>
                    </w:rPr>
                    <w:t>1h</w:t>
                  </w:r>
                </w:p>
              </w:tc>
              <w:tc>
                <w:tcPr>
                  <w:tcW w:w="517" w:type="pct"/>
                  <w:vAlign w:val="center"/>
                </w:tcPr>
                <w:p w14:paraId="1D705055">
                  <w:pPr>
                    <w:ind w:left="-105" w:leftChars="-50" w:right="-105" w:rightChars="-50"/>
                    <w:jc w:val="center"/>
                    <w:rPr>
                      <w:rFonts w:hint="default"/>
                      <w:kern w:val="44"/>
                      <w:szCs w:val="21"/>
                      <w:lang w:val="en-US" w:eastAsia="zh-CN"/>
                    </w:rPr>
                  </w:pPr>
                  <w:r>
                    <w:rPr>
                      <w:rFonts w:hint="eastAsia"/>
                      <w:kern w:val="44"/>
                      <w:szCs w:val="21"/>
                      <w:lang w:val="en-US" w:eastAsia="zh-CN"/>
                    </w:rPr>
                    <w:t>0.108kg/a</w:t>
                  </w:r>
                </w:p>
              </w:tc>
            </w:tr>
          </w:tbl>
          <w:p w14:paraId="1A263154"/>
        </w:tc>
      </w:tr>
    </w:tbl>
    <w:p w14:paraId="0171CD1E">
      <w:pPr>
        <w:pStyle w:val="26"/>
        <w:snapToGrid w:val="0"/>
        <w:spacing w:before="0" w:beforeAutospacing="0" w:after="0" w:afterAutospacing="0" w:line="360" w:lineRule="auto"/>
        <w:jc w:val="center"/>
        <w:outlineLvl w:val="0"/>
        <w:rPr>
          <w:rFonts w:ascii="Times New Roman" w:hAnsi="Times New Roman"/>
          <w:b/>
          <w:bCs/>
          <w:snapToGrid w:val="0"/>
          <w:sz w:val="30"/>
          <w:szCs w:val="30"/>
        </w:rPr>
        <w:sectPr>
          <w:pgSz w:w="11906" w:h="16838"/>
          <w:pgMar w:top="1440" w:right="1418" w:bottom="1440" w:left="1418" w:header="851" w:footer="851" w:gutter="0"/>
          <w:cols w:space="720" w:num="1"/>
          <w:docGrid w:linePitch="312" w:charSpace="0"/>
        </w:sectPr>
      </w:pPr>
    </w:p>
    <w:p w14:paraId="4A6B21E2">
      <w:pPr>
        <w:pStyle w:val="52"/>
        <w:numPr>
          <w:ilvl w:val="0"/>
          <w:numId w:val="0"/>
        </w:numPr>
        <w:spacing w:line="360" w:lineRule="auto"/>
        <w:ind w:left="420" w:leftChars="0" w:hanging="132" w:firstLineChars="0"/>
        <w:rPr>
          <w:rFonts w:cs="Times New Roman"/>
        </w:rPr>
      </w:pPr>
      <w:r>
        <w:rPr>
          <w:rFonts w:hint="eastAsia" w:ascii="Times New Roman" w:hAnsi="Times New Roman" w:eastAsia="宋体" w:cs="Times New Roman"/>
          <w:b/>
          <w:kern w:val="0"/>
          <w:sz w:val="21"/>
          <w:szCs w:val="21"/>
          <w:lang w:val="en-US" w:eastAsia="zh-CN" w:bidi="ar-SA"/>
        </w:rPr>
        <w:t>表4-2</w:t>
      </w:r>
      <w:r>
        <w:rPr>
          <w:rFonts w:cs="Times New Roman"/>
        </w:rPr>
        <w:t>项目</w:t>
      </w:r>
      <w:r>
        <w:rPr>
          <w:rFonts w:hint="eastAsia" w:cs="Times New Roman"/>
          <w:lang w:val="en-US" w:eastAsia="zh-CN"/>
        </w:rPr>
        <w:t>有组织</w:t>
      </w:r>
      <w:r>
        <w:rPr>
          <w:rFonts w:cs="Times New Roman"/>
        </w:rPr>
        <w:t>废气产生及排放情况</w:t>
      </w:r>
    </w:p>
    <w:tbl>
      <w:tblPr>
        <w:tblStyle w:val="7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517"/>
        <w:gridCol w:w="1106"/>
        <w:gridCol w:w="790"/>
        <w:gridCol w:w="833"/>
        <w:gridCol w:w="876"/>
        <w:gridCol w:w="463"/>
        <w:gridCol w:w="1590"/>
        <w:gridCol w:w="1084"/>
        <w:gridCol w:w="612"/>
        <w:gridCol w:w="692"/>
        <w:gridCol w:w="575"/>
        <w:gridCol w:w="802"/>
        <w:gridCol w:w="757"/>
        <w:gridCol w:w="871"/>
        <w:gridCol w:w="814"/>
        <w:gridCol w:w="638"/>
        <w:gridCol w:w="547"/>
      </w:tblGrid>
      <w:tr w14:paraId="7201EB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9" w:type="pct"/>
            <w:vMerge w:val="restart"/>
            <w:vAlign w:val="center"/>
          </w:tcPr>
          <w:p w14:paraId="086AE75B">
            <w:pPr>
              <w:snapToGrid w:val="0"/>
              <w:jc w:val="center"/>
              <w:rPr>
                <w:rFonts w:ascii="Times New Roman" w:hAnsi="Times New Roman"/>
                <w:sz w:val="18"/>
                <w:szCs w:val="18"/>
              </w:rPr>
            </w:pPr>
            <w:r>
              <w:rPr>
                <w:rFonts w:ascii="Times New Roman" w:hAnsi="Times New Roman"/>
                <w:sz w:val="18"/>
                <w:szCs w:val="18"/>
              </w:rPr>
              <w:t>产污环节</w:t>
            </w:r>
          </w:p>
        </w:tc>
        <w:tc>
          <w:tcPr>
            <w:tcW w:w="182" w:type="pct"/>
            <w:vMerge w:val="restart"/>
            <w:vAlign w:val="center"/>
          </w:tcPr>
          <w:p w14:paraId="083A3553">
            <w:pPr>
              <w:snapToGrid w:val="0"/>
              <w:jc w:val="center"/>
              <w:rPr>
                <w:rFonts w:ascii="Times New Roman" w:hAnsi="Times New Roman"/>
                <w:sz w:val="18"/>
                <w:szCs w:val="18"/>
              </w:rPr>
            </w:pPr>
            <w:r>
              <w:rPr>
                <w:rFonts w:ascii="Times New Roman" w:hAnsi="Times New Roman"/>
                <w:sz w:val="18"/>
                <w:szCs w:val="18"/>
              </w:rPr>
              <w:t>污染物种类</w:t>
            </w:r>
          </w:p>
        </w:tc>
        <w:tc>
          <w:tcPr>
            <w:tcW w:w="389" w:type="pct"/>
            <w:vMerge w:val="restart"/>
            <w:vAlign w:val="center"/>
          </w:tcPr>
          <w:p w14:paraId="3C1C6B86">
            <w:pPr>
              <w:snapToGrid w:val="0"/>
              <w:jc w:val="center"/>
              <w:rPr>
                <w:rFonts w:ascii="Times New Roman" w:hAnsi="Times New Roman"/>
                <w:sz w:val="18"/>
                <w:szCs w:val="18"/>
              </w:rPr>
            </w:pPr>
            <w:r>
              <w:rPr>
                <w:rFonts w:ascii="Times New Roman" w:hAnsi="Times New Roman"/>
                <w:sz w:val="18"/>
                <w:szCs w:val="18"/>
              </w:rPr>
              <w:t>核算方</w:t>
            </w:r>
          </w:p>
          <w:p w14:paraId="2955BA44">
            <w:pPr>
              <w:snapToGrid w:val="0"/>
              <w:jc w:val="center"/>
              <w:rPr>
                <w:rFonts w:ascii="Times New Roman" w:hAnsi="Times New Roman"/>
                <w:sz w:val="18"/>
                <w:szCs w:val="18"/>
              </w:rPr>
            </w:pPr>
            <w:r>
              <w:rPr>
                <w:rFonts w:ascii="Times New Roman" w:hAnsi="Times New Roman"/>
                <w:sz w:val="18"/>
                <w:szCs w:val="18"/>
              </w:rPr>
              <w:t>法</w:t>
            </w:r>
          </w:p>
        </w:tc>
        <w:tc>
          <w:tcPr>
            <w:tcW w:w="879" w:type="pct"/>
            <w:gridSpan w:val="3"/>
            <w:vMerge w:val="restart"/>
            <w:vAlign w:val="center"/>
          </w:tcPr>
          <w:p w14:paraId="58D77A39">
            <w:pPr>
              <w:snapToGrid w:val="0"/>
              <w:jc w:val="center"/>
              <w:rPr>
                <w:rFonts w:ascii="Times New Roman" w:hAnsi="Times New Roman"/>
                <w:sz w:val="18"/>
                <w:szCs w:val="18"/>
              </w:rPr>
            </w:pPr>
            <w:r>
              <w:rPr>
                <w:rFonts w:ascii="Times New Roman" w:hAnsi="Times New Roman"/>
                <w:sz w:val="18"/>
                <w:szCs w:val="18"/>
              </w:rPr>
              <w:t>污染物产生情况</w:t>
            </w:r>
          </w:p>
        </w:tc>
        <w:tc>
          <w:tcPr>
            <w:tcW w:w="163" w:type="pct"/>
            <w:vMerge w:val="restart"/>
            <w:vAlign w:val="center"/>
          </w:tcPr>
          <w:p w14:paraId="5D78CD66">
            <w:pPr>
              <w:snapToGrid w:val="0"/>
              <w:jc w:val="center"/>
              <w:rPr>
                <w:rFonts w:ascii="Times New Roman" w:hAnsi="Times New Roman"/>
                <w:sz w:val="18"/>
                <w:szCs w:val="18"/>
              </w:rPr>
            </w:pPr>
            <w:r>
              <w:rPr>
                <w:rFonts w:ascii="Times New Roman" w:hAnsi="Times New Roman"/>
                <w:sz w:val="18"/>
                <w:szCs w:val="18"/>
              </w:rPr>
              <w:t>排放</w:t>
            </w:r>
          </w:p>
          <w:p w14:paraId="7E6CA315">
            <w:pPr>
              <w:snapToGrid w:val="0"/>
              <w:jc w:val="center"/>
              <w:rPr>
                <w:rFonts w:ascii="Times New Roman" w:hAnsi="Times New Roman"/>
                <w:sz w:val="18"/>
                <w:szCs w:val="18"/>
              </w:rPr>
            </w:pPr>
            <w:r>
              <w:rPr>
                <w:rFonts w:ascii="Times New Roman" w:hAnsi="Times New Roman"/>
                <w:sz w:val="18"/>
                <w:szCs w:val="18"/>
              </w:rPr>
              <w:t>形式</w:t>
            </w:r>
          </w:p>
        </w:tc>
        <w:tc>
          <w:tcPr>
            <w:tcW w:w="1600" w:type="pct"/>
            <w:gridSpan w:val="5"/>
            <w:vAlign w:val="center"/>
          </w:tcPr>
          <w:p w14:paraId="28B96573">
            <w:pPr>
              <w:snapToGrid w:val="0"/>
              <w:jc w:val="center"/>
              <w:rPr>
                <w:rFonts w:ascii="Times New Roman" w:hAnsi="Times New Roman"/>
                <w:sz w:val="18"/>
                <w:szCs w:val="18"/>
              </w:rPr>
            </w:pPr>
            <w:r>
              <w:rPr>
                <w:rFonts w:ascii="Times New Roman" w:hAnsi="Times New Roman"/>
                <w:sz w:val="18"/>
                <w:szCs w:val="18"/>
              </w:rPr>
              <w:t>治理设施</w:t>
            </w:r>
          </w:p>
        </w:tc>
        <w:tc>
          <w:tcPr>
            <w:tcW w:w="850" w:type="pct"/>
            <w:gridSpan w:val="3"/>
            <w:vMerge w:val="restart"/>
            <w:vAlign w:val="center"/>
          </w:tcPr>
          <w:p w14:paraId="6B75BA53">
            <w:pPr>
              <w:snapToGrid w:val="0"/>
              <w:jc w:val="center"/>
              <w:rPr>
                <w:rFonts w:ascii="Times New Roman" w:hAnsi="Times New Roman"/>
                <w:sz w:val="18"/>
                <w:szCs w:val="18"/>
              </w:rPr>
            </w:pPr>
            <w:r>
              <w:rPr>
                <w:rFonts w:ascii="Times New Roman" w:hAnsi="Times New Roman"/>
                <w:sz w:val="18"/>
                <w:szCs w:val="18"/>
              </w:rPr>
              <w:t>污染物排放情况</w:t>
            </w:r>
          </w:p>
        </w:tc>
        <w:tc>
          <w:tcPr>
            <w:tcW w:w="510" w:type="pct"/>
            <w:gridSpan w:val="2"/>
            <w:vMerge w:val="restart"/>
            <w:vAlign w:val="center"/>
          </w:tcPr>
          <w:p w14:paraId="1E7A0248">
            <w:pPr>
              <w:snapToGrid w:val="0"/>
              <w:jc w:val="center"/>
              <w:rPr>
                <w:rFonts w:ascii="Times New Roman" w:hAnsi="Times New Roman"/>
                <w:sz w:val="18"/>
                <w:szCs w:val="18"/>
              </w:rPr>
            </w:pPr>
            <w:r>
              <w:rPr>
                <w:rFonts w:ascii="Times New Roman" w:hAnsi="Times New Roman"/>
                <w:sz w:val="18"/>
                <w:szCs w:val="18"/>
              </w:rPr>
              <w:t>排放标准限值</w:t>
            </w:r>
          </w:p>
        </w:tc>
        <w:tc>
          <w:tcPr>
            <w:tcW w:w="192" w:type="pct"/>
            <w:vMerge w:val="restart"/>
            <w:vAlign w:val="center"/>
          </w:tcPr>
          <w:p w14:paraId="49B64F02">
            <w:pPr>
              <w:snapToGrid w:val="0"/>
              <w:jc w:val="center"/>
              <w:rPr>
                <w:rFonts w:ascii="Times New Roman" w:hAnsi="Times New Roman"/>
                <w:sz w:val="18"/>
                <w:szCs w:val="18"/>
              </w:rPr>
            </w:pPr>
            <w:r>
              <w:rPr>
                <w:rFonts w:ascii="Times New Roman" w:hAnsi="Times New Roman"/>
                <w:sz w:val="18"/>
                <w:szCs w:val="18"/>
              </w:rPr>
              <w:t>是否达标排放</w:t>
            </w:r>
          </w:p>
        </w:tc>
      </w:tr>
      <w:tr w14:paraId="1D4097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9" w:type="pct"/>
            <w:vMerge w:val="continue"/>
            <w:vAlign w:val="center"/>
          </w:tcPr>
          <w:p w14:paraId="4EA7E2F5">
            <w:pPr>
              <w:snapToGrid w:val="0"/>
              <w:jc w:val="center"/>
              <w:rPr>
                <w:rFonts w:ascii="Times New Roman" w:hAnsi="Times New Roman"/>
                <w:sz w:val="18"/>
                <w:szCs w:val="18"/>
              </w:rPr>
            </w:pPr>
          </w:p>
        </w:tc>
        <w:tc>
          <w:tcPr>
            <w:tcW w:w="182" w:type="pct"/>
            <w:vMerge w:val="continue"/>
            <w:vAlign w:val="center"/>
          </w:tcPr>
          <w:p w14:paraId="19BAA11B">
            <w:pPr>
              <w:snapToGrid w:val="0"/>
              <w:jc w:val="center"/>
              <w:rPr>
                <w:rFonts w:ascii="Times New Roman" w:hAnsi="Times New Roman"/>
                <w:sz w:val="18"/>
                <w:szCs w:val="18"/>
              </w:rPr>
            </w:pPr>
          </w:p>
        </w:tc>
        <w:tc>
          <w:tcPr>
            <w:tcW w:w="389" w:type="pct"/>
            <w:vMerge w:val="continue"/>
            <w:vAlign w:val="center"/>
          </w:tcPr>
          <w:p w14:paraId="27C342F4">
            <w:pPr>
              <w:snapToGrid w:val="0"/>
              <w:jc w:val="center"/>
              <w:rPr>
                <w:rFonts w:ascii="Times New Roman" w:hAnsi="Times New Roman"/>
                <w:sz w:val="18"/>
                <w:szCs w:val="18"/>
              </w:rPr>
            </w:pPr>
          </w:p>
        </w:tc>
        <w:tc>
          <w:tcPr>
            <w:tcW w:w="879" w:type="pct"/>
            <w:gridSpan w:val="3"/>
            <w:vMerge w:val="continue"/>
            <w:vAlign w:val="center"/>
          </w:tcPr>
          <w:p w14:paraId="08EC62AF">
            <w:pPr>
              <w:snapToGrid w:val="0"/>
              <w:jc w:val="center"/>
              <w:rPr>
                <w:rFonts w:ascii="Times New Roman" w:hAnsi="Times New Roman"/>
                <w:sz w:val="18"/>
                <w:szCs w:val="18"/>
              </w:rPr>
            </w:pPr>
          </w:p>
        </w:tc>
        <w:tc>
          <w:tcPr>
            <w:tcW w:w="163" w:type="pct"/>
            <w:vMerge w:val="continue"/>
            <w:vAlign w:val="center"/>
          </w:tcPr>
          <w:p w14:paraId="6F929775">
            <w:pPr>
              <w:snapToGrid w:val="0"/>
              <w:jc w:val="center"/>
              <w:rPr>
                <w:rFonts w:ascii="Times New Roman" w:hAnsi="Times New Roman"/>
                <w:sz w:val="18"/>
                <w:szCs w:val="18"/>
              </w:rPr>
            </w:pPr>
          </w:p>
        </w:tc>
        <w:tc>
          <w:tcPr>
            <w:tcW w:w="559" w:type="pct"/>
            <w:vMerge w:val="restart"/>
            <w:vAlign w:val="center"/>
          </w:tcPr>
          <w:p w14:paraId="65C95312">
            <w:pPr>
              <w:snapToGrid w:val="0"/>
              <w:jc w:val="center"/>
              <w:rPr>
                <w:rFonts w:ascii="Times New Roman" w:hAnsi="Times New Roman"/>
                <w:sz w:val="18"/>
                <w:szCs w:val="18"/>
              </w:rPr>
            </w:pPr>
            <w:r>
              <w:rPr>
                <w:rFonts w:ascii="Times New Roman" w:hAnsi="Times New Roman"/>
                <w:sz w:val="18"/>
                <w:szCs w:val="18"/>
              </w:rPr>
              <w:t>主要治理措施</w:t>
            </w:r>
          </w:p>
        </w:tc>
        <w:tc>
          <w:tcPr>
            <w:tcW w:w="381" w:type="pct"/>
            <w:vMerge w:val="restart"/>
            <w:vAlign w:val="center"/>
          </w:tcPr>
          <w:p w14:paraId="7784C535">
            <w:pPr>
              <w:snapToGrid w:val="0"/>
              <w:jc w:val="center"/>
              <w:rPr>
                <w:rFonts w:ascii="Times New Roman" w:hAnsi="Times New Roman"/>
                <w:sz w:val="18"/>
                <w:szCs w:val="18"/>
              </w:rPr>
            </w:pPr>
            <w:r>
              <w:rPr>
                <w:rFonts w:ascii="Times New Roman" w:hAnsi="Times New Roman"/>
                <w:sz w:val="18"/>
                <w:szCs w:val="18"/>
              </w:rPr>
              <w:t>处理能力</w:t>
            </w:r>
          </w:p>
        </w:tc>
        <w:tc>
          <w:tcPr>
            <w:tcW w:w="215" w:type="pct"/>
            <w:vMerge w:val="restart"/>
            <w:vAlign w:val="center"/>
          </w:tcPr>
          <w:p w14:paraId="3B8E8322">
            <w:pPr>
              <w:snapToGrid w:val="0"/>
              <w:jc w:val="center"/>
              <w:rPr>
                <w:rFonts w:ascii="Times New Roman" w:hAnsi="Times New Roman"/>
                <w:sz w:val="18"/>
                <w:szCs w:val="18"/>
              </w:rPr>
            </w:pPr>
            <w:r>
              <w:rPr>
                <w:rFonts w:ascii="Times New Roman" w:hAnsi="Times New Roman"/>
                <w:sz w:val="18"/>
                <w:szCs w:val="18"/>
              </w:rPr>
              <w:t>收集效率</w:t>
            </w:r>
          </w:p>
        </w:tc>
        <w:tc>
          <w:tcPr>
            <w:tcW w:w="243" w:type="pct"/>
            <w:vMerge w:val="restart"/>
            <w:vAlign w:val="center"/>
          </w:tcPr>
          <w:p w14:paraId="65497303">
            <w:pPr>
              <w:snapToGrid w:val="0"/>
              <w:jc w:val="center"/>
              <w:rPr>
                <w:rFonts w:ascii="Times New Roman" w:hAnsi="Times New Roman"/>
                <w:sz w:val="18"/>
                <w:szCs w:val="18"/>
              </w:rPr>
            </w:pPr>
            <w:r>
              <w:rPr>
                <w:rFonts w:ascii="Times New Roman" w:hAnsi="Times New Roman"/>
                <w:sz w:val="18"/>
                <w:szCs w:val="18"/>
              </w:rPr>
              <w:t>治理工艺去除率</w:t>
            </w:r>
          </w:p>
        </w:tc>
        <w:tc>
          <w:tcPr>
            <w:tcW w:w="202" w:type="pct"/>
            <w:vMerge w:val="restart"/>
            <w:vAlign w:val="center"/>
          </w:tcPr>
          <w:p w14:paraId="4DCE14C1">
            <w:pPr>
              <w:snapToGrid w:val="0"/>
              <w:jc w:val="center"/>
              <w:rPr>
                <w:rFonts w:ascii="Times New Roman" w:hAnsi="Times New Roman"/>
                <w:sz w:val="18"/>
                <w:szCs w:val="18"/>
              </w:rPr>
            </w:pPr>
            <w:r>
              <w:rPr>
                <w:rFonts w:ascii="Times New Roman" w:hAnsi="Times New Roman"/>
                <w:sz w:val="18"/>
                <w:szCs w:val="18"/>
              </w:rPr>
              <w:t>是否为可行技术</w:t>
            </w:r>
          </w:p>
        </w:tc>
        <w:tc>
          <w:tcPr>
            <w:tcW w:w="850" w:type="pct"/>
            <w:gridSpan w:val="3"/>
            <w:vMerge w:val="continue"/>
            <w:vAlign w:val="center"/>
          </w:tcPr>
          <w:p w14:paraId="75FF01B5">
            <w:pPr>
              <w:snapToGrid w:val="0"/>
              <w:jc w:val="center"/>
              <w:rPr>
                <w:rFonts w:ascii="Times New Roman" w:hAnsi="Times New Roman"/>
                <w:sz w:val="18"/>
                <w:szCs w:val="18"/>
              </w:rPr>
            </w:pPr>
          </w:p>
        </w:tc>
        <w:tc>
          <w:tcPr>
            <w:tcW w:w="510" w:type="pct"/>
            <w:gridSpan w:val="2"/>
            <w:vMerge w:val="continue"/>
            <w:vAlign w:val="center"/>
          </w:tcPr>
          <w:p w14:paraId="52F1758A">
            <w:pPr>
              <w:snapToGrid w:val="0"/>
              <w:jc w:val="center"/>
              <w:rPr>
                <w:rFonts w:ascii="Times New Roman" w:hAnsi="Times New Roman"/>
                <w:sz w:val="18"/>
                <w:szCs w:val="18"/>
              </w:rPr>
            </w:pPr>
          </w:p>
        </w:tc>
        <w:tc>
          <w:tcPr>
            <w:tcW w:w="192" w:type="pct"/>
            <w:vMerge w:val="continue"/>
            <w:vAlign w:val="center"/>
          </w:tcPr>
          <w:p w14:paraId="1437017B">
            <w:pPr>
              <w:snapToGrid w:val="0"/>
              <w:jc w:val="center"/>
              <w:rPr>
                <w:rFonts w:ascii="Times New Roman" w:hAnsi="Times New Roman"/>
                <w:sz w:val="18"/>
                <w:szCs w:val="18"/>
              </w:rPr>
            </w:pPr>
          </w:p>
        </w:tc>
      </w:tr>
      <w:tr w14:paraId="42B387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9" w:type="pct"/>
            <w:vMerge w:val="continue"/>
            <w:vAlign w:val="center"/>
          </w:tcPr>
          <w:p w14:paraId="51F01050">
            <w:pPr>
              <w:snapToGrid w:val="0"/>
              <w:jc w:val="center"/>
              <w:rPr>
                <w:rFonts w:ascii="Times New Roman" w:hAnsi="Times New Roman"/>
                <w:sz w:val="18"/>
                <w:szCs w:val="18"/>
              </w:rPr>
            </w:pPr>
          </w:p>
        </w:tc>
        <w:tc>
          <w:tcPr>
            <w:tcW w:w="182" w:type="pct"/>
            <w:vMerge w:val="continue"/>
            <w:vAlign w:val="center"/>
          </w:tcPr>
          <w:p w14:paraId="01AE9C31">
            <w:pPr>
              <w:snapToGrid w:val="0"/>
              <w:jc w:val="center"/>
              <w:rPr>
                <w:rFonts w:ascii="Times New Roman" w:hAnsi="Times New Roman"/>
                <w:sz w:val="18"/>
                <w:szCs w:val="18"/>
              </w:rPr>
            </w:pPr>
          </w:p>
        </w:tc>
        <w:tc>
          <w:tcPr>
            <w:tcW w:w="389" w:type="pct"/>
            <w:vMerge w:val="continue"/>
            <w:vAlign w:val="center"/>
          </w:tcPr>
          <w:p w14:paraId="22AAB016">
            <w:pPr>
              <w:snapToGrid w:val="0"/>
              <w:jc w:val="center"/>
              <w:rPr>
                <w:rFonts w:ascii="Times New Roman" w:hAnsi="Times New Roman"/>
                <w:sz w:val="18"/>
                <w:szCs w:val="18"/>
              </w:rPr>
            </w:pPr>
          </w:p>
        </w:tc>
        <w:tc>
          <w:tcPr>
            <w:tcW w:w="278" w:type="pct"/>
            <w:vAlign w:val="center"/>
          </w:tcPr>
          <w:p w14:paraId="0931FCE3">
            <w:pPr>
              <w:snapToGrid w:val="0"/>
              <w:jc w:val="center"/>
              <w:rPr>
                <w:rFonts w:ascii="Times New Roman" w:hAnsi="Times New Roman"/>
                <w:sz w:val="18"/>
                <w:szCs w:val="18"/>
              </w:rPr>
            </w:pPr>
            <w:r>
              <w:rPr>
                <w:rFonts w:ascii="Times New Roman" w:hAnsi="Times New Roman"/>
                <w:sz w:val="18"/>
                <w:szCs w:val="18"/>
              </w:rPr>
              <w:t>产生量t/a</w:t>
            </w:r>
          </w:p>
        </w:tc>
        <w:tc>
          <w:tcPr>
            <w:tcW w:w="293" w:type="pct"/>
            <w:vAlign w:val="center"/>
          </w:tcPr>
          <w:p w14:paraId="5DBF401E">
            <w:pPr>
              <w:snapToGrid w:val="0"/>
              <w:jc w:val="center"/>
              <w:rPr>
                <w:rFonts w:ascii="Times New Roman" w:hAnsi="Times New Roman"/>
                <w:sz w:val="18"/>
                <w:szCs w:val="18"/>
              </w:rPr>
            </w:pPr>
            <w:r>
              <w:rPr>
                <w:rFonts w:ascii="Times New Roman" w:hAnsi="Times New Roman"/>
                <w:sz w:val="18"/>
                <w:szCs w:val="18"/>
              </w:rPr>
              <w:t>产生速率kg/h</w:t>
            </w:r>
          </w:p>
        </w:tc>
        <w:tc>
          <w:tcPr>
            <w:tcW w:w="307" w:type="pct"/>
            <w:vAlign w:val="center"/>
          </w:tcPr>
          <w:p w14:paraId="0D0BACD2">
            <w:pPr>
              <w:snapToGrid w:val="0"/>
              <w:jc w:val="center"/>
              <w:rPr>
                <w:rFonts w:ascii="Times New Roman" w:hAnsi="Times New Roman"/>
                <w:sz w:val="18"/>
                <w:szCs w:val="18"/>
              </w:rPr>
            </w:pPr>
            <w:r>
              <w:rPr>
                <w:rFonts w:ascii="Times New Roman" w:hAnsi="Times New Roman"/>
                <w:sz w:val="18"/>
                <w:szCs w:val="18"/>
              </w:rPr>
              <w:t>产生浓度mg/m</w:t>
            </w:r>
            <w:r>
              <w:rPr>
                <w:rFonts w:ascii="Times New Roman" w:hAnsi="Times New Roman"/>
                <w:sz w:val="18"/>
                <w:szCs w:val="18"/>
                <w:vertAlign w:val="superscript"/>
              </w:rPr>
              <w:t>3</w:t>
            </w:r>
          </w:p>
        </w:tc>
        <w:tc>
          <w:tcPr>
            <w:tcW w:w="163" w:type="pct"/>
            <w:vMerge w:val="continue"/>
            <w:vAlign w:val="center"/>
          </w:tcPr>
          <w:p w14:paraId="13F1B9AD">
            <w:pPr>
              <w:snapToGrid w:val="0"/>
              <w:jc w:val="center"/>
              <w:rPr>
                <w:rFonts w:ascii="Times New Roman" w:hAnsi="Times New Roman"/>
                <w:sz w:val="18"/>
                <w:szCs w:val="18"/>
              </w:rPr>
            </w:pPr>
          </w:p>
        </w:tc>
        <w:tc>
          <w:tcPr>
            <w:tcW w:w="559" w:type="pct"/>
            <w:vMerge w:val="continue"/>
            <w:vAlign w:val="center"/>
          </w:tcPr>
          <w:p w14:paraId="3B6CDCF7">
            <w:pPr>
              <w:snapToGrid w:val="0"/>
              <w:jc w:val="center"/>
              <w:rPr>
                <w:rFonts w:ascii="Times New Roman" w:hAnsi="Times New Roman"/>
                <w:sz w:val="18"/>
                <w:szCs w:val="18"/>
              </w:rPr>
            </w:pPr>
          </w:p>
        </w:tc>
        <w:tc>
          <w:tcPr>
            <w:tcW w:w="381" w:type="pct"/>
            <w:vMerge w:val="continue"/>
            <w:vAlign w:val="center"/>
          </w:tcPr>
          <w:p w14:paraId="5A65D5A2">
            <w:pPr>
              <w:snapToGrid w:val="0"/>
              <w:jc w:val="center"/>
              <w:rPr>
                <w:rFonts w:ascii="Times New Roman" w:hAnsi="Times New Roman"/>
                <w:sz w:val="18"/>
                <w:szCs w:val="18"/>
              </w:rPr>
            </w:pPr>
          </w:p>
        </w:tc>
        <w:tc>
          <w:tcPr>
            <w:tcW w:w="215" w:type="pct"/>
            <w:vMerge w:val="continue"/>
            <w:vAlign w:val="center"/>
          </w:tcPr>
          <w:p w14:paraId="0FC182E5">
            <w:pPr>
              <w:snapToGrid w:val="0"/>
              <w:jc w:val="center"/>
              <w:rPr>
                <w:rFonts w:ascii="Times New Roman" w:hAnsi="Times New Roman"/>
                <w:sz w:val="18"/>
                <w:szCs w:val="18"/>
              </w:rPr>
            </w:pPr>
          </w:p>
        </w:tc>
        <w:tc>
          <w:tcPr>
            <w:tcW w:w="243" w:type="pct"/>
            <w:vMerge w:val="continue"/>
            <w:vAlign w:val="center"/>
          </w:tcPr>
          <w:p w14:paraId="0DC732E8">
            <w:pPr>
              <w:snapToGrid w:val="0"/>
              <w:jc w:val="center"/>
              <w:rPr>
                <w:rFonts w:ascii="Times New Roman" w:hAnsi="Times New Roman"/>
                <w:sz w:val="18"/>
                <w:szCs w:val="18"/>
              </w:rPr>
            </w:pPr>
          </w:p>
        </w:tc>
        <w:tc>
          <w:tcPr>
            <w:tcW w:w="202" w:type="pct"/>
            <w:vMerge w:val="continue"/>
            <w:vAlign w:val="center"/>
          </w:tcPr>
          <w:p w14:paraId="2DF8AC19">
            <w:pPr>
              <w:snapToGrid w:val="0"/>
              <w:jc w:val="center"/>
              <w:rPr>
                <w:rFonts w:ascii="Times New Roman" w:hAnsi="Times New Roman"/>
                <w:sz w:val="18"/>
                <w:szCs w:val="18"/>
              </w:rPr>
            </w:pPr>
          </w:p>
        </w:tc>
        <w:tc>
          <w:tcPr>
            <w:tcW w:w="278" w:type="pct"/>
            <w:vAlign w:val="center"/>
          </w:tcPr>
          <w:p w14:paraId="37EF0F4D">
            <w:pPr>
              <w:snapToGrid w:val="0"/>
              <w:jc w:val="center"/>
              <w:rPr>
                <w:rFonts w:ascii="Times New Roman" w:hAnsi="Times New Roman"/>
              </w:rPr>
            </w:pPr>
            <w:r>
              <w:rPr>
                <w:rFonts w:ascii="Times New Roman" w:hAnsi="Times New Roman"/>
                <w:sz w:val="18"/>
                <w:szCs w:val="18"/>
              </w:rPr>
              <w:t>排放量t/a</w:t>
            </w:r>
          </w:p>
        </w:tc>
        <w:tc>
          <w:tcPr>
            <w:tcW w:w="266" w:type="pct"/>
            <w:vAlign w:val="center"/>
          </w:tcPr>
          <w:p w14:paraId="692ADD1A">
            <w:pPr>
              <w:snapToGrid w:val="0"/>
              <w:jc w:val="center"/>
              <w:rPr>
                <w:rFonts w:ascii="Times New Roman" w:hAnsi="Times New Roman"/>
                <w:sz w:val="18"/>
                <w:szCs w:val="18"/>
              </w:rPr>
            </w:pPr>
            <w:r>
              <w:rPr>
                <w:rFonts w:ascii="Times New Roman" w:hAnsi="Times New Roman"/>
                <w:sz w:val="18"/>
                <w:szCs w:val="18"/>
              </w:rPr>
              <w:t>排放速率kg/h</w:t>
            </w:r>
          </w:p>
        </w:tc>
        <w:tc>
          <w:tcPr>
            <w:tcW w:w="305" w:type="pct"/>
            <w:vAlign w:val="center"/>
          </w:tcPr>
          <w:p w14:paraId="2C71305F">
            <w:pPr>
              <w:snapToGrid w:val="0"/>
              <w:jc w:val="center"/>
              <w:rPr>
                <w:rFonts w:ascii="Times New Roman" w:hAnsi="Times New Roman"/>
                <w:sz w:val="18"/>
                <w:szCs w:val="18"/>
              </w:rPr>
            </w:pPr>
            <w:r>
              <w:rPr>
                <w:rFonts w:ascii="Times New Roman" w:hAnsi="Times New Roman"/>
                <w:sz w:val="18"/>
                <w:szCs w:val="18"/>
              </w:rPr>
              <w:t>排放浓度mg/m</w:t>
            </w:r>
            <w:r>
              <w:rPr>
                <w:rFonts w:ascii="Times New Roman" w:hAnsi="Times New Roman"/>
                <w:sz w:val="18"/>
                <w:szCs w:val="18"/>
                <w:vertAlign w:val="superscript"/>
              </w:rPr>
              <w:t>3</w:t>
            </w:r>
          </w:p>
        </w:tc>
        <w:tc>
          <w:tcPr>
            <w:tcW w:w="286" w:type="pct"/>
            <w:vAlign w:val="center"/>
          </w:tcPr>
          <w:p w14:paraId="0D598501">
            <w:pPr>
              <w:snapToGrid w:val="0"/>
              <w:jc w:val="center"/>
              <w:rPr>
                <w:rFonts w:ascii="Times New Roman" w:hAnsi="Times New Roman"/>
                <w:sz w:val="18"/>
                <w:szCs w:val="18"/>
              </w:rPr>
            </w:pPr>
            <w:r>
              <w:rPr>
                <w:rFonts w:ascii="Times New Roman" w:hAnsi="Times New Roman"/>
                <w:sz w:val="18"/>
                <w:szCs w:val="18"/>
              </w:rPr>
              <w:t>浓度mg/m</w:t>
            </w:r>
            <w:r>
              <w:rPr>
                <w:rFonts w:ascii="Times New Roman" w:hAnsi="Times New Roman"/>
                <w:sz w:val="18"/>
                <w:szCs w:val="18"/>
                <w:vertAlign w:val="superscript"/>
              </w:rPr>
              <w:t>3</w:t>
            </w:r>
          </w:p>
        </w:tc>
        <w:tc>
          <w:tcPr>
            <w:tcW w:w="224" w:type="pct"/>
            <w:vAlign w:val="center"/>
          </w:tcPr>
          <w:p w14:paraId="3E503EB2">
            <w:pPr>
              <w:snapToGrid w:val="0"/>
              <w:jc w:val="center"/>
              <w:rPr>
                <w:rFonts w:ascii="Times New Roman" w:hAnsi="Times New Roman"/>
                <w:sz w:val="18"/>
                <w:szCs w:val="18"/>
              </w:rPr>
            </w:pPr>
            <w:r>
              <w:rPr>
                <w:rFonts w:ascii="Times New Roman" w:hAnsi="Times New Roman"/>
                <w:sz w:val="18"/>
                <w:szCs w:val="18"/>
              </w:rPr>
              <w:t>速率kg/h</w:t>
            </w:r>
          </w:p>
        </w:tc>
        <w:tc>
          <w:tcPr>
            <w:tcW w:w="192" w:type="pct"/>
            <w:vMerge w:val="continue"/>
            <w:vAlign w:val="center"/>
          </w:tcPr>
          <w:p w14:paraId="27820982">
            <w:pPr>
              <w:snapToGrid w:val="0"/>
              <w:jc w:val="center"/>
              <w:rPr>
                <w:rFonts w:ascii="Times New Roman" w:hAnsi="Times New Roman"/>
                <w:sz w:val="18"/>
                <w:szCs w:val="18"/>
              </w:rPr>
            </w:pPr>
          </w:p>
        </w:tc>
      </w:tr>
      <w:tr w14:paraId="10AB73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9" w:type="pct"/>
            <w:vAlign w:val="center"/>
          </w:tcPr>
          <w:p w14:paraId="7C6A0F87">
            <w:pPr>
              <w:snapToGrid w:val="0"/>
              <w:jc w:val="center"/>
              <w:rPr>
                <w:rFonts w:ascii="Times New Roman" w:hAnsi="Times New Roman"/>
                <w:sz w:val="18"/>
                <w:szCs w:val="18"/>
              </w:rPr>
            </w:pPr>
            <w:r>
              <w:rPr>
                <w:rFonts w:ascii="Times New Roman" w:hAnsi="Times New Roman"/>
                <w:sz w:val="18"/>
                <w:szCs w:val="18"/>
              </w:rPr>
              <w:t>注塑加热</w:t>
            </w:r>
          </w:p>
        </w:tc>
        <w:tc>
          <w:tcPr>
            <w:tcW w:w="182" w:type="pct"/>
            <w:vAlign w:val="center"/>
          </w:tcPr>
          <w:p w14:paraId="0BE2BA03">
            <w:pPr>
              <w:snapToGrid w:val="0"/>
              <w:jc w:val="center"/>
              <w:rPr>
                <w:rFonts w:ascii="Times New Roman" w:hAnsi="Times New Roman"/>
                <w:sz w:val="18"/>
                <w:szCs w:val="18"/>
              </w:rPr>
            </w:pPr>
            <w:r>
              <w:rPr>
                <w:rFonts w:ascii="Times New Roman" w:hAnsi="Times New Roman"/>
                <w:sz w:val="18"/>
                <w:szCs w:val="18"/>
              </w:rPr>
              <w:t>非甲烷总烃</w:t>
            </w:r>
          </w:p>
        </w:tc>
        <w:tc>
          <w:tcPr>
            <w:tcW w:w="389" w:type="pct"/>
            <w:vAlign w:val="center"/>
          </w:tcPr>
          <w:p w14:paraId="1406C442">
            <w:pPr>
              <w:snapToGrid w:val="0"/>
              <w:jc w:val="center"/>
              <w:rPr>
                <w:rFonts w:ascii="Times New Roman" w:hAnsi="Times New Roman"/>
                <w:sz w:val="18"/>
                <w:szCs w:val="18"/>
              </w:rPr>
            </w:pPr>
            <w:r>
              <w:rPr>
                <w:rFonts w:ascii="Times New Roman" w:hAnsi="Times New Roman"/>
                <w:sz w:val="18"/>
                <w:szCs w:val="18"/>
              </w:rPr>
              <w:t>《排放源统计调查产排污核算方法和系数手册》</w:t>
            </w:r>
          </w:p>
        </w:tc>
        <w:tc>
          <w:tcPr>
            <w:tcW w:w="278" w:type="pct"/>
            <w:vAlign w:val="center"/>
          </w:tcPr>
          <w:p w14:paraId="62A3D02C">
            <w:pPr>
              <w:snapToGrid w:val="0"/>
              <w:jc w:val="center"/>
              <w:rPr>
                <w:rFonts w:hint="default" w:ascii="Times New Roman" w:hAnsi="Times New Roman" w:eastAsia="宋体"/>
                <w:sz w:val="18"/>
                <w:szCs w:val="18"/>
                <w:lang w:val="en-US" w:eastAsia="zh-CN"/>
              </w:rPr>
            </w:pPr>
            <w:r>
              <w:rPr>
                <w:rFonts w:ascii="Times New Roman" w:hAnsi="Times New Roman"/>
                <w:sz w:val="18"/>
                <w:szCs w:val="18"/>
              </w:rPr>
              <w:t>0.</w:t>
            </w:r>
            <w:r>
              <w:rPr>
                <w:rFonts w:hint="eastAsia"/>
                <w:sz w:val="18"/>
                <w:szCs w:val="18"/>
                <w:lang w:val="en-US" w:eastAsia="zh-CN"/>
              </w:rPr>
              <w:t>4374</w:t>
            </w:r>
          </w:p>
        </w:tc>
        <w:tc>
          <w:tcPr>
            <w:tcW w:w="293" w:type="pct"/>
            <w:vAlign w:val="center"/>
          </w:tcPr>
          <w:p w14:paraId="41760AAA">
            <w:pPr>
              <w:snapToGrid w:val="0"/>
              <w:jc w:val="center"/>
              <w:rPr>
                <w:rFonts w:hint="default" w:ascii="Times New Roman" w:hAnsi="Times New Roman" w:eastAsia="宋体"/>
                <w:sz w:val="18"/>
                <w:szCs w:val="18"/>
                <w:lang w:val="en-US" w:eastAsia="zh-CN"/>
              </w:rPr>
            </w:pPr>
            <w:r>
              <w:rPr>
                <w:rFonts w:ascii="Times New Roman" w:hAnsi="Times New Roman"/>
                <w:sz w:val="18"/>
                <w:szCs w:val="18"/>
              </w:rPr>
              <w:t>0.</w:t>
            </w:r>
            <w:r>
              <w:rPr>
                <w:rFonts w:hint="eastAsia"/>
                <w:sz w:val="18"/>
                <w:szCs w:val="18"/>
                <w:lang w:val="en-US" w:eastAsia="zh-CN"/>
              </w:rPr>
              <w:t>182</w:t>
            </w:r>
          </w:p>
        </w:tc>
        <w:tc>
          <w:tcPr>
            <w:tcW w:w="307" w:type="pct"/>
            <w:vAlign w:val="center"/>
          </w:tcPr>
          <w:p w14:paraId="6883FE10">
            <w:pPr>
              <w:snapToGrid w:val="0"/>
              <w:jc w:val="center"/>
              <w:rPr>
                <w:rFonts w:hint="default" w:ascii="Times New Roman" w:hAnsi="Times New Roman" w:eastAsia="宋体"/>
                <w:sz w:val="18"/>
                <w:szCs w:val="18"/>
                <w:lang w:val="en-US" w:eastAsia="zh-CN"/>
              </w:rPr>
            </w:pPr>
            <w:r>
              <w:rPr>
                <w:rFonts w:hint="eastAsia"/>
                <w:sz w:val="18"/>
                <w:szCs w:val="18"/>
                <w:lang w:val="en-US" w:eastAsia="zh-CN"/>
              </w:rPr>
              <w:t>30.375</w:t>
            </w:r>
          </w:p>
        </w:tc>
        <w:tc>
          <w:tcPr>
            <w:tcW w:w="163" w:type="pct"/>
            <w:vAlign w:val="center"/>
          </w:tcPr>
          <w:p w14:paraId="2AB691A4">
            <w:pPr>
              <w:snapToGrid w:val="0"/>
              <w:jc w:val="center"/>
              <w:rPr>
                <w:rFonts w:ascii="Times New Roman" w:hAnsi="Times New Roman"/>
                <w:sz w:val="18"/>
                <w:szCs w:val="18"/>
              </w:rPr>
            </w:pPr>
            <w:r>
              <w:rPr>
                <w:rFonts w:ascii="Times New Roman" w:hAnsi="Times New Roman"/>
                <w:sz w:val="18"/>
                <w:szCs w:val="18"/>
              </w:rPr>
              <w:t>有组织</w:t>
            </w:r>
          </w:p>
        </w:tc>
        <w:tc>
          <w:tcPr>
            <w:tcW w:w="559" w:type="pct"/>
            <w:vAlign w:val="center"/>
          </w:tcPr>
          <w:p w14:paraId="38FE14A6">
            <w:pPr>
              <w:snapToGrid w:val="0"/>
              <w:jc w:val="center"/>
              <w:rPr>
                <w:rFonts w:ascii="Times New Roman" w:hAnsi="Times New Roman"/>
                <w:sz w:val="18"/>
                <w:szCs w:val="18"/>
              </w:rPr>
            </w:pPr>
            <w:r>
              <w:rPr>
                <w:rFonts w:ascii="Times New Roman" w:hAnsi="Times New Roman"/>
                <w:sz w:val="18"/>
                <w:szCs w:val="18"/>
              </w:rPr>
              <w:t>集气罩+二级活性炭吸附箱+15m高排气筒（DA001）</w:t>
            </w:r>
          </w:p>
        </w:tc>
        <w:tc>
          <w:tcPr>
            <w:tcW w:w="381" w:type="pct"/>
            <w:vAlign w:val="center"/>
          </w:tcPr>
          <w:p w14:paraId="066AF681">
            <w:pPr>
              <w:snapToGrid w:val="0"/>
              <w:jc w:val="center"/>
              <w:rPr>
                <w:rFonts w:ascii="Times New Roman" w:hAnsi="Times New Roman"/>
                <w:sz w:val="18"/>
                <w:szCs w:val="18"/>
              </w:rPr>
            </w:pPr>
            <w:r>
              <w:rPr>
                <w:rFonts w:hint="eastAsia"/>
                <w:sz w:val="18"/>
                <w:szCs w:val="18"/>
                <w:lang w:val="en-US" w:eastAsia="zh-CN"/>
              </w:rPr>
              <w:t>6</w:t>
            </w:r>
            <w:r>
              <w:rPr>
                <w:rFonts w:ascii="Times New Roman" w:hAnsi="Times New Roman"/>
                <w:sz w:val="18"/>
                <w:szCs w:val="18"/>
              </w:rPr>
              <w:t>000m</w:t>
            </w:r>
            <w:r>
              <w:rPr>
                <w:rFonts w:ascii="Times New Roman" w:hAnsi="Times New Roman"/>
                <w:sz w:val="18"/>
                <w:szCs w:val="18"/>
                <w:vertAlign w:val="superscript"/>
              </w:rPr>
              <w:t>3</w:t>
            </w:r>
            <w:r>
              <w:rPr>
                <w:rFonts w:ascii="Times New Roman" w:hAnsi="Times New Roman"/>
                <w:sz w:val="18"/>
                <w:szCs w:val="18"/>
              </w:rPr>
              <w:t>/h</w:t>
            </w:r>
          </w:p>
        </w:tc>
        <w:tc>
          <w:tcPr>
            <w:tcW w:w="215" w:type="pct"/>
            <w:vAlign w:val="center"/>
          </w:tcPr>
          <w:p w14:paraId="507F704E">
            <w:pPr>
              <w:snapToGrid w:val="0"/>
              <w:jc w:val="center"/>
              <w:rPr>
                <w:rFonts w:ascii="Times New Roman" w:hAnsi="Times New Roman"/>
                <w:sz w:val="18"/>
                <w:szCs w:val="18"/>
              </w:rPr>
            </w:pPr>
            <w:r>
              <w:rPr>
                <w:rFonts w:ascii="Times New Roman" w:hAnsi="Times New Roman"/>
                <w:sz w:val="18"/>
                <w:szCs w:val="18"/>
              </w:rPr>
              <w:t>90%</w:t>
            </w:r>
          </w:p>
        </w:tc>
        <w:tc>
          <w:tcPr>
            <w:tcW w:w="243" w:type="pct"/>
            <w:vAlign w:val="center"/>
          </w:tcPr>
          <w:p w14:paraId="44043814">
            <w:pPr>
              <w:snapToGrid w:val="0"/>
              <w:jc w:val="center"/>
              <w:rPr>
                <w:rFonts w:ascii="Times New Roman" w:hAnsi="Times New Roman"/>
                <w:sz w:val="18"/>
                <w:szCs w:val="18"/>
              </w:rPr>
            </w:pPr>
            <w:r>
              <w:rPr>
                <w:rFonts w:ascii="Times New Roman" w:hAnsi="Times New Roman"/>
                <w:sz w:val="18"/>
                <w:szCs w:val="18"/>
              </w:rPr>
              <w:t>9</w:t>
            </w:r>
            <w:r>
              <w:rPr>
                <w:rFonts w:hint="eastAsia"/>
                <w:sz w:val="18"/>
                <w:szCs w:val="18"/>
                <w:lang w:val="en-US" w:eastAsia="zh-CN"/>
              </w:rPr>
              <w:t>0</w:t>
            </w:r>
            <w:r>
              <w:rPr>
                <w:rFonts w:ascii="Times New Roman" w:hAnsi="Times New Roman"/>
                <w:sz w:val="18"/>
                <w:szCs w:val="18"/>
              </w:rPr>
              <w:t>%</w:t>
            </w:r>
          </w:p>
        </w:tc>
        <w:tc>
          <w:tcPr>
            <w:tcW w:w="202" w:type="pct"/>
            <w:vAlign w:val="center"/>
          </w:tcPr>
          <w:p w14:paraId="70E825A3">
            <w:pPr>
              <w:snapToGrid w:val="0"/>
              <w:jc w:val="center"/>
              <w:rPr>
                <w:rFonts w:ascii="Times New Roman" w:hAnsi="Times New Roman"/>
                <w:sz w:val="18"/>
                <w:szCs w:val="18"/>
              </w:rPr>
            </w:pPr>
            <w:r>
              <w:rPr>
                <w:rFonts w:ascii="Times New Roman" w:hAnsi="Times New Roman"/>
                <w:sz w:val="18"/>
                <w:szCs w:val="18"/>
              </w:rPr>
              <w:t>是</w:t>
            </w:r>
          </w:p>
        </w:tc>
        <w:tc>
          <w:tcPr>
            <w:tcW w:w="278" w:type="pct"/>
            <w:vAlign w:val="center"/>
          </w:tcPr>
          <w:p w14:paraId="14F8DE45">
            <w:pPr>
              <w:snapToGrid w:val="0"/>
              <w:jc w:val="center"/>
              <w:rPr>
                <w:rFonts w:hint="default" w:ascii="Times New Roman" w:hAnsi="Times New Roman" w:eastAsia="宋体"/>
                <w:sz w:val="18"/>
                <w:szCs w:val="18"/>
                <w:lang w:val="en-US" w:eastAsia="zh-CN"/>
              </w:rPr>
            </w:pPr>
            <w:r>
              <w:rPr>
                <w:rFonts w:ascii="Times New Roman" w:hAnsi="Times New Roman"/>
                <w:sz w:val="18"/>
                <w:szCs w:val="18"/>
              </w:rPr>
              <w:t>0.</w:t>
            </w:r>
            <w:r>
              <w:rPr>
                <w:rFonts w:hint="eastAsia"/>
                <w:sz w:val="18"/>
                <w:szCs w:val="18"/>
                <w:lang w:val="en-US" w:eastAsia="zh-CN"/>
              </w:rPr>
              <w:t>044</w:t>
            </w:r>
          </w:p>
        </w:tc>
        <w:tc>
          <w:tcPr>
            <w:tcW w:w="266" w:type="pct"/>
            <w:vAlign w:val="center"/>
          </w:tcPr>
          <w:p w14:paraId="2A73C0E1">
            <w:pPr>
              <w:snapToGrid w:val="0"/>
              <w:jc w:val="center"/>
              <w:rPr>
                <w:rFonts w:hint="eastAsia" w:ascii="Times New Roman" w:hAnsi="Times New Roman" w:eastAsia="宋体"/>
                <w:sz w:val="18"/>
                <w:szCs w:val="18"/>
                <w:lang w:eastAsia="zh-CN"/>
              </w:rPr>
            </w:pPr>
            <w:r>
              <w:rPr>
                <w:rFonts w:ascii="Times New Roman" w:hAnsi="Times New Roman"/>
                <w:sz w:val="18"/>
                <w:szCs w:val="18"/>
              </w:rPr>
              <w:t>0.01</w:t>
            </w:r>
            <w:r>
              <w:rPr>
                <w:rFonts w:hint="eastAsia"/>
                <w:sz w:val="18"/>
                <w:szCs w:val="18"/>
                <w:lang w:val="en-US" w:eastAsia="zh-CN"/>
              </w:rPr>
              <w:t>8</w:t>
            </w:r>
          </w:p>
        </w:tc>
        <w:tc>
          <w:tcPr>
            <w:tcW w:w="305" w:type="pct"/>
            <w:vAlign w:val="center"/>
          </w:tcPr>
          <w:p w14:paraId="35BB39FA">
            <w:pPr>
              <w:snapToGrid w:val="0"/>
              <w:jc w:val="center"/>
              <w:rPr>
                <w:rFonts w:hint="default" w:ascii="Times New Roman" w:hAnsi="Times New Roman" w:eastAsia="宋体"/>
                <w:sz w:val="18"/>
                <w:szCs w:val="18"/>
                <w:lang w:val="en-US" w:eastAsia="zh-CN"/>
              </w:rPr>
            </w:pPr>
            <w:r>
              <w:rPr>
                <w:rFonts w:hint="eastAsia"/>
                <w:sz w:val="18"/>
                <w:szCs w:val="18"/>
                <w:lang w:val="en-US" w:eastAsia="zh-CN"/>
              </w:rPr>
              <w:t>3.04</w:t>
            </w:r>
          </w:p>
        </w:tc>
        <w:tc>
          <w:tcPr>
            <w:tcW w:w="286" w:type="pct"/>
            <w:vAlign w:val="center"/>
          </w:tcPr>
          <w:p w14:paraId="6AABF52C">
            <w:pPr>
              <w:snapToGrid w:val="0"/>
              <w:jc w:val="center"/>
              <w:rPr>
                <w:rFonts w:ascii="Times New Roman" w:hAnsi="Times New Roman"/>
                <w:sz w:val="18"/>
                <w:szCs w:val="18"/>
              </w:rPr>
            </w:pPr>
            <w:r>
              <w:rPr>
                <w:rFonts w:hint="eastAsia"/>
                <w:sz w:val="18"/>
                <w:szCs w:val="18"/>
                <w:lang w:val="en-US" w:eastAsia="zh-CN"/>
              </w:rPr>
              <w:t>4</w:t>
            </w:r>
            <w:r>
              <w:rPr>
                <w:rFonts w:ascii="Times New Roman" w:hAnsi="Times New Roman"/>
                <w:sz w:val="18"/>
                <w:szCs w:val="18"/>
              </w:rPr>
              <w:t>0</w:t>
            </w:r>
          </w:p>
        </w:tc>
        <w:tc>
          <w:tcPr>
            <w:tcW w:w="224" w:type="pct"/>
            <w:vAlign w:val="center"/>
          </w:tcPr>
          <w:p w14:paraId="61E99284">
            <w:pPr>
              <w:snapToGrid w:val="0"/>
              <w:jc w:val="center"/>
              <w:rPr>
                <w:rFonts w:ascii="Times New Roman" w:hAnsi="Times New Roman"/>
                <w:sz w:val="18"/>
                <w:szCs w:val="18"/>
              </w:rPr>
            </w:pPr>
            <w:r>
              <w:rPr>
                <w:rFonts w:ascii="Times New Roman" w:hAnsi="Times New Roman"/>
                <w:sz w:val="18"/>
                <w:szCs w:val="18"/>
              </w:rPr>
              <w:t>/</w:t>
            </w:r>
          </w:p>
        </w:tc>
        <w:tc>
          <w:tcPr>
            <w:tcW w:w="192" w:type="pct"/>
            <w:vAlign w:val="center"/>
          </w:tcPr>
          <w:p w14:paraId="301A194B">
            <w:pPr>
              <w:snapToGrid w:val="0"/>
              <w:jc w:val="center"/>
              <w:rPr>
                <w:rFonts w:ascii="Times New Roman" w:hAnsi="Times New Roman"/>
                <w:sz w:val="18"/>
                <w:szCs w:val="18"/>
              </w:rPr>
            </w:pPr>
            <w:r>
              <w:rPr>
                <w:rFonts w:ascii="Times New Roman" w:hAnsi="Times New Roman"/>
                <w:sz w:val="18"/>
                <w:szCs w:val="18"/>
              </w:rPr>
              <w:t>达</w:t>
            </w:r>
          </w:p>
          <w:p w14:paraId="58A6C39E">
            <w:pPr>
              <w:snapToGrid w:val="0"/>
              <w:jc w:val="center"/>
              <w:rPr>
                <w:rFonts w:ascii="Times New Roman" w:hAnsi="Times New Roman"/>
                <w:sz w:val="18"/>
                <w:szCs w:val="18"/>
              </w:rPr>
            </w:pPr>
            <w:r>
              <w:rPr>
                <w:rFonts w:ascii="Times New Roman" w:hAnsi="Times New Roman"/>
                <w:sz w:val="18"/>
                <w:szCs w:val="18"/>
              </w:rPr>
              <w:t>标</w:t>
            </w:r>
          </w:p>
        </w:tc>
      </w:tr>
      <w:tr w14:paraId="641155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9" w:type="pct"/>
            <w:vAlign w:val="center"/>
          </w:tcPr>
          <w:p w14:paraId="75580765">
            <w:pPr>
              <w:snapToGrid w:val="0"/>
              <w:jc w:val="center"/>
              <w:rPr>
                <w:rFonts w:hint="eastAsia" w:ascii="Times New Roman" w:hAnsi="Times New Roman" w:eastAsia="宋体"/>
                <w:sz w:val="18"/>
                <w:szCs w:val="18"/>
                <w:lang w:val="en-US" w:eastAsia="zh-CN"/>
              </w:rPr>
            </w:pPr>
            <w:r>
              <w:rPr>
                <w:rFonts w:hint="eastAsia"/>
                <w:sz w:val="18"/>
                <w:szCs w:val="18"/>
                <w:lang w:val="en-US" w:eastAsia="zh-CN"/>
              </w:rPr>
              <w:t>破碎</w:t>
            </w:r>
          </w:p>
        </w:tc>
        <w:tc>
          <w:tcPr>
            <w:tcW w:w="182" w:type="pct"/>
            <w:vAlign w:val="center"/>
          </w:tcPr>
          <w:p w14:paraId="7153884D">
            <w:pPr>
              <w:snapToGrid w:val="0"/>
              <w:jc w:val="center"/>
              <w:rPr>
                <w:rFonts w:hint="eastAsia" w:ascii="Times New Roman" w:hAnsi="Times New Roman" w:eastAsia="宋体"/>
                <w:sz w:val="18"/>
                <w:szCs w:val="18"/>
                <w:lang w:val="en-US" w:eastAsia="zh-CN"/>
              </w:rPr>
            </w:pPr>
            <w:r>
              <w:rPr>
                <w:rFonts w:hint="eastAsia"/>
                <w:sz w:val="18"/>
                <w:szCs w:val="18"/>
                <w:lang w:val="en-US" w:eastAsia="zh-CN"/>
              </w:rPr>
              <w:t>颗粒物</w:t>
            </w:r>
          </w:p>
        </w:tc>
        <w:tc>
          <w:tcPr>
            <w:tcW w:w="389" w:type="pct"/>
            <w:vAlign w:val="center"/>
          </w:tcPr>
          <w:p w14:paraId="620C75D2">
            <w:pPr>
              <w:snapToGrid w:val="0"/>
              <w:jc w:val="center"/>
              <w:rPr>
                <w:rFonts w:ascii="Times New Roman" w:hAnsi="Times New Roman"/>
                <w:sz w:val="18"/>
                <w:szCs w:val="18"/>
              </w:rPr>
            </w:pPr>
            <w:r>
              <w:rPr>
                <w:rFonts w:ascii="Times New Roman" w:hAnsi="Times New Roman"/>
                <w:sz w:val="18"/>
                <w:szCs w:val="18"/>
              </w:rPr>
              <w:t>《排放源统计调查产排污核算方法和系数手册》</w:t>
            </w:r>
          </w:p>
        </w:tc>
        <w:tc>
          <w:tcPr>
            <w:tcW w:w="278" w:type="pct"/>
            <w:vAlign w:val="center"/>
          </w:tcPr>
          <w:p w14:paraId="01090F6D">
            <w:pPr>
              <w:snapToGrid w:val="0"/>
              <w:jc w:val="center"/>
              <w:rPr>
                <w:rFonts w:hint="default" w:ascii="Times New Roman" w:hAnsi="Times New Roman" w:eastAsia="宋体"/>
                <w:sz w:val="18"/>
                <w:szCs w:val="18"/>
                <w:lang w:val="en-US" w:eastAsia="zh-CN"/>
              </w:rPr>
            </w:pPr>
            <w:r>
              <w:rPr>
                <w:rFonts w:hint="eastAsia"/>
                <w:sz w:val="18"/>
                <w:szCs w:val="18"/>
                <w:lang w:val="en-US" w:eastAsia="zh-CN"/>
              </w:rPr>
              <w:t>0.0054</w:t>
            </w:r>
          </w:p>
        </w:tc>
        <w:tc>
          <w:tcPr>
            <w:tcW w:w="293" w:type="pct"/>
            <w:vAlign w:val="center"/>
          </w:tcPr>
          <w:p w14:paraId="6AA30BED">
            <w:pPr>
              <w:snapToGrid w:val="0"/>
              <w:jc w:val="center"/>
              <w:rPr>
                <w:rFonts w:hint="default" w:ascii="Times New Roman" w:hAnsi="Times New Roman" w:eastAsia="宋体"/>
                <w:sz w:val="18"/>
                <w:szCs w:val="18"/>
                <w:lang w:val="en-US" w:eastAsia="zh-CN"/>
              </w:rPr>
            </w:pPr>
            <w:r>
              <w:rPr>
                <w:rFonts w:hint="eastAsia"/>
                <w:sz w:val="18"/>
                <w:szCs w:val="18"/>
                <w:lang w:val="en-US" w:eastAsia="zh-CN"/>
              </w:rPr>
              <w:t>0.108</w:t>
            </w:r>
          </w:p>
        </w:tc>
        <w:tc>
          <w:tcPr>
            <w:tcW w:w="307" w:type="pct"/>
            <w:vAlign w:val="center"/>
          </w:tcPr>
          <w:p w14:paraId="76D20646">
            <w:pPr>
              <w:snapToGrid w:val="0"/>
              <w:jc w:val="center"/>
              <w:rPr>
                <w:rFonts w:hint="default"/>
                <w:sz w:val="18"/>
                <w:szCs w:val="18"/>
                <w:lang w:val="en-US" w:eastAsia="zh-CN"/>
              </w:rPr>
            </w:pPr>
            <w:r>
              <w:rPr>
                <w:rFonts w:hint="eastAsia"/>
                <w:sz w:val="18"/>
                <w:szCs w:val="18"/>
                <w:lang w:val="en-US" w:eastAsia="zh-CN"/>
              </w:rPr>
              <w:t>54</w:t>
            </w:r>
          </w:p>
        </w:tc>
        <w:tc>
          <w:tcPr>
            <w:tcW w:w="163" w:type="pct"/>
            <w:vAlign w:val="center"/>
          </w:tcPr>
          <w:p w14:paraId="4F3A0715">
            <w:pPr>
              <w:snapToGrid w:val="0"/>
              <w:jc w:val="center"/>
              <w:rPr>
                <w:rFonts w:hint="eastAsia" w:ascii="Times New Roman" w:hAnsi="Times New Roman" w:eastAsia="宋体"/>
                <w:sz w:val="18"/>
                <w:szCs w:val="18"/>
                <w:lang w:val="en-US" w:eastAsia="zh-CN"/>
              </w:rPr>
            </w:pPr>
            <w:r>
              <w:rPr>
                <w:rFonts w:hint="eastAsia"/>
                <w:sz w:val="18"/>
                <w:szCs w:val="18"/>
                <w:lang w:val="en-US" w:eastAsia="zh-CN"/>
              </w:rPr>
              <w:t>有组织</w:t>
            </w:r>
          </w:p>
        </w:tc>
        <w:tc>
          <w:tcPr>
            <w:tcW w:w="559" w:type="pct"/>
            <w:vAlign w:val="center"/>
          </w:tcPr>
          <w:p w14:paraId="08032102">
            <w:pPr>
              <w:snapToGrid w:val="0"/>
              <w:jc w:val="center"/>
              <w:rPr>
                <w:rFonts w:hint="default" w:ascii="Times New Roman" w:hAnsi="Times New Roman" w:eastAsia="宋体"/>
                <w:sz w:val="18"/>
                <w:szCs w:val="18"/>
                <w:lang w:val="en-US" w:eastAsia="zh-CN"/>
              </w:rPr>
            </w:pPr>
            <w:r>
              <w:rPr>
                <w:rFonts w:hint="eastAsia"/>
                <w:sz w:val="18"/>
                <w:szCs w:val="18"/>
                <w:lang w:val="en-US" w:eastAsia="zh-CN"/>
              </w:rPr>
              <w:t>集气罩+布袋除尘器+15高排气筒（DA002）</w:t>
            </w:r>
          </w:p>
        </w:tc>
        <w:tc>
          <w:tcPr>
            <w:tcW w:w="381" w:type="pct"/>
            <w:vAlign w:val="center"/>
          </w:tcPr>
          <w:p w14:paraId="7F027375">
            <w:pPr>
              <w:snapToGrid w:val="0"/>
              <w:jc w:val="center"/>
              <w:rPr>
                <w:rFonts w:hint="default"/>
                <w:sz w:val="18"/>
                <w:szCs w:val="18"/>
                <w:lang w:val="en-US" w:eastAsia="zh-CN"/>
              </w:rPr>
            </w:pPr>
            <w:r>
              <w:rPr>
                <w:rFonts w:hint="eastAsia"/>
                <w:sz w:val="18"/>
                <w:szCs w:val="18"/>
                <w:lang w:val="en-US" w:eastAsia="zh-CN"/>
              </w:rPr>
              <w:t>2000</w:t>
            </w:r>
            <w:r>
              <w:rPr>
                <w:rFonts w:ascii="Times New Roman" w:hAnsi="Times New Roman"/>
                <w:sz w:val="18"/>
                <w:szCs w:val="18"/>
              </w:rPr>
              <w:t>m</w:t>
            </w:r>
            <w:r>
              <w:rPr>
                <w:rFonts w:ascii="Times New Roman" w:hAnsi="Times New Roman"/>
                <w:sz w:val="18"/>
                <w:szCs w:val="18"/>
                <w:vertAlign w:val="superscript"/>
              </w:rPr>
              <w:t>3</w:t>
            </w:r>
            <w:r>
              <w:rPr>
                <w:rFonts w:ascii="Times New Roman" w:hAnsi="Times New Roman"/>
                <w:sz w:val="18"/>
                <w:szCs w:val="18"/>
              </w:rPr>
              <w:t>/h</w:t>
            </w:r>
          </w:p>
        </w:tc>
        <w:tc>
          <w:tcPr>
            <w:tcW w:w="215" w:type="pct"/>
            <w:vAlign w:val="center"/>
          </w:tcPr>
          <w:p w14:paraId="1EA26C26">
            <w:pPr>
              <w:snapToGrid w:val="0"/>
              <w:jc w:val="center"/>
              <w:rPr>
                <w:rFonts w:ascii="Times New Roman" w:hAnsi="Times New Roman"/>
                <w:sz w:val="18"/>
                <w:szCs w:val="18"/>
              </w:rPr>
            </w:pPr>
            <w:r>
              <w:rPr>
                <w:rFonts w:ascii="Times New Roman" w:hAnsi="Times New Roman"/>
                <w:sz w:val="18"/>
                <w:szCs w:val="18"/>
              </w:rPr>
              <w:t>90%</w:t>
            </w:r>
          </w:p>
        </w:tc>
        <w:tc>
          <w:tcPr>
            <w:tcW w:w="243" w:type="pct"/>
            <w:vAlign w:val="center"/>
          </w:tcPr>
          <w:p w14:paraId="73D292CA">
            <w:pPr>
              <w:snapToGrid w:val="0"/>
              <w:jc w:val="center"/>
              <w:rPr>
                <w:rFonts w:ascii="Times New Roman" w:hAnsi="Times New Roman"/>
                <w:sz w:val="18"/>
                <w:szCs w:val="18"/>
              </w:rPr>
            </w:pPr>
            <w:r>
              <w:rPr>
                <w:rFonts w:ascii="Times New Roman" w:hAnsi="Times New Roman"/>
                <w:sz w:val="18"/>
                <w:szCs w:val="18"/>
              </w:rPr>
              <w:t>9</w:t>
            </w:r>
            <w:r>
              <w:rPr>
                <w:rFonts w:hint="eastAsia"/>
                <w:sz w:val="18"/>
                <w:szCs w:val="18"/>
                <w:lang w:val="en-US" w:eastAsia="zh-CN"/>
              </w:rPr>
              <w:t>5</w:t>
            </w:r>
            <w:r>
              <w:rPr>
                <w:rFonts w:ascii="Times New Roman" w:hAnsi="Times New Roman"/>
                <w:sz w:val="18"/>
                <w:szCs w:val="18"/>
              </w:rPr>
              <w:t>%</w:t>
            </w:r>
          </w:p>
        </w:tc>
        <w:tc>
          <w:tcPr>
            <w:tcW w:w="202" w:type="pct"/>
            <w:vAlign w:val="center"/>
          </w:tcPr>
          <w:p w14:paraId="269C9D59">
            <w:pPr>
              <w:snapToGrid w:val="0"/>
              <w:jc w:val="center"/>
              <w:rPr>
                <w:rFonts w:hint="eastAsia" w:ascii="Times New Roman" w:hAnsi="Times New Roman" w:eastAsia="宋体"/>
                <w:sz w:val="18"/>
                <w:szCs w:val="18"/>
                <w:lang w:val="en-US" w:eastAsia="zh-CN"/>
              </w:rPr>
            </w:pPr>
            <w:r>
              <w:rPr>
                <w:rFonts w:hint="eastAsia"/>
                <w:sz w:val="18"/>
                <w:szCs w:val="18"/>
                <w:lang w:val="en-US" w:eastAsia="zh-CN"/>
              </w:rPr>
              <w:t>是</w:t>
            </w:r>
          </w:p>
        </w:tc>
        <w:tc>
          <w:tcPr>
            <w:tcW w:w="278" w:type="pct"/>
            <w:vAlign w:val="center"/>
          </w:tcPr>
          <w:p w14:paraId="5F2B5C70">
            <w:pPr>
              <w:snapToGrid w:val="0"/>
              <w:jc w:val="center"/>
              <w:rPr>
                <w:rFonts w:hint="default" w:ascii="Times New Roman" w:hAnsi="Times New Roman" w:eastAsia="宋体"/>
                <w:sz w:val="18"/>
                <w:szCs w:val="18"/>
                <w:lang w:val="en-US" w:eastAsia="zh-CN"/>
              </w:rPr>
            </w:pPr>
            <w:r>
              <w:rPr>
                <w:rFonts w:hint="eastAsia"/>
                <w:sz w:val="18"/>
                <w:szCs w:val="18"/>
                <w:lang w:val="en-US" w:eastAsia="zh-CN"/>
              </w:rPr>
              <w:t>0.00027</w:t>
            </w:r>
          </w:p>
        </w:tc>
        <w:tc>
          <w:tcPr>
            <w:tcW w:w="266" w:type="pct"/>
            <w:vAlign w:val="center"/>
          </w:tcPr>
          <w:p w14:paraId="044FEC97">
            <w:pPr>
              <w:snapToGrid w:val="0"/>
              <w:jc w:val="center"/>
              <w:rPr>
                <w:rFonts w:hint="default" w:ascii="Times New Roman" w:hAnsi="Times New Roman" w:eastAsia="宋体"/>
                <w:sz w:val="18"/>
                <w:szCs w:val="18"/>
                <w:lang w:val="en-US" w:eastAsia="zh-CN"/>
              </w:rPr>
            </w:pPr>
            <w:r>
              <w:rPr>
                <w:rFonts w:hint="eastAsia"/>
                <w:sz w:val="18"/>
                <w:szCs w:val="18"/>
                <w:lang w:val="en-US" w:eastAsia="zh-CN"/>
              </w:rPr>
              <w:t>0.0054</w:t>
            </w:r>
          </w:p>
        </w:tc>
        <w:tc>
          <w:tcPr>
            <w:tcW w:w="305" w:type="pct"/>
            <w:vAlign w:val="center"/>
          </w:tcPr>
          <w:p w14:paraId="495712D4">
            <w:pPr>
              <w:snapToGrid w:val="0"/>
              <w:jc w:val="center"/>
              <w:rPr>
                <w:rFonts w:hint="default"/>
                <w:lang w:val="en-US" w:eastAsia="zh-CN"/>
              </w:rPr>
            </w:pPr>
            <w:r>
              <w:rPr>
                <w:rFonts w:hint="eastAsia"/>
                <w:sz w:val="18"/>
                <w:szCs w:val="18"/>
                <w:lang w:val="en-US" w:eastAsia="zh-CN"/>
              </w:rPr>
              <w:t>2.7</w:t>
            </w:r>
          </w:p>
        </w:tc>
        <w:tc>
          <w:tcPr>
            <w:tcW w:w="286" w:type="pct"/>
            <w:vAlign w:val="center"/>
          </w:tcPr>
          <w:p w14:paraId="59564982">
            <w:pPr>
              <w:snapToGrid w:val="0"/>
              <w:jc w:val="center"/>
              <w:rPr>
                <w:rFonts w:hint="default"/>
                <w:sz w:val="18"/>
                <w:szCs w:val="18"/>
                <w:lang w:val="en-US" w:eastAsia="zh-CN"/>
              </w:rPr>
            </w:pPr>
            <w:r>
              <w:rPr>
                <w:rFonts w:hint="eastAsia"/>
                <w:sz w:val="18"/>
                <w:szCs w:val="18"/>
                <w:lang w:val="en-US" w:eastAsia="zh-CN"/>
              </w:rPr>
              <w:t>20</w:t>
            </w:r>
          </w:p>
        </w:tc>
        <w:tc>
          <w:tcPr>
            <w:tcW w:w="224" w:type="pct"/>
            <w:vAlign w:val="center"/>
          </w:tcPr>
          <w:p w14:paraId="1C1370A6">
            <w:pPr>
              <w:snapToGrid w:val="0"/>
              <w:jc w:val="center"/>
              <w:rPr>
                <w:rFonts w:hint="eastAsia" w:ascii="Times New Roman" w:hAnsi="Times New Roman" w:eastAsia="宋体"/>
                <w:sz w:val="18"/>
                <w:szCs w:val="18"/>
                <w:lang w:val="en-US" w:eastAsia="zh-CN"/>
              </w:rPr>
            </w:pPr>
            <w:r>
              <w:rPr>
                <w:rFonts w:hint="eastAsia"/>
                <w:sz w:val="18"/>
                <w:szCs w:val="18"/>
                <w:lang w:val="en-US" w:eastAsia="zh-CN"/>
              </w:rPr>
              <w:t>/</w:t>
            </w:r>
          </w:p>
        </w:tc>
        <w:tc>
          <w:tcPr>
            <w:tcW w:w="192" w:type="pct"/>
            <w:vAlign w:val="center"/>
          </w:tcPr>
          <w:p w14:paraId="4637F68B">
            <w:pPr>
              <w:snapToGrid w:val="0"/>
              <w:jc w:val="center"/>
              <w:rPr>
                <w:rFonts w:ascii="Times New Roman" w:hAnsi="Times New Roman"/>
                <w:sz w:val="18"/>
                <w:szCs w:val="18"/>
              </w:rPr>
            </w:pPr>
            <w:r>
              <w:rPr>
                <w:rFonts w:ascii="Times New Roman" w:hAnsi="Times New Roman"/>
                <w:sz w:val="18"/>
                <w:szCs w:val="18"/>
              </w:rPr>
              <w:t>达</w:t>
            </w:r>
          </w:p>
          <w:p w14:paraId="7E37FCC7">
            <w:pPr>
              <w:snapToGrid w:val="0"/>
              <w:jc w:val="center"/>
              <w:rPr>
                <w:rFonts w:ascii="Times New Roman" w:hAnsi="Times New Roman"/>
                <w:sz w:val="18"/>
                <w:szCs w:val="18"/>
              </w:rPr>
            </w:pPr>
            <w:r>
              <w:rPr>
                <w:rFonts w:ascii="Times New Roman" w:hAnsi="Times New Roman"/>
                <w:sz w:val="18"/>
                <w:szCs w:val="18"/>
              </w:rPr>
              <w:t>标</w:t>
            </w:r>
          </w:p>
        </w:tc>
      </w:tr>
    </w:tbl>
    <w:p w14:paraId="17189735">
      <w:pPr>
        <w:pStyle w:val="52"/>
        <w:spacing w:line="360" w:lineRule="auto"/>
        <w:rPr>
          <w:rFonts w:cs="Times New Roman"/>
        </w:rPr>
      </w:pPr>
    </w:p>
    <w:p w14:paraId="4AA2A6F3">
      <w:pPr>
        <w:jc w:val="center"/>
        <w:rPr>
          <w:rFonts w:ascii="Times New Roman" w:hAnsi="Times New Roman" w:cs="Times New Roman"/>
          <w:b/>
          <w:sz w:val="21"/>
          <w:szCs w:val="18"/>
        </w:rPr>
      </w:pPr>
      <w:r>
        <w:rPr>
          <w:rFonts w:ascii="Times New Roman" w:hAnsi="Times New Roman" w:cs="Times New Roman"/>
          <w:b/>
          <w:sz w:val="21"/>
          <w:szCs w:val="18"/>
        </w:rPr>
        <w:t>表4-</w:t>
      </w:r>
      <w:r>
        <w:rPr>
          <w:rFonts w:hint="eastAsia" w:cs="Times New Roman"/>
          <w:b/>
          <w:sz w:val="21"/>
          <w:szCs w:val="18"/>
          <w:lang w:val="en-US" w:eastAsia="zh-CN"/>
        </w:rPr>
        <w:t>3</w:t>
      </w:r>
      <w:r>
        <w:rPr>
          <w:rFonts w:ascii="Times New Roman" w:hAnsi="Times New Roman" w:cs="Times New Roman"/>
          <w:b/>
          <w:sz w:val="21"/>
          <w:szCs w:val="18"/>
        </w:rPr>
        <w:t>无组织废气排放情况一览表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45"/>
        <w:gridCol w:w="1131"/>
        <w:gridCol w:w="1323"/>
        <w:gridCol w:w="1715"/>
        <w:gridCol w:w="1396"/>
        <w:gridCol w:w="1880"/>
        <w:gridCol w:w="1711"/>
        <w:gridCol w:w="1532"/>
        <w:gridCol w:w="1384"/>
      </w:tblGrid>
      <w:tr w14:paraId="6A8170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754" w:type="pct"/>
            <w:vMerge w:val="restart"/>
            <w:noWrap w:val="0"/>
            <w:vAlign w:val="center"/>
          </w:tcPr>
          <w:p w14:paraId="6B837BCB">
            <w:pPr>
              <w:snapToGrid w:val="0"/>
              <w:jc w:val="center"/>
              <w:rPr>
                <w:rFonts w:ascii="Times New Roman" w:hAnsi="Times New Roman" w:cs="Times New Roman"/>
                <w:b/>
                <w:bCs/>
                <w:sz w:val="21"/>
                <w:szCs w:val="21"/>
              </w:rPr>
            </w:pPr>
            <w:r>
              <w:rPr>
                <w:rFonts w:ascii="Times New Roman" w:hAnsi="Times New Roman" w:cs="Times New Roman"/>
                <w:b/>
                <w:bCs/>
                <w:sz w:val="21"/>
                <w:szCs w:val="21"/>
              </w:rPr>
              <w:t>产污环节</w:t>
            </w:r>
          </w:p>
        </w:tc>
        <w:tc>
          <w:tcPr>
            <w:tcW w:w="398" w:type="pct"/>
            <w:vMerge w:val="restart"/>
            <w:noWrap w:val="0"/>
            <w:vAlign w:val="center"/>
          </w:tcPr>
          <w:p w14:paraId="6FC9CA58">
            <w:pPr>
              <w:snapToGrid w:val="0"/>
              <w:jc w:val="center"/>
              <w:rPr>
                <w:rFonts w:ascii="Times New Roman" w:hAnsi="Times New Roman" w:cs="Times New Roman"/>
                <w:b/>
                <w:bCs/>
                <w:sz w:val="21"/>
                <w:szCs w:val="21"/>
              </w:rPr>
            </w:pPr>
            <w:r>
              <w:rPr>
                <w:rFonts w:ascii="Times New Roman" w:hAnsi="Times New Roman" w:cs="Times New Roman"/>
                <w:b/>
                <w:bCs/>
                <w:sz w:val="21"/>
                <w:szCs w:val="21"/>
              </w:rPr>
              <w:t>污染物种类</w:t>
            </w:r>
          </w:p>
        </w:tc>
        <w:tc>
          <w:tcPr>
            <w:tcW w:w="1068" w:type="pct"/>
            <w:gridSpan w:val="2"/>
            <w:noWrap w:val="0"/>
            <w:vAlign w:val="center"/>
          </w:tcPr>
          <w:p w14:paraId="4AB6FF4D">
            <w:pPr>
              <w:snapToGrid w:val="0"/>
              <w:jc w:val="center"/>
              <w:rPr>
                <w:rFonts w:ascii="Times New Roman" w:hAnsi="Times New Roman" w:cs="Times New Roman"/>
                <w:b/>
                <w:bCs/>
                <w:sz w:val="21"/>
                <w:szCs w:val="21"/>
              </w:rPr>
            </w:pPr>
            <w:r>
              <w:rPr>
                <w:rFonts w:ascii="Times New Roman" w:hAnsi="Times New Roman" w:cs="Times New Roman"/>
                <w:b/>
                <w:bCs/>
                <w:sz w:val="21"/>
                <w:szCs w:val="21"/>
              </w:rPr>
              <w:t>污染物产生情况</w:t>
            </w:r>
          </w:p>
        </w:tc>
        <w:tc>
          <w:tcPr>
            <w:tcW w:w="491" w:type="pct"/>
            <w:vMerge w:val="restart"/>
            <w:noWrap w:val="0"/>
            <w:vAlign w:val="center"/>
          </w:tcPr>
          <w:p w14:paraId="50B2B749">
            <w:pPr>
              <w:snapToGrid w:val="0"/>
              <w:jc w:val="center"/>
              <w:rPr>
                <w:rFonts w:ascii="Times New Roman" w:hAnsi="Times New Roman" w:cs="Times New Roman"/>
                <w:b/>
                <w:bCs/>
                <w:sz w:val="21"/>
                <w:szCs w:val="21"/>
              </w:rPr>
            </w:pPr>
            <w:r>
              <w:rPr>
                <w:rFonts w:ascii="Times New Roman" w:hAnsi="Times New Roman" w:cs="Times New Roman"/>
                <w:b/>
                <w:bCs/>
                <w:sz w:val="21"/>
                <w:szCs w:val="21"/>
              </w:rPr>
              <w:t>年排放时间h</w:t>
            </w:r>
          </w:p>
        </w:tc>
        <w:tc>
          <w:tcPr>
            <w:tcW w:w="1263" w:type="pct"/>
            <w:gridSpan w:val="2"/>
            <w:noWrap w:val="0"/>
            <w:vAlign w:val="center"/>
          </w:tcPr>
          <w:p w14:paraId="6D44FA31">
            <w:pPr>
              <w:snapToGrid w:val="0"/>
              <w:jc w:val="center"/>
              <w:rPr>
                <w:rFonts w:ascii="Times New Roman" w:hAnsi="Times New Roman" w:cs="Times New Roman"/>
                <w:b/>
                <w:bCs/>
                <w:sz w:val="21"/>
                <w:szCs w:val="21"/>
              </w:rPr>
            </w:pPr>
            <w:r>
              <w:rPr>
                <w:rFonts w:ascii="Times New Roman" w:hAnsi="Times New Roman" w:cs="Times New Roman"/>
                <w:b/>
                <w:bCs/>
                <w:sz w:val="21"/>
                <w:szCs w:val="21"/>
              </w:rPr>
              <w:t>污染物排放情况</w:t>
            </w:r>
          </w:p>
        </w:tc>
        <w:tc>
          <w:tcPr>
            <w:tcW w:w="539" w:type="pct"/>
            <w:noWrap w:val="0"/>
            <w:vAlign w:val="center"/>
          </w:tcPr>
          <w:p w14:paraId="353A752D">
            <w:pPr>
              <w:snapToGrid w:val="0"/>
              <w:jc w:val="center"/>
              <w:rPr>
                <w:rFonts w:ascii="Times New Roman" w:hAnsi="Times New Roman" w:cs="Times New Roman"/>
                <w:b/>
                <w:bCs/>
                <w:sz w:val="21"/>
                <w:szCs w:val="21"/>
              </w:rPr>
            </w:pPr>
            <w:r>
              <w:rPr>
                <w:rFonts w:ascii="Times New Roman" w:hAnsi="Times New Roman" w:cs="Times New Roman"/>
                <w:b/>
                <w:bCs/>
                <w:sz w:val="21"/>
                <w:szCs w:val="21"/>
              </w:rPr>
              <w:t>排放标准限值</w:t>
            </w:r>
          </w:p>
        </w:tc>
        <w:tc>
          <w:tcPr>
            <w:tcW w:w="487" w:type="pct"/>
            <w:vMerge w:val="restart"/>
            <w:noWrap w:val="0"/>
            <w:vAlign w:val="center"/>
          </w:tcPr>
          <w:p w14:paraId="5AE8BEDD">
            <w:pPr>
              <w:snapToGrid w:val="0"/>
              <w:jc w:val="center"/>
              <w:rPr>
                <w:rFonts w:ascii="Times New Roman" w:hAnsi="Times New Roman" w:cs="Times New Roman"/>
                <w:b/>
                <w:bCs/>
                <w:sz w:val="21"/>
                <w:szCs w:val="21"/>
              </w:rPr>
            </w:pPr>
            <w:r>
              <w:rPr>
                <w:rFonts w:ascii="Times New Roman" w:hAnsi="Times New Roman" w:cs="Times New Roman"/>
                <w:b/>
                <w:bCs/>
                <w:sz w:val="21"/>
                <w:szCs w:val="21"/>
              </w:rPr>
              <w:t>是否达标排放</w:t>
            </w:r>
          </w:p>
        </w:tc>
      </w:tr>
      <w:tr w14:paraId="551C0C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754" w:type="pct"/>
            <w:vMerge w:val="continue"/>
            <w:noWrap w:val="0"/>
            <w:vAlign w:val="center"/>
          </w:tcPr>
          <w:p w14:paraId="51819BD2">
            <w:pPr>
              <w:snapToGrid w:val="0"/>
              <w:jc w:val="center"/>
              <w:rPr>
                <w:rFonts w:ascii="Times New Roman" w:hAnsi="Times New Roman" w:cs="Times New Roman"/>
                <w:bCs/>
                <w:sz w:val="21"/>
                <w:szCs w:val="21"/>
              </w:rPr>
            </w:pPr>
          </w:p>
        </w:tc>
        <w:tc>
          <w:tcPr>
            <w:tcW w:w="398" w:type="pct"/>
            <w:vMerge w:val="continue"/>
            <w:noWrap w:val="0"/>
            <w:vAlign w:val="center"/>
          </w:tcPr>
          <w:p w14:paraId="3C4612AE">
            <w:pPr>
              <w:snapToGrid w:val="0"/>
              <w:jc w:val="center"/>
              <w:rPr>
                <w:rFonts w:ascii="Times New Roman" w:hAnsi="Times New Roman" w:cs="Times New Roman"/>
                <w:bCs/>
                <w:sz w:val="21"/>
                <w:szCs w:val="21"/>
              </w:rPr>
            </w:pPr>
          </w:p>
        </w:tc>
        <w:tc>
          <w:tcPr>
            <w:tcW w:w="465" w:type="pct"/>
            <w:noWrap w:val="0"/>
            <w:vAlign w:val="center"/>
          </w:tcPr>
          <w:p w14:paraId="2E27CD67">
            <w:pPr>
              <w:snapToGrid w:val="0"/>
              <w:jc w:val="center"/>
              <w:rPr>
                <w:rFonts w:ascii="Times New Roman" w:hAnsi="Times New Roman" w:cs="Times New Roman"/>
                <w:bCs/>
                <w:sz w:val="21"/>
                <w:szCs w:val="21"/>
              </w:rPr>
            </w:pPr>
            <w:r>
              <w:rPr>
                <w:rFonts w:ascii="Times New Roman" w:hAnsi="Times New Roman" w:cs="Times New Roman"/>
                <w:b/>
                <w:bCs/>
                <w:sz w:val="21"/>
                <w:szCs w:val="21"/>
              </w:rPr>
              <w:t>产生量t/a</w:t>
            </w:r>
          </w:p>
        </w:tc>
        <w:tc>
          <w:tcPr>
            <w:tcW w:w="603" w:type="pct"/>
            <w:noWrap w:val="0"/>
            <w:vAlign w:val="center"/>
          </w:tcPr>
          <w:p w14:paraId="37CAD24D">
            <w:pPr>
              <w:snapToGrid w:val="0"/>
              <w:jc w:val="center"/>
              <w:rPr>
                <w:rFonts w:ascii="Times New Roman" w:hAnsi="Times New Roman" w:cs="Times New Roman"/>
                <w:sz w:val="21"/>
                <w:szCs w:val="21"/>
              </w:rPr>
            </w:pPr>
            <w:r>
              <w:rPr>
                <w:rFonts w:ascii="Times New Roman" w:hAnsi="Times New Roman" w:cs="Times New Roman"/>
                <w:b/>
                <w:bCs/>
                <w:sz w:val="21"/>
                <w:szCs w:val="21"/>
              </w:rPr>
              <w:t>产生速率kg/h</w:t>
            </w:r>
          </w:p>
        </w:tc>
        <w:tc>
          <w:tcPr>
            <w:tcW w:w="491" w:type="pct"/>
            <w:vMerge w:val="continue"/>
            <w:noWrap w:val="0"/>
            <w:vAlign w:val="center"/>
          </w:tcPr>
          <w:p w14:paraId="255CFB8E">
            <w:pPr>
              <w:snapToGrid w:val="0"/>
              <w:jc w:val="center"/>
              <w:rPr>
                <w:rFonts w:ascii="Times New Roman" w:hAnsi="Times New Roman" w:cs="Times New Roman"/>
                <w:sz w:val="21"/>
                <w:szCs w:val="21"/>
              </w:rPr>
            </w:pPr>
          </w:p>
        </w:tc>
        <w:tc>
          <w:tcPr>
            <w:tcW w:w="661" w:type="pct"/>
            <w:noWrap w:val="0"/>
            <w:vAlign w:val="center"/>
          </w:tcPr>
          <w:p w14:paraId="2FB2FE8C">
            <w:pPr>
              <w:snapToGrid w:val="0"/>
              <w:jc w:val="center"/>
              <w:rPr>
                <w:rFonts w:ascii="Times New Roman" w:hAnsi="Times New Roman" w:cs="Times New Roman"/>
                <w:bCs/>
                <w:sz w:val="21"/>
                <w:szCs w:val="21"/>
              </w:rPr>
            </w:pPr>
            <w:r>
              <w:rPr>
                <w:rFonts w:ascii="Times New Roman" w:hAnsi="Times New Roman" w:cs="Times New Roman"/>
                <w:b/>
                <w:bCs/>
                <w:sz w:val="21"/>
                <w:szCs w:val="21"/>
              </w:rPr>
              <w:t>排放量t/a</w:t>
            </w:r>
          </w:p>
        </w:tc>
        <w:tc>
          <w:tcPr>
            <w:tcW w:w="602" w:type="pct"/>
            <w:noWrap w:val="0"/>
            <w:vAlign w:val="center"/>
          </w:tcPr>
          <w:p w14:paraId="73591D24">
            <w:pPr>
              <w:snapToGrid w:val="0"/>
              <w:jc w:val="center"/>
              <w:rPr>
                <w:rFonts w:ascii="Times New Roman" w:hAnsi="Times New Roman" w:cs="Times New Roman"/>
                <w:sz w:val="21"/>
                <w:szCs w:val="21"/>
              </w:rPr>
            </w:pPr>
            <w:r>
              <w:rPr>
                <w:rFonts w:ascii="Times New Roman" w:hAnsi="Times New Roman" w:cs="Times New Roman"/>
                <w:b/>
                <w:bCs/>
                <w:sz w:val="21"/>
                <w:szCs w:val="21"/>
              </w:rPr>
              <w:t>排放速率kg/h</w:t>
            </w:r>
          </w:p>
        </w:tc>
        <w:tc>
          <w:tcPr>
            <w:tcW w:w="539" w:type="pct"/>
            <w:noWrap w:val="0"/>
            <w:vAlign w:val="center"/>
          </w:tcPr>
          <w:p w14:paraId="2CE3A202">
            <w:pPr>
              <w:snapToGrid w:val="0"/>
              <w:jc w:val="center"/>
              <w:rPr>
                <w:rFonts w:ascii="Times New Roman" w:hAnsi="Times New Roman" w:cs="Times New Roman"/>
                <w:sz w:val="21"/>
                <w:szCs w:val="21"/>
              </w:rPr>
            </w:pPr>
            <w:r>
              <w:rPr>
                <w:rFonts w:ascii="Times New Roman" w:hAnsi="Times New Roman" w:cs="Times New Roman"/>
                <w:b/>
                <w:bCs/>
                <w:sz w:val="21"/>
                <w:szCs w:val="21"/>
              </w:rPr>
              <w:t>浓度mg/m</w:t>
            </w:r>
            <w:r>
              <w:rPr>
                <w:rFonts w:ascii="Times New Roman" w:hAnsi="Times New Roman" w:cs="Times New Roman"/>
                <w:b/>
                <w:bCs/>
                <w:sz w:val="21"/>
                <w:szCs w:val="21"/>
                <w:vertAlign w:val="superscript"/>
              </w:rPr>
              <w:t>3</w:t>
            </w:r>
          </w:p>
        </w:tc>
        <w:tc>
          <w:tcPr>
            <w:tcW w:w="487" w:type="pct"/>
            <w:vMerge w:val="continue"/>
            <w:noWrap w:val="0"/>
            <w:vAlign w:val="center"/>
          </w:tcPr>
          <w:p w14:paraId="7DAECEC0">
            <w:pPr>
              <w:snapToGrid w:val="0"/>
              <w:jc w:val="center"/>
              <w:rPr>
                <w:rFonts w:ascii="Times New Roman" w:hAnsi="Times New Roman" w:cs="Times New Roman"/>
                <w:sz w:val="21"/>
                <w:szCs w:val="21"/>
              </w:rPr>
            </w:pPr>
          </w:p>
        </w:tc>
      </w:tr>
      <w:tr w14:paraId="2547FA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754" w:type="pct"/>
            <w:noWrap w:val="0"/>
            <w:vAlign w:val="center"/>
          </w:tcPr>
          <w:p w14:paraId="3A0B8C4E">
            <w:pPr>
              <w:snapToGrid w:val="0"/>
              <w:jc w:val="center"/>
              <w:rPr>
                <w:rFonts w:hint="default" w:cs="Times New Roman"/>
                <w:bCs/>
                <w:sz w:val="21"/>
                <w:szCs w:val="21"/>
                <w:lang w:val="en-US" w:eastAsia="zh-CN"/>
              </w:rPr>
            </w:pPr>
            <w:r>
              <w:rPr>
                <w:rFonts w:hint="eastAsia" w:cs="Times New Roman"/>
                <w:bCs/>
                <w:sz w:val="21"/>
                <w:szCs w:val="21"/>
                <w:lang w:val="en-US" w:eastAsia="zh-CN"/>
              </w:rPr>
              <w:t>注塑</w:t>
            </w:r>
          </w:p>
        </w:tc>
        <w:tc>
          <w:tcPr>
            <w:tcW w:w="398" w:type="pct"/>
            <w:noWrap w:val="0"/>
            <w:vAlign w:val="center"/>
          </w:tcPr>
          <w:p w14:paraId="7AF28401">
            <w:pPr>
              <w:snapToGrid w:val="0"/>
              <w:jc w:val="center"/>
              <w:rPr>
                <w:rFonts w:hint="default" w:eastAsia="宋体" w:cs="Times New Roman"/>
                <w:sz w:val="21"/>
                <w:szCs w:val="21"/>
                <w:lang w:val="en-US" w:eastAsia="zh-CN"/>
              </w:rPr>
            </w:pPr>
            <w:r>
              <w:rPr>
                <w:rFonts w:hint="eastAsia" w:cs="Times New Roman"/>
                <w:sz w:val="21"/>
                <w:szCs w:val="21"/>
                <w:lang w:val="en-US" w:eastAsia="zh-CN"/>
              </w:rPr>
              <w:t>非甲烷总烃</w:t>
            </w:r>
          </w:p>
        </w:tc>
        <w:tc>
          <w:tcPr>
            <w:tcW w:w="465" w:type="pct"/>
            <w:noWrap w:val="0"/>
            <w:vAlign w:val="center"/>
          </w:tcPr>
          <w:p w14:paraId="0CDA0EDC">
            <w:pPr>
              <w:jc w:val="center"/>
              <w:rPr>
                <w:rFonts w:ascii="Times New Roman" w:hAnsi="Times New Roman" w:eastAsia="等线" w:cs="Times New Roman"/>
                <w:color w:val="000000"/>
                <w:sz w:val="21"/>
                <w:szCs w:val="21"/>
              </w:rPr>
            </w:pPr>
            <w:r>
              <w:rPr>
                <w:rFonts w:hint="eastAsia" w:ascii="Times New Roman" w:hAnsi="Times New Roman" w:eastAsia="等线" w:cs="Times New Roman"/>
                <w:color w:val="000000"/>
                <w:sz w:val="21"/>
                <w:szCs w:val="21"/>
              </w:rPr>
              <w:t>0.0486</w:t>
            </w:r>
          </w:p>
        </w:tc>
        <w:tc>
          <w:tcPr>
            <w:tcW w:w="603" w:type="pct"/>
            <w:noWrap w:val="0"/>
            <w:vAlign w:val="center"/>
          </w:tcPr>
          <w:p w14:paraId="7723304F">
            <w:pPr>
              <w:jc w:val="center"/>
              <w:rPr>
                <w:rFonts w:hint="default" w:ascii="Times New Roman" w:hAnsi="Times New Roman" w:eastAsia="等线" w:cs="Times New Roman"/>
                <w:color w:val="000000"/>
                <w:sz w:val="21"/>
                <w:szCs w:val="21"/>
                <w:lang w:val="en-US" w:eastAsia="zh-CN"/>
              </w:rPr>
            </w:pPr>
            <w:r>
              <w:rPr>
                <w:rFonts w:hint="eastAsia" w:eastAsia="等线" w:cs="Times New Roman"/>
                <w:color w:val="000000"/>
                <w:sz w:val="21"/>
                <w:szCs w:val="21"/>
                <w:lang w:val="en-US" w:eastAsia="zh-CN"/>
              </w:rPr>
              <w:t>0.020</w:t>
            </w:r>
          </w:p>
        </w:tc>
        <w:tc>
          <w:tcPr>
            <w:tcW w:w="491" w:type="pct"/>
            <w:noWrap w:val="0"/>
            <w:vAlign w:val="center"/>
          </w:tcPr>
          <w:p w14:paraId="66D6D21F">
            <w:pPr>
              <w:snapToGrid w:val="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2400</w:t>
            </w:r>
          </w:p>
        </w:tc>
        <w:tc>
          <w:tcPr>
            <w:tcW w:w="661" w:type="pct"/>
            <w:noWrap w:val="0"/>
            <w:vAlign w:val="center"/>
          </w:tcPr>
          <w:p w14:paraId="63E189B5">
            <w:pPr>
              <w:jc w:val="center"/>
              <w:rPr>
                <w:rFonts w:ascii="Times New Roman" w:hAnsi="Times New Roman" w:eastAsia="等线" w:cs="Times New Roman"/>
                <w:color w:val="000000"/>
                <w:sz w:val="21"/>
                <w:szCs w:val="21"/>
              </w:rPr>
            </w:pPr>
            <w:r>
              <w:rPr>
                <w:rFonts w:hint="eastAsia" w:ascii="Times New Roman" w:hAnsi="Times New Roman" w:eastAsia="等线" w:cs="Times New Roman"/>
                <w:color w:val="000000"/>
                <w:sz w:val="21"/>
                <w:szCs w:val="21"/>
              </w:rPr>
              <w:t>0.0486</w:t>
            </w:r>
          </w:p>
        </w:tc>
        <w:tc>
          <w:tcPr>
            <w:tcW w:w="602" w:type="pct"/>
            <w:noWrap w:val="0"/>
            <w:vAlign w:val="center"/>
          </w:tcPr>
          <w:p w14:paraId="4D5E2D02">
            <w:pPr>
              <w:jc w:val="center"/>
              <w:rPr>
                <w:rFonts w:ascii="Times New Roman" w:hAnsi="Times New Roman" w:eastAsia="等线" w:cs="Times New Roman"/>
                <w:color w:val="000000"/>
                <w:sz w:val="21"/>
                <w:szCs w:val="21"/>
              </w:rPr>
            </w:pPr>
            <w:r>
              <w:rPr>
                <w:rFonts w:hint="eastAsia" w:eastAsia="等线" w:cs="Times New Roman"/>
                <w:color w:val="000000"/>
                <w:sz w:val="21"/>
                <w:szCs w:val="21"/>
                <w:lang w:val="en-US" w:eastAsia="zh-CN"/>
              </w:rPr>
              <w:t>0.020</w:t>
            </w:r>
          </w:p>
        </w:tc>
        <w:tc>
          <w:tcPr>
            <w:tcW w:w="539" w:type="pct"/>
            <w:noWrap w:val="0"/>
            <w:vAlign w:val="center"/>
          </w:tcPr>
          <w:p w14:paraId="1F5668BE">
            <w:pPr>
              <w:jc w:val="center"/>
              <w:rPr>
                <w:rFonts w:hint="default" w:eastAsia="等线" w:cs="Times New Roman"/>
                <w:sz w:val="21"/>
                <w:szCs w:val="21"/>
                <w:lang w:val="en-US" w:eastAsia="zh-CN"/>
              </w:rPr>
            </w:pPr>
            <w:r>
              <w:rPr>
                <w:rFonts w:hint="eastAsia" w:eastAsia="等线" w:cs="Times New Roman"/>
                <w:sz w:val="21"/>
                <w:szCs w:val="21"/>
                <w:lang w:val="en-US" w:eastAsia="zh-CN"/>
              </w:rPr>
              <w:t>4.0</w:t>
            </w:r>
          </w:p>
        </w:tc>
        <w:tc>
          <w:tcPr>
            <w:tcW w:w="487" w:type="pct"/>
            <w:noWrap w:val="0"/>
            <w:vAlign w:val="center"/>
          </w:tcPr>
          <w:p w14:paraId="41E5D01F">
            <w:pPr>
              <w:snapToGrid w:val="0"/>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是</w:t>
            </w:r>
          </w:p>
        </w:tc>
      </w:tr>
      <w:tr w14:paraId="0D406A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754" w:type="pct"/>
            <w:noWrap w:val="0"/>
            <w:vAlign w:val="center"/>
          </w:tcPr>
          <w:p w14:paraId="7C830036">
            <w:pPr>
              <w:snapToGrid w:val="0"/>
              <w:jc w:val="center"/>
              <w:rPr>
                <w:rFonts w:hint="eastAsia" w:ascii="Times New Roman" w:hAnsi="Times New Roman" w:eastAsia="宋体" w:cs="Times New Roman"/>
                <w:bCs/>
                <w:sz w:val="21"/>
                <w:szCs w:val="21"/>
                <w:lang w:eastAsia="zh-CN"/>
              </w:rPr>
            </w:pPr>
            <w:r>
              <w:rPr>
                <w:rFonts w:hint="eastAsia" w:cs="Times New Roman"/>
                <w:bCs/>
                <w:sz w:val="21"/>
                <w:szCs w:val="21"/>
                <w:lang w:val="en-US" w:eastAsia="zh-CN"/>
              </w:rPr>
              <w:t>破碎</w:t>
            </w:r>
          </w:p>
        </w:tc>
        <w:tc>
          <w:tcPr>
            <w:tcW w:w="398" w:type="pct"/>
            <w:noWrap w:val="0"/>
            <w:vAlign w:val="center"/>
          </w:tcPr>
          <w:p w14:paraId="70A93F22">
            <w:pPr>
              <w:snapToGrid w:val="0"/>
              <w:jc w:val="center"/>
              <w:rPr>
                <w:rFonts w:ascii="Times New Roman" w:hAnsi="Times New Roman" w:cs="Times New Roman"/>
                <w:bCs/>
                <w:sz w:val="21"/>
                <w:szCs w:val="21"/>
              </w:rPr>
            </w:pPr>
            <w:r>
              <w:rPr>
                <w:rFonts w:cs="Times New Roman"/>
                <w:sz w:val="21"/>
                <w:szCs w:val="21"/>
              </w:rPr>
              <w:t>颗粒物</w:t>
            </w:r>
          </w:p>
        </w:tc>
        <w:tc>
          <w:tcPr>
            <w:tcW w:w="465" w:type="pct"/>
            <w:noWrap w:val="0"/>
            <w:vAlign w:val="center"/>
          </w:tcPr>
          <w:p w14:paraId="0BA421BC">
            <w:pPr>
              <w:jc w:val="center"/>
              <w:rPr>
                <w:rFonts w:hint="default" w:ascii="Times New Roman" w:hAnsi="Times New Roman" w:eastAsia="等线" w:cs="Times New Roman"/>
                <w:color w:val="000000"/>
                <w:sz w:val="21"/>
                <w:szCs w:val="21"/>
                <w:lang w:val="en-US" w:eastAsia="zh-CN"/>
              </w:rPr>
            </w:pPr>
            <w:r>
              <w:rPr>
                <w:rFonts w:hint="eastAsia" w:eastAsia="等线" w:cs="Times New Roman"/>
                <w:color w:val="000000"/>
                <w:sz w:val="21"/>
                <w:szCs w:val="21"/>
                <w:lang w:val="en-US" w:eastAsia="zh-CN"/>
              </w:rPr>
              <w:t>0.0006</w:t>
            </w:r>
          </w:p>
        </w:tc>
        <w:tc>
          <w:tcPr>
            <w:tcW w:w="603" w:type="pct"/>
            <w:noWrap w:val="0"/>
            <w:vAlign w:val="center"/>
          </w:tcPr>
          <w:p w14:paraId="17B21349">
            <w:pPr>
              <w:jc w:val="center"/>
              <w:rPr>
                <w:rFonts w:hint="default" w:ascii="Times New Roman" w:hAnsi="Times New Roman" w:eastAsia="等线" w:cs="Times New Roman"/>
                <w:color w:val="000000"/>
                <w:sz w:val="21"/>
                <w:szCs w:val="21"/>
                <w:lang w:val="en-US" w:eastAsia="zh-CN"/>
              </w:rPr>
            </w:pPr>
            <w:r>
              <w:rPr>
                <w:rFonts w:hint="eastAsia" w:eastAsia="等线" w:cs="Times New Roman"/>
                <w:color w:val="000000"/>
                <w:sz w:val="21"/>
                <w:szCs w:val="21"/>
                <w:lang w:val="en-US" w:eastAsia="zh-CN"/>
              </w:rPr>
              <w:t>0.012</w:t>
            </w:r>
          </w:p>
        </w:tc>
        <w:tc>
          <w:tcPr>
            <w:tcW w:w="491" w:type="pct"/>
            <w:noWrap w:val="0"/>
            <w:vAlign w:val="center"/>
          </w:tcPr>
          <w:p w14:paraId="33A05820">
            <w:pPr>
              <w:snapToGrid w:val="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50</w:t>
            </w:r>
          </w:p>
        </w:tc>
        <w:tc>
          <w:tcPr>
            <w:tcW w:w="661" w:type="pct"/>
            <w:noWrap w:val="0"/>
            <w:vAlign w:val="center"/>
          </w:tcPr>
          <w:p w14:paraId="1008DA64">
            <w:pPr>
              <w:jc w:val="center"/>
              <w:rPr>
                <w:rFonts w:hint="default" w:ascii="Times New Roman" w:hAnsi="Times New Roman" w:eastAsia="等线" w:cs="Times New Roman"/>
                <w:color w:val="000000"/>
                <w:sz w:val="21"/>
                <w:szCs w:val="21"/>
                <w:lang w:val="en-US" w:eastAsia="zh-CN"/>
              </w:rPr>
            </w:pPr>
            <w:r>
              <w:rPr>
                <w:rFonts w:hint="eastAsia" w:eastAsia="等线" w:cs="Times New Roman"/>
                <w:color w:val="000000"/>
                <w:sz w:val="21"/>
                <w:szCs w:val="21"/>
                <w:lang w:val="en-US" w:eastAsia="zh-CN"/>
              </w:rPr>
              <w:t>0.0006</w:t>
            </w:r>
          </w:p>
        </w:tc>
        <w:tc>
          <w:tcPr>
            <w:tcW w:w="602" w:type="pct"/>
            <w:noWrap w:val="0"/>
            <w:vAlign w:val="center"/>
          </w:tcPr>
          <w:p w14:paraId="6011425A">
            <w:pPr>
              <w:jc w:val="center"/>
              <w:rPr>
                <w:rFonts w:hint="default" w:ascii="Times New Roman" w:hAnsi="Times New Roman" w:eastAsia="等线" w:cs="Times New Roman"/>
                <w:color w:val="000000"/>
                <w:sz w:val="21"/>
                <w:szCs w:val="21"/>
                <w:lang w:val="en-US" w:eastAsia="zh-CN"/>
              </w:rPr>
            </w:pPr>
            <w:r>
              <w:rPr>
                <w:rFonts w:hint="eastAsia" w:eastAsia="等线" w:cs="Times New Roman"/>
                <w:color w:val="000000"/>
                <w:sz w:val="21"/>
                <w:szCs w:val="21"/>
                <w:lang w:val="en-US" w:eastAsia="zh-CN"/>
              </w:rPr>
              <w:t>0.012</w:t>
            </w:r>
          </w:p>
        </w:tc>
        <w:tc>
          <w:tcPr>
            <w:tcW w:w="539" w:type="pct"/>
            <w:noWrap w:val="0"/>
            <w:vAlign w:val="center"/>
          </w:tcPr>
          <w:p w14:paraId="2012D9BB">
            <w:pPr>
              <w:jc w:val="center"/>
              <w:rPr>
                <w:rFonts w:ascii="Times New Roman" w:hAnsi="Times New Roman" w:eastAsia="等线" w:cs="Times New Roman"/>
                <w:sz w:val="21"/>
                <w:szCs w:val="21"/>
              </w:rPr>
            </w:pPr>
            <w:r>
              <w:rPr>
                <w:rFonts w:hint="eastAsia" w:eastAsia="等线" w:cs="Times New Roman"/>
                <w:sz w:val="21"/>
                <w:szCs w:val="21"/>
                <w:lang w:val="en-US" w:eastAsia="zh-CN"/>
              </w:rPr>
              <w:t>1</w:t>
            </w:r>
            <w:r>
              <w:rPr>
                <w:rFonts w:ascii="Times New Roman" w:hAnsi="Times New Roman" w:eastAsia="等线" w:cs="Times New Roman"/>
                <w:sz w:val="21"/>
                <w:szCs w:val="21"/>
              </w:rPr>
              <w:t>.0</w:t>
            </w:r>
          </w:p>
        </w:tc>
        <w:tc>
          <w:tcPr>
            <w:tcW w:w="487" w:type="pct"/>
            <w:noWrap w:val="0"/>
            <w:vAlign w:val="center"/>
          </w:tcPr>
          <w:p w14:paraId="6946A83B">
            <w:pPr>
              <w:snapToGrid w:val="0"/>
              <w:jc w:val="center"/>
              <w:rPr>
                <w:rFonts w:ascii="Times New Roman" w:hAnsi="Times New Roman" w:cs="Times New Roman"/>
                <w:sz w:val="21"/>
                <w:szCs w:val="21"/>
              </w:rPr>
            </w:pPr>
            <w:r>
              <w:rPr>
                <w:rFonts w:ascii="Times New Roman" w:hAnsi="Times New Roman" w:cs="Times New Roman"/>
                <w:sz w:val="21"/>
                <w:szCs w:val="21"/>
              </w:rPr>
              <w:t>是</w:t>
            </w:r>
          </w:p>
        </w:tc>
      </w:tr>
      <w:tr w14:paraId="5DF22A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754" w:type="pct"/>
            <w:noWrap w:val="0"/>
            <w:vAlign w:val="center"/>
          </w:tcPr>
          <w:p w14:paraId="1B3A1821">
            <w:pPr>
              <w:adjustRightInd w:val="0"/>
              <w:snapToGrid w:val="0"/>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切割</w:t>
            </w:r>
          </w:p>
        </w:tc>
        <w:tc>
          <w:tcPr>
            <w:tcW w:w="398" w:type="pct"/>
            <w:noWrap w:val="0"/>
            <w:vAlign w:val="center"/>
          </w:tcPr>
          <w:p w14:paraId="1938046E">
            <w:pPr>
              <w:pStyle w:val="9"/>
              <w:spacing w:line="240" w:lineRule="auto"/>
              <w:ind w:firstLine="0" w:firstLineChars="0"/>
              <w:jc w:val="center"/>
              <w:rPr>
                <w:rFonts w:cs="Times New Roman"/>
                <w:sz w:val="21"/>
                <w:szCs w:val="21"/>
              </w:rPr>
            </w:pPr>
            <w:r>
              <w:rPr>
                <w:rFonts w:cs="Times New Roman"/>
                <w:sz w:val="21"/>
                <w:szCs w:val="21"/>
              </w:rPr>
              <w:t>颗粒物</w:t>
            </w:r>
          </w:p>
        </w:tc>
        <w:tc>
          <w:tcPr>
            <w:tcW w:w="465" w:type="pct"/>
            <w:noWrap w:val="0"/>
            <w:vAlign w:val="center"/>
          </w:tcPr>
          <w:p w14:paraId="29FD39B8">
            <w:pPr>
              <w:snapToGrid w:val="0"/>
              <w:jc w:val="center"/>
              <w:rPr>
                <w:rFonts w:hint="default" w:ascii="Times New Roman" w:hAnsi="Times New Roman" w:eastAsia="等线" w:cs="Times New Roman"/>
                <w:sz w:val="21"/>
                <w:szCs w:val="21"/>
                <w:lang w:val="en-US" w:eastAsia="zh-CN"/>
              </w:rPr>
            </w:pPr>
            <w:r>
              <w:rPr>
                <w:rFonts w:ascii="Times New Roman" w:hAnsi="Times New Roman" w:eastAsia="等线" w:cs="Times New Roman"/>
                <w:sz w:val="21"/>
                <w:szCs w:val="21"/>
              </w:rPr>
              <w:t>0.</w:t>
            </w:r>
            <w:r>
              <w:rPr>
                <w:rFonts w:hint="eastAsia" w:eastAsia="等线" w:cs="Times New Roman"/>
                <w:sz w:val="21"/>
                <w:szCs w:val="21"/>
                <w:lang w:val="en-US" w:eastAsia="zh-CN"/>
              </w:rPr>
              <w:t>11</w:t>
            </w:r>
          </w:p>
        </w:tc>
        <w:tc>
          <w:tcPr>
            <w:tcW w:w="603" w:type="pct"/>
            <w:noWrap w:val="0"/>
            <w:vAlign w:val="center"/>
          </w:tcPr>
          <w:p w14:paraId="52F3D043">
            <w:pPr>
              <w:snapToGrid w:val="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0.11</w:t>
            </w:r>
          </w:p>
        </w:tc>
        <w:tc>
          <w:tcPr>
            <w:tcW w:w="491" w:type="pct"/>
            <w:noWrap w:val="0"/>
            <w:vAlign w:val="center"/>
          </w:tcPr>
          <w:p w14:paraId="63AE56F1">
            <w:pPr>
              <w:snapToGrid w:val="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1000</w:t>
            </w:r>
          </w:p>
        </w:tc>
        <w:tc>
          <w:tcPr>
            <w:tcW w:w="661" w:type="pct"/>
            <w:noWrap w:val="0"/>
            <w:vAlign w:val="center"/>
          </w:tcPr>
          <w:p w14:paraId="2853FFD7">
            <w:pPr>
              <w:snapToGrid w:val="0"/>
              <w:jc w:val="center"/>
              <w:rPr>
                <w:rFonts w:hint="default" w:ascii="Times New Roman" w:hAnsi="Times New Roman" w:eastAsia="等线" w:cs="Times New Roman"/>
                <w:sz w:val="21"/>
                <w:szCs w:val="21"/>
                <w:lang w:val="en-US" w:eastAsia="zh-CN"/>
              </w:rPr>
            </w:pPr>
            <w:r>
              <w:rPr>
                <w:rFonts w:ascii="Times New Roman" w:hAnsi="Times New Roman" w:eastAsia="等线" w:cs="Times New Roman"/>
                <w:sz w:val="21"/>
                <w:szCs w:val="21"/>
              </w:rPr>
              <w:t>0.0</w:t>
            </w:r>
            <w:r>
              <w:rPr>
                <w:rFonts w:hint="eastAsia" w:eastAsia="等线" w:cs="Times New Roman"/>
                <w:sz w:val="21"/>
                <w:szCs w:val="21"/>
                <w:lang w:val="en-US" w:eastAsia="zh-CN"/>
              </w:rPr>
              <w:t>55</w:t>
            </w:r>
          </w:p>
        </w:tc>
        <w:tc>
          <w:tcPr>
            <w:tcW w:w="602" w:type="pct"/>
            <w:noWrap w:val="0"/>
            <w:vAlign w:val="center"/>
          </w:tcPr>
          <w:p w14:paraId="6C818B90">
            <w:pPr>
              <w:snapToGrid w:val="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0.055</w:t>
            </w:r>
          </w:p>
        </w:tc>
        <w:tc>
          <w:tcPr>
            <w:tcW w:w="539" w:type="pct"/>
            <w:noWrap w:val="0"/>
            <w:vAlign w:val="center"/>
          </w:tcPr>
          <w:p w14:paraId="3A551A92">
            <w:pPr>
              <w:jc w:val="center"/>
              <w:rPr>
                <w:rFonts w:ascii="Times New Roman" w:hAnsi="Times New Roman" w:eastAsia="等线" w:cs="Times New Roman"/>
                <w:sz w:val="21"/>
                <w:szCs w:val="21"/>
              </w:rPr>
            </w:pPr>
            <w:r>
              <w:rPr>
                <w:rFonts w:ascii="Times New Roman" w:hAnsi="Times New Roman" w:eastAsia="等线" w:cs="Times New Roman"/>
                <w:sz w:val="21"/>
                <w:szCs w:val="21"/>
              </w:rPr>
              <w:t>1.0</w:t>
            </w:r>
          </w:p>
        </w:tc>
        <w:tc>
          <w:tcPr>
            <w:tcW w:w="487" w:type="pct"/>
            <w:noWrap w:val="0"/>
            <w:vAlign w:val="center"/>
          </w:tcPr>
          <w:p w14:paraId="4A6A1EB3">
            <w:pPr>
              <w:snapToGrid w:val="0"/>
              <w:jc w:val="center"/>
              <w:rPr>
                <w:rFonts w:ascii="Times New Roman" w:hAnsi="Times New Roman" w:cs="Times New Roman"/>
                <w:sz w:val="21"/>
                <w:szCs w:val="21"/>
              </w:rPr>
            </w:pPr>
            <w:r>
              <w:rPr>
                <w:rFonts w:ascii="Times New Roman" w:hAnsi="Times New Roman" w:cs="Times New Roman"/>
                <w:sz w:val="21"/>
                <w:szCs w:val="21"/>
              </w:rPr>
              <w:t>是</w:t>
            </w:r>
          </w:p>
        </w:tc>
      </w:tr>
      <w:tr w14:paraId="52935B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754" w:type="pct"/>
            <w:noWrap w:val="0"/>
            <w:vAlign w:val="center"/>
          </w:tcPr>
          <w:p w14:paraId="20F2052D">
            <w:pPr>
              <w:adjustRightInd w:val="0"/>
              <w:snapToGrid w:val="0"/>
              <w:jc w:val="center"/>
              <w:rPr>
                <w:rFonts w:hint="default" w:cs="Times New Roman"/>
                <w:sz w:val="21"/>
                <w:szCs w:val="21"/>
                <w:lang w:val="en-US" w:eastAsia="zh-CN"/>
              </w:rPr>
            </w:pPr>
            <w:r>
              <w:rPr>
                <w:rFonts w:hint="eastAsia" w:cs="Times New Roman"/>
                <w:sz w:val="21"/>
                <w:szCs w:val="21"/>
                <w:lang w:val="en-US" w:eastAsia="zh-CN"/>
              </w:rPr>
              <w:t>焊接</w:t>
            </w:r>
          </w:p>
        </w:tc>
        <w:tc>
          <w:tcPr>
            <w:tcW w:w="398" w:type="pct"/>
            <w:noWrap w:val="0"/>
            <w:vAlign w:val="center"/>
          </w:tcPr>
          <w:p w14:paraId="2BF20712">
            <w:pPr>
              <w:pStyle w:val="9"/>
              <w:spacing w:line="240" w:lineRule="auto"/>
              <w:ind w:firstLine="0" w:firstLineChars="0"/>
              <w:jc w:val="center"/>
              <w:rPr>
                <w:rFonts w:cs="Times New Roman"/>
                <w:sz w:val="21"/>
                <w:szCs w:val="21"/>
              </w:rPr>
            </w:pPr>
            <w:r>
              <w:rPr>
                <w:rFonts w:cs="Times New Roman"/>
                <w:sz w:val="21"/>
                <w:szCs w:val="21"/>
              </w:rPr>
              <w:t>颗粒物</w:t>
            </w:r>
          </w:p>
        </w:tc>
        <w:tc>
          <w:tcPr>
            <w:tcW w:w="465" w:type="pct"/>
            <w:noWrap w:val="0"/>
            <w:vAlign w:val="center"/>
          </w:tcPr>
          <w:p w14:paraId="4F77CC36">
            <w:pPr>
              <w:snapToGrid w:val="0"/>
              <w:jc w:val="center"/>
              <w:rPr>
                <w:rFonts w:hint="default" w:ascii="Times New Roman" w:hAnsi="Times New Roman" w:eastAsia="等线" w:cs="Times New Roman"/>
                <w:sz w:val="21"/>
                <w:szCs w:val="21"/>
                <w:lang w:val="en-US" w:eastAsia="zh-CN"/>
              </w:rPr>
            </w:pPr>
            <w:r>
              <w:rPr>
                <w:rFonts w:hint="eastAsia" w:eastAsia="等线" w:cs="Times New Roman"/>
                <w:sz w:val="21"/>
                <w:szCs w:val="21"/>
                <w:lang w:val="en-US" w:eastAsia="zh-CN"/>
              </w:rPr>
              <w:t>0.003</w:t>
            </w:r>
          </w:p>
        </w:tc>
        <w:tc>
          <w:tcPr>
            <w:tcW w:w="603" w:type="pct"/>
            <w:noWrap w:val="0"/>
            <w:vAlign w:val="center"/>
          </w:tcPr>
          <w:p w14:paraId="7842FFE2">
            <w:pPr>
              <w:snapToGrid w:val="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0.003</w:t>
            </w:r>
          </w:p>
        </w:tc>
        <w:tc>
          <w:tcPr>
            <w:tcW w:w="491" w:type="pct"/>
            <w:noWrap w:val="0"/>
            <w:vAlign w:val="center"/>
          </w:tcPr>
          <w:p w14:paraId="6386148D">
            <w:pPr>
              <w:snapToGrid w:val="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1000</w:t>
            </w:r>
          </w:p>
        </w:tc>
        <w:tc>
          <w:tcPr>
            <w:tcW w:w="661" w:type="pct"/>
            <w:noWrap w:val="0"/>
            <w:vAlign w:val="center"/>
          </w:tcPr>
          <w:p w14:paraId="14AF51FE">
            <w:pPr>
              <w:snapToGrid w:val="0"/>
              <w:jc w:val="center"/>
              <w:rPr>
                <w:rFonts w:hint="default" w:ascii="Times New Roman" w:hAnsi="Times New Roman" w:eastAsia="等线" w:cs="Times New Roman"/>
                <w:sz w:val="21"/>
                <w:szCs w:val="21"/>
                <w:lang w:val="en-US" w:eastAsia="zh-CN"/>
              </w:rPr>
            </w:pPr>
            <w:r>
              <w:rPr>
                <w:rFonts w:hint="eastAsia" w:eastAsia="等线" w:cs="Times New Roman"/>
                <w:sz w:val="21"/>
                <w:szCs w:val="21"/>
                <w:lang w:val="en-US" w:eastAsia="zh-CN"/>
              </w:rPr>
              <w:t>0.001</w:t>
            </w:r>
          </w:p>
        </w:tc>
        <w:tc>
          <w:tcPr>
            <w:tcW w:w="602" w:type="pct"/>
            <w:noWrap w:val="0"/>
            <w:vAlign w:val="center"/>
          </w:tcPr>
          <w:p w14:paraId="4E9D738E">
            <w:pPr>
              <w:snapToGrid w:val="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0.001</w:t>
            </w:r>
          </w:p>
        </w:tc>
        <w:tc>
          <w:tcPr>
            <w:tcW w:w="539" w:type="pct"/>
            <w:noWrap w:val="0"/>
            <w:vAlign w:val="center"/>
          </w:tcPr>
          <w:p w14:paraId="2F3945EB">
            <w:pPr>
              <w:jc w:val="center"/>
              <w:rPr>
                <w:rFonts w:hint="default" w:ascii="Times New Roman" w:hAnsi="Times New Roman" w:eastAsia="等线" w:cs="Times New Roman"/>
                <w:sz w:val="21"/>
                <w:szCs w:val="21"/>
                <w:lang w:val="en-US" w:eastAsia="zh-CN"/>
              </w:rPr>
            </w:pPr>
            <w:r>
              <w:rPr>
                <w:rFonts w:hint="eastAsia" w:eastAsia="等线" w:cs="Times New Roman"/>
                <w:sz w:val="21"/>
                <w:szCs w:val="21"/>
                <w:lang w:val="en-US" w:eastAsia="zh-CN"/>
              </w:rPr>
              <w:t>1.0</w:t>
            </w:r>
          </w:p>
        </w:tc>
        <w:tc>
          <w:tcPr>
            <w:tcW w:w="487" w:type="pct"/>
            <w:noWrap w:val="0"/>
            <w:vAlign w:val="center"/>
          </w:tcPr>
          <w:p w14:paraId="7B197DBA">
            <w:pPr>
              <w:snapToGrid w:val="0"/>
              <w:jc w:val="center"/>
              <w:rPr>
                <w:rFonts w:ascii="Times New Roman" w:hAnsi="Times New Roman" w:cs="Times New Roman"/>
                <w:sz w:val="21"/>
                <w:szCs w:val="21"/>
              </w:rPr>
            </w:pPr>
            <w:r>
              <w:rPr>
                <w:rFonts w:ascii="Times New Roman" w:hAnsi="Times New Roman" w:cs="Times New Roman"/>
                <w:sz w:val="21"/>
                <w:szCs w:val="21"/>
              </w:rPr>
              <w:t>是</w:t>
            </w:r>
          </w:p>
        </w:tc>
      </w:tr>
    </w:tbl>
    <w:p w14:paraId="397593E4">
      <w:pPr>
        <w:pStyle w:val="17"/>
        <w:spacing w:line="240" w:lineRule="auto"/>
        <w:jc w:val="center"/>
        <w:rPr>
          <w:rFonts w:ascii="Times New Roman" w:hAnsi="Times New Roman" w:cs="Times New Roman"/>
          <w:b/>
          <w:bCs/>
          <w:sz w:val="21"/>
        </w:rPr>
      </w:pPr>
    </w:p>
    <w:p w14:paraId="5E60B0EB">
      <w:pPr>
        <w:pStyle w:val="17"/>
        <w:spacing w:line="240" w:lineRule="auto"/>
        <w:jc w:val="center"/>
        <w:rPr>
          <w:rFonts w:ascii="Times New Roman" w:hAnsi="Times New Roman" w:cs="Times New Roman"/>
          <w:b/>
          <w:bCs/>
          <w:sz w:val="21"/>
        </w:rPr>
      </w:pPr>
    </w:p>
    <w:p w14:paraId="4D08B34F">
      <w:pPr>
        <w:pStyle w:val="17"/>
        <w:spacing w:line="240" w:lineRule="auto"/>
        <w:jc w:val="center"/>
        <w:rPr>
          <w:rFonts w:ascii="Times New Roman" w:hAnsi="Times New Roman" w:cs="Times New Roman"/>
          <w:b/>
          <w:bCs/>
          <w:sz w:val="21"/>
        </w:rPr>
      </w:pPr>
    </w:p>
    <w:p w14:paraId="34CC01E6">
      <w:pPr>
        <w:pStyle w:val="17"/>
        <w:spacing w:line="240" w:lineRule="auto"/>
        <w:jc w:val="center"/>
        <w:rPr>
          <w:rFonts w:ascii="Times New Roman" w:hAnsi="Times New Roman" w:cs="Times New Roman"/>
          <w:b/>
          <w:bCs/>
          <w:sz w:val="21"/>
        </w:rPr>
      </w:pPr>
    </w:p>
    <w:p w14:paraId="2C09B99C">
      <w:pPr>
        <w:pStyle w:val="17"/>
        <w:spacing w:line="240" w:lineRule="auto"/>
        <w:jc w:val="center"/>
        <w:rPr>
          <w:rFonts w:ascii="Times New Roman" w:hAnsi="Times New Roman" w:cs="Times New Roman"/>
          <w:b/>
          <w:bCs/>
          <w:sz w:val="21"/>
        </w:rPr>
      </w:pPr>
    </w:p>
    <w:p w14:paraId="507D805D">
      <w:pPr>
        <w:pStyle w:val="17"/>
        <w:spacing w:line="240" w:lineRule="auto"/>
        <w:jc w:val="center"/>
        <w:rPr>
          <w:rFonts w:ascii="Times New Roman" w:hAnsi="Times New Roman" w:cs="Times New Roman"/>
          <w:b/>
          <w:bCs/>
          <w:sz w:val="21"/>
        </w:rPr>
      </w:pPr>
      <w:r>
        <w:rPr>
          <w:rFonts w:ascii="Times New Roman" w:hAnsi="Times New Roman" w:cs="Times New Roman"/>
          <w:b/>
          <w:bCs/>
          <w:sz w:val="21"/>
        </w:rPr>
        <w:t>表4-</w:t>
      </w:r>
      <w:r>
        <w:rPr>
          <w:rFonts w:hint="eastAsia" w:cs="Times New Roman"/>
          <w:b/>
          <w:bCs/>
          <w:sz w:val="21"/>
          <w:lang w:val="en-US" w:eastAsia="zh-CN"/>
        </w:rPr>
        <w:t>4</w:t>
      </w:r>
      <w:r>
        <w:rPr>
          <w:rFonts w:ascii="Times New Roman" w:hAnsi="Times New Roman" w:cs="Times New Roman"/>
          <w:b/>
          <w:bCs/>
          <w:sz w:val="21"/>
        </w:rPr>
        <w:t xml:space="preserve">  排放口基本情况表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165"/>
        <w:gridCol w:w="2983"/>
        <w:gridCol w:w="1661"/>
        <w:gridCol w:w="2405"/>
        <w:gridCol w:w="2215"/>
        <w:gridCol w:w="2789"/>
      </w:tblGrid>
      <w:tr w14:paraId="0F203F2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21" w:hRule="atLeast"/>
          <w:jc w:val="center"/>
        </w:trPr>
        <w:tc>
          <w:tcPr>
            <w:tcW w:w="761" w:type="pct"/>
            <w:noWrap w:val="0"/>
            <w:vAlign w:val="center"/>
          </w:tcPr>
          <w:p w14:paraId="73DA7048">
            <w:pPr>
              <w:jc w:val="center"/>
              <w:rPr>
                <w:rFonts w:ascii="Times New Roman" w:hAnsi="Times New Roman" w:eastAsia="Times New Roman" w:cs="Times New Roman"/>
                <w:b/>
                <w:bCs/>
                <w:sz w:val="21"/>
                <w:szCs w:val="21"/>
              </w:rPr>
            </w:pPr>
            <w:r>
              <w:rPr>
                <w:rFonts w:ascii="Times New Roman" w:hAnsi="Times New Roman" w:cs="Times New Roman"/>
                <w:b/>
                <w:bCs/>
                <w:sz w:val="21"/>
                <w:szCs w:val="21"/>
              </w:rPr>
              <w:t>编号</w:t>
            </w:r>
          </w:p>
        </w:tc>
        <w:tc>
          <w:tcPr>
            <w:tcW w:w="1049" w:type="pct"/>
            <w:noWrap w:val="0"/>
            <w:vAlign w:val="center"/>
          </w:tcPr>
          <w:p w14:paraId="4755CF14">
            <w:pPr>
              <w:jc w:val="center"/>
              <w:rPr>
                <w:rFonts w:ascii="Times New Roman" w:hAnsi="Times New Roman" w:eastAsia="Times New Roman" w:cs="Times New Roman"/>
                <w:b/>
                <w:bCs/>
                <w:sz w:val="21"/>
                <w:szCs w:val="21"/>
              </w:rPr>
            </w:pPr>
            <w:r>
              <w:rPr>
                <w:rFonts w:ascii="Times New Roman" w:hAnsi="Times New Roman" w:cs="Times New Roman"/>
                <w:b/>
                <w:bCs/>
                <w:sz w:val="21"/>
                <w:szCs w:val="21"/>
              </w:rPr>
              <w:t>对应位置</w:t>
            </w:r>
          </w:p>
        </w:tc>
        <w:tc>
          <w:tcPr>
            <w:tcW w:w="584" w:type="pct"/>
            <w:noWrap w:val="0"/>
            <w:vAlign w:val="center"/>
          </w:tcPr>
          <w:p w14:paraId="01C9973A">
            <w:pPr>
              <w:jc w:val="center"/>
              <w:rPr>
                <w:rFonts w:ascii="Times New Roman" w:hAnsi="Times New Roman" w:eastAsia="Times New Roman" w:cs="Times New Roman"/>
                <w:b/>
                <w:bCs/>
                <w:sz w:val="21"/>
                <w:szCs w:val="21"/>
              </w:rPr>
            </w:pPr>
            <w:r>
              <w:rPr>
                <w:rFonts w:ascii="Times New Roman" w:hAnsi="Times New Roman" w:cs="Times New Roman"/>
                <w:b/>
                <w:bCs/>
                <w:sz w:val="21"/>
                <w:szCs w:val="21"/>
              </w:rPr>
              <w:t>高度</w:t>
            </w:r>
            <w:r>
              <w:rPr>
                <w:rFonts w:ascii="Times New Roman" w:hAnsi="Times New Roman" w:eastAsia="Times New Roman" w:cs="Times New Roman"/>
                <w:b/>
                <w:bCs/>
                <w:sz w:val="21"/>
                <w:szCs w:val="21"/>
              </w:rPr>
              <w:t>m</w:t>
            </w:r>
          </w:p>
        </w:tc>
        <w:tc>
          <w:tcPr>
            <w:tcW w:w="846" w:type="pct"/>
            <w:noWrap w:val="0"/>
            <w:vAlign w:val="center"/>
          </w:tcPr>
          <w:p w14:paraId="5AFF33CD">
            <w:pPr>
              <w:jc w:val="center"/>
              <w:rPr>
                <w:rFonts w:ascii="Times New Roman" w:hAnsi="Times New Roman" w:eastAsia="Times New Roman" w:cs="Times New Roman"/>
                <w:b/>
                <w:bCs/>
                <w:sz w:val="21"/>
                <w:szCs w:val="21"/>
              </w:rPr>
            </w:pPr>
            <w:r>
              <w:rPr>
                <w:rFonts w:ascii="Times New Roman" w:hAnsi="Times New Roman" w:cs="Times New Roman"/>
                <w:b/>
                <w:bCs/>
                <w:sz w:val="21"/>
                <w:szCs w:val="21"/>
              </w:rPr>
              <w:t>排气筒内径</w:t>
            </w:r>
            <w:r>
              <w:rPr>
                <w:rFonts w:ascii="Times New Roman" w:hAnsi="Times New Roman" w:eastAsia="Times New Roman" w:cs="Times New Roman"/>
                <w:b/>
                <w:bCs/>
                <w:sz w:val="21"/>
                <w:szCs w:val="21"/>
              </w:rPr>
              <w:t>m</w:t>
            </w:r>
          </w:p>
        </w:tc>
        <w:tc>
          <w:tcPr>
            <w:tcW w:w="779" w:type="pct"/>
            <w:noWrap w:val="0"/>
            <w:vAlign w:val="center"/>
          </w:tcPr>
          <w:p w14:paraId="6561A004">
            <w:pPr>
              <w:jc w:val="center"/>
              <w:rPr>
                <w:rFonts w:ascii="Times New Roman" w:hAnsi="Times New Roman" w:eastAsia="Times New Roman" w:cs="Times New Roman"/>
                <w:b/>
                <w:bCs/>
                <w:sz w:val="21"/>
                <w:szCs w:val="21"/>
              </w:rPr>
            </w:pPr>
            <w:r>
              <w:rPr>
                <w:rFonts w:ascii="Times New Roman" w:hAnsi="Times New Roman" w:cs="Times New Roman"/>
                <w:b/>
                <w:bCs/>
                <w:sz w:val="21"/>
                <w:szCs w:val="21"/>
              </w:rPr>
              <w:t>温度</w:t>
            </w:r>
          </w:p>
        </w:tc>
        <w:tc>
          <w:tcPr>
            <w:tcW w:w="981" w:type="pct"/>
            <w:noWrap w:val="0"/>
            <w:vAlign w:val="center"/>
          </w:tcPr>
          <w:p w14:paraId="1C00772F">
            <w:pPr>
              <w:jc w:val="center"/>
              <w:rPr>
                <w:rFonts w:ascii="Times New Roman" w:hAnsi="Times New Roman" w:eastAsia="Times New Roman" w:cs="Times New Roman"/>
                <w:b/>
                <w:bCs/>
                <w:sz w:val="21"/>
                <w:szCs w:val="21"/>
              </w:rPr>
            </w:pPr>
            <w:r>
              <w:rPr>
                <w:rFonts w:ascii="Times New Roman" w:hAnsi="Times New Roman" w:cs="Times New Roman"/>
                <w:b/>
                <w:bCs/>
                <w:sz w:val="21"/>
                <w:szCs w:val="21"/>
              </w:rPr>
              <w:t>坐标</w:t>
            </w:r>
          </w:p>
        </w:tc>
      </w:tr>
      <w:tr w14:paraId="339C933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21" w:hRule="atLeast"/>
          <w:jc w:val="center"/>
        </w:trPr>
        <w:tc>
          <w:tcPr>
            <w:tcW w:w="761" w:type="pct"/>
            <w:noWrap w:val="0"/>
            <w:vAlign w:val="center"/>
          </w:tcPr>
          <w:p w14:paraId="4FB48FE2">
            <w:pPr>
              <w:jc w:val="center"/>
              <w:textAlignment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DA001</w:t>
            </w:r>
          </w:p>
        </w:tc>
        <w:tc>
          <w:tcPr>
            <w:tcW w:w="1049" w:type="pct"/>
            <w:noWrap w:val="0"/>
            <w:vAlign w:val="center"/>
          </w:tcPr>
          <w:p w14:paraId="57563886">
            <w:pPr>
              <w:pStyle w:val="24"/>
              <w:spacing w:line="240" w:lineRule="auto"/>
              <w:jc w:val="center"/>
              <w:rPr>
                <w:rFonts w:ascii="Times New Roman" w:hAnsi="Times New Roman" w:eastAsia="Times New Roman" w:cs="Times New Roman"/>
                <w:sz w:val="21"/>
                <w:szCs w:val="21"/>
              </w:rPr>
            </w:pPr>
            <w:r>
              <w:rPr>
                <w:rFonts w:ascii="Times New Roman" w:hAnsi="Times New Roman" w:cs="Times New Roman"/>
                <w:sz w:val="21"/>
                <w:szCs w:val="21"/>
              </w:rPr>
              <w:t>生产区</w:t>
            </w:r>
          </w:p>
        </w:tc>
        <w:tc>
          <w:tcPr>
            <w:tcW w:w="584" w:type="pct"/>
            <w:noWrap w:val="0"/>
            <w:vAlign w:val="center"/>
          </w:tcPr>
          <w:p w14:paraId="11096ED0">
            <w:pPr>
              <w:jc w:val="center"/>
              <w:textAlignment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15</w:t>
            </w:r>
          </w:p>
        </w:tc>
        <w:tc>
          <w:tcPr>
            <w:tcW w:w="846" w:type="pct"/>
            <w:noWrap w:val="0"/>
            <w:vAlign w:val="center"/>
          </w:tcPr>
          <w:p w14:paraId="5F7A7DD0">
            <w:pPr>
              <w:jc w:val="center"/>
              <w:textAlignment w:val="center"/>
              <w:rPr>
                <w:rFonts w:hint="eastAsia" w:ascii="Times New Roman" w:hAnsi="Times New Roman" w:eastAsia="宋体" w:cs="Times New Roman"/>
                <w:sz w:val="21"/>
                <w:szCs w:val="21"/>
                <w:lang w:eastAsia="zh-CN"/>
              </w:rPr>
            </w:pPr>
            <w:r>
              <w:rPr>
                <w:rFonts w:ascii="Times New Roman" w:hAnsi="Times New Roman" w:eastAsia="Times New Roman" w:cs="Times New Roman"/>
                <w:sz w:val="21"/>
                <w:szCs w:val="21"/>
              </w:rPr>
              <w:t>0.</w:t>
            </w:r>
            <w:r>
              <w:rPr>
                <w:rFonts w:hint="eastAsia" w:cs="Times New Roman"/>
                <w:sz w:val="21"/>
                <w:szCs w:val="21"/>
                <w:lang w:val="en-US" w:eastAsia="zh-CN"/>
              </w:rPr>
              <w:t>4</w:t>
            </w:r>
          </w:p>
        </w:tc>
        <w:tc>
          <w:tcPr>
            <w:tcW w:w="779" w:type="pct"/>
            <w:noWrap w:val="0"/>
            <w:vAlign w:val="center"/>
          </w:tcPr>
          <w:p w14:paraId="13962222">
            <w:pPr>
              <w:jc w:val="center"/>
              <w:textAlignment w:val="center"/>
              <w:rPr>
                <w:rFonts w:ascii="Times New Roman" w:hAnsi="Times New Roman" w:eastAsia="Times New Roman" w:cs="Times New Roman"/>
                <w:sz w:val="21"/>
                <w:szCs w:val="21"/>
              </w:rPr>
            </w:pPr>
            <w:r>
              <w:rPr>
                <w:rFonts w:hint="eastAsia" w:cs="Times New Roman"/>
                <w:sz w:val="21"/>
                <w:szCs w:val="21"/>
                <w:lang w:val="en-US" w:eastAsia="zh-CN"/>
              </w:rPr>
              <w:t>常温</w:t>
            </w:r>
          </w:p>
        </w:tc>
        <w:tc>
          <w:tcPr>
            <w:tcW w:w="981" w:type="pct"/>
            <w:noWrap w:val="0"/>
            <w:vAlign w:val="center"/>
          </w:tcPr>
          <w:p w14:paraId="2677A910">
            <w:pPr>
              <w:jc w:val="center"/>
              <w:textAlignment w:val="center"/>
              <w:rPr>
                <w:rFonts w:hint="default" w:ascii="Times New Roman" w:hAnsi="Times New Roman" w:eastAsia="宋体" w:cs="Times New Roman"/>
                <w:sz w:val="21"/>
                <w:szCs w:val="21"/>
                <w:lang w:val="en-US" w:eastAsia="zh-CN"/>
              </w:rPr>
            </w:pPr>
            <w:r>
              <w:rPr>
                <w:rFonts w:ascii="Times New Roman" w:hAnsi="Times New Roman" w:cs="Times New Roman"/>
                <w:sz w:val="21"/>
                <w:szCs w:val="21"/>
              </w:rPr>
              <w:t>E</w:t>
            </w:r>
            <w:r>
              <w:rPr>
                <w:rFonts w:hint="eastAsia" w:cs="Times New Roman"/>
                <w:sz w:val="21"/>
                <w:szCs w:val="21"/>
                <w:lang w:val="en-US" w:eastAsia="zh-CN"/>
              </w:rPr>
              <w:t>116.973573</w:t>
            </w:r>
          </w:p>
          <w:p w14:paraId="53A75A9E">
            <w:pPr>
              <w:jc w:val="center"/>
              <w:textAlignment w:val="center"/>
              <w:rPr>
                <w:rFonts w:hint="default" w:ascii="Times New Roman" w:hAnsi="Times New Roman" w:eastAsia="宋体" w:cs="Times New Roman"/>
                <w:sz w:val="21"/>
                <w:szCs w:val="21"/>
                <w:lang w:val="en-US" w:eastAsia="zh-CN"/>
              </w:rPr>
            </w:pPr>
            <w:r>
              <w:rPr>
                <w:rFonts w:ascii="Times New Roman" w:hAnsi="Times New Roman" w:cs="Times New Roman"/>
                <w:sz w:val="21"/>
                <w:szCs w:val="21"/>
              </w:rPr>
              <w:t xml:space="preserve"> N</w:t>
            </w:r>
            <w:r>
              <w:rPr>
                <w:rFonts w:hint="eastAsia" w:cs="Times New Roman"/>
                <w:sz w:val="21"/>
                <w:szCs w:val="21"/>
                <w:lang w:val="en-US" w:eastAsia="zh-CN"/>
              </w:rPr>
              <w:t>33.744573</w:t>
            </w:r>
          </w:p>
        </w:tc>
      </w:tr>
      <w:tr w14:paraId="0C80BD9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21" w:hRule="atLeast"/>
          <w:jc w:val="center"/>
        </w:trPr>
        <w:tc>
          <w:tcPr>
            <w:tcW w:w="761" w:type="pct"/>
            <w:noWrap w:val="0"/>
            <w:vAlign w:val="center"/>
          </w:tcPr>
          <w:p w14:paraId="482D1839">
            <w:pPr>
              <w:jc w:val="center"/>
              <w:textAlignment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DA002</w:t>
            </w:r>
          </w:p>
        </w:tc>
        <w:tc>
          <w:tcPr>
            <w:tcW w:w="1049" w:type="pct"/>
            <w:noWrap w:val="0"/>
            <w:vAlign w:val="center"/>
          </w:tcPr>
          <w:p w14:paraId="79433E5C">
            <w:pPr>
              <w:pStyle w:val="24"/>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生产区</w:t>
            </w:r>
          </w:p>
        </w:tc>
        <w:tc>
          <w:tcPr>
            <w:tcW w:w="584" w:type="pct"/>
            <w:noWrap w:val="0"/>
            <w:vAlign w:val="center"/>
          </w:tcPr>
          <w:p w14:paraId="034B7E20">
            <w:pPr>
              <w:jc w:val="center"/>
              <w:textAlignment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15</w:t>
            </w:r>
          </w:p>
        </w:tc>
        <w:tc>
          <w:tcPr>
            <w:tcW w:w="846" w:type="pct"/>
            <w:noWrap w:val="0"/>
            <w:vAlign w:val="center"/>
          </w:tcPr>
          <w:p w14:paraId="2B4D66CB">
            <w:pPr>
              <w:jc w:val="center"/>
              <w:textAlignment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0.4</w:t>
            </w:r>
          </w:p>
        </w:tc>
        <w:tc>
          <w:tcPr>
            <w:tcW w:w="779" w:type="pct"/>
            <w:noWrap w:val="0"/>
            <w:vAlign w:val="center"/>
          </w:tcPr>
          <w:p w14:paraId="084D4A97">
            <w:pPr>
              <w:jc w:val="center"/>
              <w:textAlignment w:val="center"/>
              <w:rPr>
                <w:rFonts w:hint="default" w:cs="Times New Roman"/>
                <w:sz w:val="21"/>
                <w:szCs w:val="21"/>
                <w:lang w:val="en-US" w:eastAsia="zh-CN"/>
              </w:rPr>
            </w:pPr>
            <w:r>
              <w:rPr>
                <w:rFonts w:hint="eastAsia" w:cs="Times New Roman"/>
                <w:sz w:val="21"/>
                <w:szCs w:val="21"/>
                <w:lang w:val="en-US" w:eastAsia="zh-CN"/>
              </w:rPr>
              <w:t>常温</w:t>
            </w:r>
          </w:p>
        </w:tc>
        <w:tc>
          <w:tcPr>
            <w:tcW w:w="981" w:type="pct"/>
            <w:noWrap w:val="0"/>
            <w:vAlign w:val="center"/>
          </w:tcPr>
          <w:p w14:paraId="7C414232">
            <w:pPr>
              <w:jc w:val="center"/>
              <w:textAlignment w:val="center"/>
              <w:rPr>
                <w:rFonts w:hint="eastAsia" w:ascii="Times New Roman" w:hAnsi="Times New Roman" w:cs="Times New Roman"/>
                <w:sz w:val="21"/>
                <w:szCs w:val="21"/>
              </w:rPr>
            </w:pPr>
            <w:r>
              <w:rPr>
                <w:rFonts w:hint="eastAsia" w:cs="Times New Roman"/>
                <w:sz w:val="21"/>
                <w:szCs w:val="21"/>
                <w:lang w:val="en-US" w:eastAsia="zh-CN"/>
              </w:rPr>
              <w:t>E</w:t>
            </w:r>
            <w:r>
              <w:rPr>
                <w:rFonts w:hint="eastAsia" w:ascii="Times New Roman" w:hAnsi="Times New Roman" w:cs="Times New Roman"/>
                <w:sz w:val="21"/>
                <w:szCs w:val="21"/>
              </w:rPr>
              <w:t>116.973012</w:t>
            </w:r>
          </w:p>
          <w:p w14:paraId="35916996">
            <w:pPr>
              <w:jc w:val="center"/>
              <w:textAlignment w:val="center"/>
              <w:rPr>
                <w:rFonts w:ascii="Times New Roman" w:hAnsi="Times New Roman" w:cs="Times New Roman"/>
                <w:sz w:val="21"/>
                <w:szCs w:val="21"/>
              </w:rPr>
            </w:pPr>
            <w:r>
              <w:rPr>
                <w:rFonts w:hint="eastAsia" w:cs="Times New Roman"/>
                <w:sz w:val="21"/>
                <w:szCs w:val="21"/>
                <w:lang w:val="en-US" w:eastAsia="zh-CN"/>
              </w:rPr>
              <w:t>N</w:t>
            </w:r>
            <w:r>
              <w:rPr>
                <w:rFonts w:hint="eastAsia" w:ascii="Times New Roman" w:hAnsi="Times New Roman" w:cs="Times New Roman"/>
                <w:sz w:val="21"/>
                <w:szCs w:val="21"/>
              </w:rPr>
              <w:t>33.745101</w:t>
            </w:r>
          </w:p>
        </w:tc>
      </w:tr>
    </w:tbl>
    <w:p w14:paraId="494FB711">
      <w:pPr>
        <w:pStyle w:val="52"/>
        <w:spacing w:line="360" w:lineRule="auto"/>
        <w:rPr>
          <w:rFonts w:cs="Times New Roman"/>
        </w:rPr>
      </w:pPr>
    </w:p>
    <w:p w14:paraId="520A6600">
      <w:pPr>
        <w:pStyle w:val="17"/>
        <w:spacing w:line="240" w:lineRule="auto"/>
        <w:jc w:val="center"/>
        <w:rPr>
          <w:rFonts w:cs="Times New Roman"/>
        </w:rPr>
      </w:pPr>
      <w:r>
        <w:rPr>
          <w:rFonts w:ascii="Times New Roman" w:hAnsi="Times New Roman" w:cs="Times New Roman"/>
          <w:b/>
          <w:bCs/>
          <w:sz w:val="21"/>
        </w:rPr>
        <w:t>表4-</w:t>
      </w:r>
      <w:r>
        <w:rPr>
          <w:rFonts w:hint="eastAsia" w:cs="Times New Roman"/>
          <w:b/>
          <w:bCs/>
          <w:sz w:val="21"/>
          <w:lang w:val="en-US" w:eastAsia="zh-CN"/>
        </w:rPr>
        <w:t>5</w:t>
      </w:r>
      <w:r>
        <w:rPr>
          <w:rFonts w:ascii="Times New Roman" w:hAnsi="Times New Roman" w:cs="Times New Roman"/>
          <w:b/>
          <w:bCs/>
          <w:sz w:val="21"/>
        </w:rPr>
        <w:t xml:space="preserve">  </w:t>
      </w:r>
      <w:r>
        <w:rPr>
          <w:rFonts w:cs="Times New Roman"/>
          <w:b/>
          <w:bCs/>
        </w:rPr>
        <w:t>项目废气排放口基本情况、排放标准及自行监测计划情况表</w:t>
      </w:r>
    </w:p>
    <w:tbl>
      <w:tblPr>
        <w:tblStyle w:val="7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8"/>
        <w:gridCol w:w="755"/>
        <w:gridCol w:w="807"/>
        <w:gridCol w:w="746"/>
        <w:gridCol w:w="568"/>
        <w:gridCol w:w="1330"/>
        <w:gridCol w:w="1247"/>
        <w:gridCol w:w="471"/>
        <w:gridCol w:w="532"/>
        <w:gridCol w:w="614"/>
        <w:gridCol w:w="2164"/>
        <w:gridCol w:w="1015"/>
        <w:gridCol w:w="788"/>
        <w:gridCol w:w="1604"/>
        <w:gridCol w:w="1149"/>
      </w:tblGrid>
      <w:tr w14:paraId="4DA55A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51" w:type="pct"/>
            <w:vMerge w:val="restart"/>
            <w:vAlign w:val="center"/>
          </w:tcPr>
          <w:p w14:paraId="73F7EF41">
            <w:pPr>
              <w:jc w:val="center"/>
              <w:rPr>
                <w:rFonts w:ascii="Times New Roman" w:hAnsi="Times New Roman"/>
                <w:sz w:val="18"/>
                <w:szCs w:val="18"/>
              </w:rPr>
            </w:pPr>
            <w:bookmarkStart w:id="9" w:name="_Hlk80445671"/>
            <w:r>
              <w:rPr>
                <w:rFonts w:ascii="Times New Roman" w:hAnsi="Times New Roman"/>
                <w:sz w:val="18"/>
                <w:szCs w:val="18"/>
              </w:rPr>
              <w:t>序号</w:t>
            </w:r>
          </w:p>
        </w:tc>
        <w:tc>
          <w:tcPr>
            <w:tcW w:w="266" w:type="pct"/>
            <w:vMerge w:val="restart"/>
            <w:vAlign w:val="center"/>
          </w:tcPr>
          <w:p w14:paraId="09A287FA">
            <w:pPr>
              <w:jc w:val="center"/>
              <w:rPr>
                <w:rFonts w:ascii="Times New Roman" w:hAnsi="Times New Roman"/>
                <w:sz w:val="18"/>
                <w:szCs w:val="18"/>
              </w:rPr>
            </w:pPr>
            <w:r>
              <w:rPr>
                <w:rFonts w:ascii="Times New Roman" w:hAnsi="Times New Roman"/>
                <w:sz w:val="18"/>
                <w:szCs w:val="18"/>
              </w:rPr>
              <w:t>排放口名称</w:t>
            </w:r>
          </w:p>
        </w:tc>
        <w:tc>
          <w:tcPr>
            <w:tcW w:w="284" w:type="pct"/>
            <w:vMerge w:val="restart"/>
            <w:vAlign w:val="center"/>
          </w:tcPr>
          <w:p w14:paraId="3B4742EF">
            <w:pPr>
              <w:jc w:val="center"/>
              <w:rPr>
                <w:rFonts w:ascii="Times New Roman" w:hAnsi="Times New Roman"/>
                <w:sz w:val="18"/>
                <w:szCs w:val="18"/>
              </w:rPr>
            </w:pPr>
            <w:r>
              <w:rPr>
                <w:rFonts w:ascii="Times New Roman" w:hAnsi="Times New Roman"/>
                <w:sz w:val="18"/>
                <w:szCs w:val="18"/>
              </w:rPr>
              <w:t>污染物种类</w:t>
            </w:r>
          </w:p>
        </w:tc>
        <w:tc>
          <w:tcPr>
            <w:tcW w:w="260" w:type="pct"/>
            <w:vMerge w:val="restart"/>
            <w:vAlign w:val="center"/>
          </w:tcPr>
          <w:p w14:paraId="37DF9EBF">
            <w:pPr>
              <w:jc w:val="center"/>
              <w:rPr>
                <w:rFonts w:ascii="Times New Roman" w:hAnsi="Times New Roman"/>
                <w:sz w:val="18"/>
                <w:szCs w:val="18"/>
              </w:rPr>
            </w:pPr>
            <w:r>
              <w:rPr>
                <w:rFonts w:ascii="Times New Roman" w:hAnsi="Times New Roman"/>
                <w:sz w:val="18"/>
                <w:szCs w:val="18"/>
              </w:rPr>
              <w:t>排放口编号</w:t>
            </w:r>
          </w:p>
        </w:tc>
        <w:tc>
          <w:tcPr>
            <w:tcW w:w="200" w:type="pct"/>
            <w:vMerge w:val="restart"/>
            <w:vAlign w:val="center"/>
          </w:tcPr>
          <w:p w14:paraId="18D9C9A6">
            <w:pPr>
              <w:jc w:val="center"/>
              <w:rPr>
                <w:rFonts w:ascii="Times New Roman" w:hAnsi="Times New Roman"/>
                <w:sz w:val="18"/>
                <w:szCs w:val="18"/>
              </w:rPr>
            </w:pPr>
            <w:r>
              <w:rPr>
                <w:rFonts w:ascii="Times New Roman" w:hAnsi="Times New Roman"/>
                <w:sz w:val="18"/>
                <w:szCs w:val="18"/>
              </w:rPr>
              <w:t>排放口类型</w:t>
            </w:r>
          </w:p>
        </w:tc>
        <w:tc>
          <w:tcPr>
            <w:tcW w:w="907" w:type="pct"/>
            <w:gridSpan w:val="2"/>
            <w:vAlign w:val="center"/>
          </w:tcPr>
          <w:p w14:paraId="7619AAFC">
            <w:pPr>
              <w:jc w:val="center"/>
              <w:rPr>
                <w:rFonts w:ascii="Times New Roman" w:hAnsi="Times New Roman"/>
                <w:sz w:val="18"/>
                <w:szCs w:val="18"/>
              </w:rPr>
            </w:pPr>
            <w:r>
              <w:rPr>
                <w:rFonts w:ascii="Times New Roman" w:hAnsi="Times New Roman"/>
                <w:sz w:val="18"/>
                <w:szCs w:val="18"/>
              </w:rPr>
              <w:t>排放口地理坐标</w:t>
            </w:r>
          </w:p>
        </w:tc>
        <w:tc>
          <w:tcPr>
            <w:tcW w:w="569" w:type="pct"/>
            <w:gridSpan w:val="3"/>
            <w:vAlign w:val="center"/>
          </w:tcPr>
          <w:p w14:paraId="51C182E7">
            <w:pPr>
              <w:jc w:val="center"/>
              <w:rPr>
                <w:rFonts w:ascii="Times New Roman" w:hAnsi="Times New Roman"/>
                <w:sz w:val="18"/>
                <w:szCs w:val="18"/>
              </w:rPr>
            </w:pPr>
            <w:r>
              <w:rPr>
                <w:rFonts w:ascii="Times New Roman" w:hAnsi="Times New Roman"/>
                <w:sz w:val="18"/>
                <w:szCs w:val="18"/>
              </w:rPr>
              <w:t>排放口参数</w:t>
            </w:r>
          </w:p>
        </w:tc>
        <w:tc>
          <w:tcPr>
            <w:tcW w:w="1118" w:type="pct"/>
            <w:gridSpan w:val="2"/>
            <w:vAlign w:val="center"/>
          </w:tcPr>
          <w:p w14:paraId="07C7AD6A">
            <w:pPr>
              <w:jc w:val="center"/>
              <w:rPr>
                <w:rFonts w:ascii="Times New Roman" w:hAnsi="Times New Roman"/>
                <w:sz w:val="18"/>
                <w:szCs w:val="18"/>
              </w:rPr>
            </w:pPr>
            <w:r>
              <w:rPr>
                <w:rFonts w:ascii="Times New Roman" w:hAnsi="Times New Roman"/>
                <w:sz w:val="18"/>
                <w:szCs w:val="18"/>
              </w:rPr>
              <w:t>排放标准</w:t>
            </w:r>
          </w:p>
        </w:tc>
        <w:tc>
          <w:tcPr>
            <w:tcW w:w="1246" w:type="pct"/>
            <w:gridSpan w:val="3"/>
            <w:vAlign w:val="center"/>
          </w:tcPr>
          <w:p w14:paraId="125478A7">
            <w:pPr>
              <w:jc w:val="center"/>
              <w:rPr>
                <w:rFonts w:ascii="Times New Roman" w:hAnsi="Times New Roman"/>
                <w:sz w:val="18"/>
                <w:szCs w:val="18"/>
              </w:rPr>
            </w:pPr>
            <w:r>
              <w:rPr>
                <w:rFonts w:ascii="Times New Roman" w:hAnsi="Times New Roman"/>
                <w:sz w:val="18"/>
                <w:szCs w:val="18"/>
              </w:rPr>
              <w:t>自行监测要求</w:t>
            </w:r>
          </w:p>
        </w:tc>
      </w:tr>
      <w:tr w14:paraId="58E8A4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51" w:type="pct"/>
            <w:vMerge w:val="continue"/>
            <w:vAlign w:val="center"/>
          </w:tcPr>
          <w:p w14:paraId="5B8F18A1">
            <w:pPr>
              <w:jc w:val="center"/>
              <w:rPr>
                <w:rFonts w:ascii="Times New Roman" w:hAnsi="Times New Roman"/>
                <w:sz w:val="18"/>
                <w:szCs w:val="18"/>
              </w:rPr>
            </w:pPr>
          </w:p>
        </w:tc>
        <w:tc>
          <w:tcPr>
            <w:tcW w:w="266" w:type="pct"/>
            <w:vMerge w:val="continue"/>
            <w:vAlign w:val="center"/>
          </w:tcPr>
          <w:p w14:paraId="1BB0B0AE">
            <w:pPr>
              <w:jc w:val="center"/>
              <w:rPr>
                <w:rFonts w:ascii="Times New Roman" w:hAnsi="Times New Roman"/>
                <w:sz w:val="18"/>
                <w:szCs w:val="18"/>
              </w:rPr>
            </w:pPr>
          </w:p>
        </w:tc>
        <w:tc>
          <w:tcPr>
            <w:tcW w:w="284" w:type="pct"/>
            <w:vMerge w:val="continue"/>
            <w:vAlign w:val="center"/>
          </w:tcPr>
          <w:p w14:paraId="6476D508">
            <w:pPr>
              <w:jc w:val="center"/>
              <w:rPr>
                <w:rFonts w:ascii="Times New Roman" w:hAnsi="Times New Roman"/>
                <w:sz w:val="18"/>
                <w:szCs w:val="18"/>
              </w:rPr>
            </w:pPr>
          </w:p>
        </w:tc>
        <w:tc>
          <w:tcPr>
            <w:tcW w:w="260" w:type="pct"/>
            <w:vMerge w:val="continue"/>
            <w:vAlign w:val="center"/>
          </w:tcPr>
          <w:p w14:paraId="3DD77B3C">
            <w:pPr>
              <w:jc w:val="center"/>
              <w:rPr>
                <w:rFonts w:ascii="Times New Roman" w:hAnsi="Times New Roman"/>
                <w:sz w:val="18"/>
                <w:szCs w:val="18"/>
              </w:rPr>
            </w:pPr>
          </w:p>
        </w:tc>
        <w:tc>
          <w:tcPr>
            <w:tcW w:w="200" w:type="pct"/>
            <w:vMerge w:val="continue"/>
            <w:vAlign w:val="center"/>
          </w:tcPr>
          <w:p w14:paraId="0E9F72C9">
            <w:pPr>
              <w:jc w:val="center"/>
              <w:rPr>
                <w:rFonts w:ascii="Times New Roman" w:hAnsi="Times New Roman"/>
                <w:sz w:val="18"/>
                <w:szCs w:val="18"/>
              </w:rPr>
            </w:pPr>
          </w:p>
        </w:tc>
        <w:tc>
          <w:tcPr>
            <w:tcW w:w="468" w:type="pct"/>
            <w:vAlign w:val="center"/>
          </w:tcPr>
          <w:p w14:paraId="16032F29">
            <w:pPr>
              <w:jc w:val="center"/>
              <w:rPr>
                <w:rFonts w:ascii="Times New Roman" w:hAnsi="Times New Roman"/>
                <w:sz w:val="18"/>
                <w:szCs w:val="18"/>
              </w:rPr>
            </w:pPr>
            <w:r>
              <w:rPr>
                <w:rFonts w:ascii="Times New Roman" w:hAnsi="Times New Roman"/>
                <w:sz w:val="18"/>
                <w:szCs w:val="18"/>
              </w:rPr>
              <w:t>经度</w:t>
            </w:r>
          </w:p>
        </w:tc>
        <w:tc>
          <w:tcPr>
            <w:tcW w:w="439" w:type="pct"/>
            <w:vAlign w:val="center"/>
          </w:tcPr>
          <w:p w14:paraId="1334FCD5">
            <w:pPr>
              <w:jc w:val="center"/>
              <w:rPr>
                <w:rFonts w:ascii="Times New Roman" w:hAnsi="Times New Roman"/>
                <w:sz w:val="18"/>
                <w:szCs w:val="18"/>
              </w:rPr>
            </w:pPr>
            <w:r>
              <w:rPr>
                <w:rFonts w:ascii="Times New Roman" w:hAnsi="Times New Roman"/>
                <w:sz w:val="18"/>
                <w:szCs w:val="18"/>
              </w:rPr>
              <w:t>纬度</w:t>
            </w:r>
          </w:p>
        </w:tc>
        <w:tc>
          <w:tcPr>
            <w:tcW w:w="166" w:type="pct"/>
            <w:vAlign w:val="center"/>
          </w:tcPr>
          <w:p w14:paraId="72D42F0C">
            <w:pPr>
              <w:jc w:val="center"/>
              <w:rPr>
                <w:rFonts w:ascii="Times New Roman" w:hAnsi="Times New Roman"/>
                <w:sz w:val="18"/>
                <w:szCs w:val="18"/>
              </w:rPr>
            </w:pPr>
            <w:r>
              <w:rPr>
                <w:rFonts w:ascii="Times New Roman" w:hAnsi="Times New Roman"/>
                <w:sz w:val="18"/>
                <w:szCs w:val="18"/>
              </w:rPr>
              <w:t>高度m</w:t>
            </w:r>
          </w:p>
        </w:tc>
        <w:tc>
          <w:tcPr>
            <w:tcW w:w="187" w:type="pct"/>
            <w:vAlign w:val="center"/>
          </w:tcPr>
          <w:p w14:paraId="511DDDFD">
            <w:pPr>
              <w:jc w:val="center"/>
              <w:rPr>
                <w:rFonts w:ascii="Times New Roman" w:hAnsi="Times New Roman"/>
                <w:sz w:val="18"/>
                <w:szCs w:val="18"/>
              </w:rPr>
            </w:pPr>
            <w:r>
              <w:rPr>
                <w:rFonts w:ascii="Times New Roman" w:hAnsi="Times New Roman"/>
                <w:sz w:val="18"/>
                <w:szCs w:val="18"/>
              </w:rPr>
              <w:t>内径</w:t>
            </w:r>
          </w:p>
          <w:p w14:paraId="01DA0BDB">
            <w:pPr>
              <w:jc w:val="center"/>
              <w:rPr>
                <w:rFonts w:ascii="Times New Roman" w:hAnsi="Times New Roman"/>
                <w:sz w:val="18"/>
                <w:szCs w:val="18"/>
              </w:rPr>
            </w:pPr>
            <w:r>
              <w:rPr>
                <w:rFonts w:ascii="Times New Roman" w:hAnsi="Times New Roman"/>
                <w:sz w:val="18"/>
                <w:szCs w:val="18"/>
              </w:rPr>
              <w:t>m</w:t>
            </w:r>
          </w:p>
        </w:tc>
        <w:tc>
          <w:tcPr>
            <w:tcW w:w="216" w:type="pct"/>
            <w:vAlign w:val="center"/>
          </w:tcPr>
          <w:p w14:paraId="250574FA">
            <w:pPr>
              <w:jc w:val="center"/>
              <w:rPr>
                <w:rFonts w:ascii="Times New Roman" w:hAnsi="Times New Roman"/>
                <w:sz w:val="18"/>
                <w:szCs w:val="18"/>
              </w:rPr>
            </w:pPr>
            <w:r>
              <w:rPr>
                <w:rFonts w:ascii="Times New Roman" w:hAnsi="Times New Roman"/>
                <w:sz w:val="18"/>
                <w:szCs w:val="18"/>
              </w:rPr>
              <w:t>温度℃</w:t>
            </w:r>
          </w:p>
        </w:tc>
        <w:tc>
          <w:tcPr>
            <w:tcW w:w="761" w:type="pct"/>
            <w:vAlign w:val="center"/>
          </w:tcPr>
          <w:p w14:paraId="5D6558F0">
            <w:pPr>
              <w:jc w:val="center"/>
              <w:rPr>
                <w:rFonts w:ascii="Times New Roman" w:hAnsi="Times New Roman"/>
                <w:sz w:val="18"/>
                <w:szCs w:val="18"/>
              </w:rPr>
            </w:pPr>
            <w:r>
              <w:rPr>
                <w:rFonts w:ascii="Times New Roman" w:hAnsi="Times New Roman"/>
                <w:sz w:val="18"/>
                <w:szCs w:val="18"/>
              </w:rPr>
              <w:t>标准名称</w:t>
            </w:r>
          </w:p>
        </w:tc>
        <w:tc>
          <w:tcPr>
            <w:tcW w:w="356" w:type="pct"/>
            <w:vAlign w:val="center"/>
          </w:tcPr>
          <w:p w14:paraId="1411CFEC">
            <w:pPr>
              <w:jc w:val="center"/>
              <w:rPr>
                <w:rFonts w:ascii="Times New Roman" w:hAnsi="Times New Roman"/>
                <w:sz w:val="18"/>
                <w:szCs w:val="18"/>
              </w:rPr>
            </w:pPr>
            <w:r>
              <w:rPr>
                <w:rFonts w:ascii="Times New Roman" w:hAnsi="Times New Roman"/>
                <w:sz w:val="18"/>
                <w:szCs w:val="18"/>
              </w:rPr>
              <w:t>标准限值</w:t>
            </w:r>
          </w:p>
        </w:tc>
        <w:tc>
          <w:tcPr>
            <w:tcW w:w="277" w:type="pct"/>
            <w:vAlign w:val="center"/>
          </w:tcPr>
          <w:p w14:paraId="0A625752">
            <w:pPr>
              <w:jc w:val="center"/>
              <w:rPr>
                <w:rFonts w:ascii="Times New Roman" w:hAnsi="Times New Roman"/>
                <w:sz w:val="18"/>
                <w:szCs w:val="18"/>
              </w:rPr>
            </w:pPr>
            <w:r>
              <w:rPr>
                <w:rFonts w:ascii="Times New Roman" w:hAnsi="Times New Roman"/>
                <w:sz w:val="18"/>
                <w:szCs w:val="18"/>
              </w:rPr>
              <w:t>监测点位</w:t>
            </w:r>
          </w:p>
        </w:tc>
        <w:tc>
          <w:tcPr>
            <w:tcW w:w="564" w:type="pct"/>
            <w:vAlign w:val="center"/>
          </w:tcPr>
          <w:p w14:paraId="79BC9C4F">
            <w:pPr>
              <w:jc w:val="center"/>
              <w:rPr>
                <w:rFonts w:ascii="Times New Roman" w:hAnsi="Times New Roman"/>
                <w:sz w:val="18"/>
                <w:szCs w:val="18"/>
              </w:rPr>
            </w:pPr>
            <w:r>
              <w:rPr>
                <w:rFonts w:ascii="Times New Roman" w:hAnsi="Times New Roman"/>
                <w:sz w:val="18"/>
                <w:szCs w:val="18"/>
              </w:rPr>
              <w:t>监测因子</w:t>
            </w:r>
          </w:p>
        </w:tc>
        <w:tc>
          <w:tcPr>
            <w:tcW w:w="404" w:type="pct"/>
            <w:vAlign w:val="center"/>
          </w:tcPr>
          <w:p w14:paraId="53C57364">
            <w:pPr>
              <w:jc w:val="center"/>
              <w:rPr>
                <w:rFonts w:ascii="Times New Roman" w:hAnsi="Times New Roman"/>
                <w:sz w:val="18"/>
                <w:szCs w:val="18"/>
              </w:rPr>
            </w:pPr>
            <w:r>
              <w:rPr>
                <w:rFonts w:ascii="Times New Roman" w:hAnsi="Times New Roman"/>
                <w:sz w:val="18"/>
                <w:szCs w:val="18"/>
              </w:rPr>
              <w:t>监测频次</w:t>
            </w:r>
          </w:p>
        </w:tc>
      </w:tr>
      <w:tr w14:paraId="760525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74" w:hRule="atLeast"/>
          <w:jc w:val="center"/>
        </w:trPr>
        <w:tc>
          <w:tcPr>
            <w:tcW w:w="151" w:type="pct"/>
            <w:vAlign w:val="center"/>
          </w:tcPr>
          <w:p w14:paraId="6FF63FE0">
            <w:pPr>
              <w:jc w:val="center"/>
              <w:rPr>
                <w:rFonts w:ascii="Times New Roman" w:hAnsi="Times New Roman"/>
                <w:sz w:val="18"/>
                <w:szCs w:val="18"/>
              </w:rPr>
            </w:pPr>
            <w:r>
              <w:rPr>
                <w:rFonts w:ascii="Times New Roman" w:hAnsi="Times New Roman"/>
                <w:sz w:val="18"/>
                <w:szCs w:val="18"/>
              </w:rPr>
              <w:t>1</w:t>
            </w:r>
          </w:p>
        </w:tc>
        <w:tc>
          <w:tcPr>
            <w:tcW w:w="266" w:type="pct"/>
            <w:vAlign w:val="center"/>
          </w:tcPr>
          <w:p w14:paraId="54FD6823">
            <w:pPr>
              <w:jc w:val="center"/>
              <w:rPr>
                <w:rFonts w:ascii="Times New Roman" w:hAnsi="Times New Roman"/>
                <w:sz w:val="18"/>
                <w:szCs w:val="18"/>
              </w:rPr>
            </w:pPr>
            <w:r>
              <w:rPr>
                <w:rFonts w:ascii="Times New Roman" w:hAnsi="Times New Roman"/>
                <w:sz w:val="18"/>
                <w:szCs w:val="18"/>
              </w:rPr>
              <w:t>注塑废气排放口</w:t>
            </w:r>
          </w:p>
        </w:tc>
        <w:tc>
          <w:tcPr>
            <w:tcW w:w="284" w:type="pct"/>
            <w:vAlign w:val="center"/>
          </w:tcPr>
          <w:p w14:paraId="1890F8FC">
            <w:pPr>
              <w:jc w:val="center"/>
              <w:rPr>
                <w:rFonts w:ascii="Times New Roman" w:hAnsi="Times New Roman"/>
                <w:kern w:val="0"/>
                <w:sz w:val="18"/>
                <w:szCs w:val="18"/>
              </w:rPr>
            </w:pPr>
            <w:r>
              <w:rPr>
                <w:rFonts w:ascii="Times New Roman" w:hAnsi="Times New Roman"/>
                <w:kern w:val="0"/>
                <w:sz w:val="18"/>
                <w:szCs w:val="18"/>
              </w:rPr>
              <w:t>非甲烷总烃</w:t>
            </w:r>
          </w:p>
        </w:tc>
        <w:tc>
          <w:tcPr>
            <w:tcW w:w="260" w:type="pct"/>
            <w:vAlign w:val="center"/>
          </w:tcPr>
          <w:p w14:paraId="0CAC8F1A">
            <w:pPr>
              <w:jc w:val="center"/>
              <w:rPr>
                <w:rFonts w:ascii="Times New Roman" w:hAnsi="Times New Roman"/>
                <w:sz w:val="18"/>
                <w:szCs w:val="18"/>
              </w:rPr>
            </w:pPr>
            <w:r>
              <w:rPr>
                <w:rFonts w:ascii="Times New Roman" w:hAnsi="Times New Roman"/>
                <w:sz w:val="18"/>
                <w:szCs w:val="18"/>
              </w:rPr>
              <w:t>DA001</w:t>
            </w:r>
          </w:p>
        </w:tc>
        <w:tc>
          <w:tcPr>
            <w:tcW w:w="200" w:type="pct"/>
            <w:vAlign w:val="center"/>
          </w:tcPr>
          <w:p w14:paraId="52FA8AB9">
            <w:pPr>
              <w:jc w:val="center"/>
              <w:rPr>
                <w:rFonts w:ascii="Times New Roman" w:hAnsi="Times New Roman"/>
                <w:sz w:val="18"/>
                <w:szCs w:val="18"/>
              </w:rPr>
            </w:pPr>
            <w:r>
              <w:rPr>
                <w:rFonts w:ascii="Times New Roman" w:hAnsi="Times New Roman"/>
                <w:sz w:val="18"/>
                <w:szCs w:val="18"/>
              </w:rPr>
              <w:t>一般排放口</w:t>
            </w:r>
          </w:p>
        </w:tc>
        <w:tc>
          <w:tcPr>
            <w:tcW w:w="468" w:type="pct"/>
            <w:vAlign w:val="center"/>
          </w:tcPr>
          <w:p w14:paraId="70A8B079">
            <w:pPr>
              <w:jc w:val="center"/>
              <w:rPr>
                <w:rFonts w:ascii="Times New Roman" w:hAnsi="Times New Roman"/>
                <w:sz w:val="18"/>
                <w:szCs w:val="18"/>
                <w:highlight w:val="yellow"/>
              </w:rPr>
            </w:pPr>
            <w:r>
              <w:rPr>
                <w:rFonts w:hint="eastAsia" w:ascii="Times New Roman" w:hAnsi="Times New Roman"/>
                <w:sz w:val="18"/>
                <w:szCs w:val="18"/>
              </w:rPr>
              <w:t>116.973573</w:t>
            </w:r>
          </w:p>
        </w:tc>
        <w:tc>
          <w:tcPr>
            <w:tcW w:w="439" w:type="pct"/>
            <w:vAlign w:val="center"/>
          </w:tcPr>
          <w:p w14:paraId="128706EC">
            <w:pPr>
              <w:jc w:val="center"/>
              <w:rPr>
                <w:rFonts w:ascii="Times New Roman" w:hAnsi="Times New Roman"/>
                <w:sz w:val="18"/>
                <w:szCs w:val="18"/>
                <w:highlight w:val="yellow"/>
              </w:rPr>
            </w:pPr>
            <w:r>
              <w:rPr>
                <w:rFonts w:hint="eastAsia" w:ascii="Times New Roman" w:hAnsi="Times New Roman"/>
                <w:sz w:val="18"/>
                <w:szCs w:val="18"/>
              </w:rPr>
              <w:t>33.744573</w:t>
            </w:r>
          </w:p>
        </w:tc>
        <w:tc>
          <w:tcPr>
            <w:tcW w:w="166" w:type="pct"/>
            <w:vAlign w:val="center"/>
          </w:tcPr>
          <w:p w14:paraId="6121540A">
            <w:pPr>
              <w:jc w:val="center"/>
              <w:rPr>
                <w:rFonts w:ascii="Times New Roman" w:hAnsi="Times New Roman"/>
                <w:sz w:val="18"/>
                <w:szCs w:val="18"/>
              </w:rPr>
            </w:pPr>
            <w:r>
              <w:rPr>
                <w:rFonts w:hint="eastAsia"/>
                <w:sz w:val="18"/>
                <w:szCs w:val="18"/>
                <w:lang w:val="en-US" w:eastAsia="zh-CN"/>
              </w:rPr>
              <w:t>1</w:t>
            </w:r>
            <w:r>
              <w:rPr>
                <w:rFonts w:ascii="Times New Roman" w:hAnsi="Times New Roman"/>
                <w:sz w:val="18"/>
                <w:szCs w:val="18"/>
              </w:rPr>
              <w:t>5</w:t>
            </w:r>
          </w:p>
        </w:tc>
        <w:tc>
          <w:tcPr>
            <w:tcW w:w="187" w:type="pct"/>
            <w:vAlign w:val="center"/>
          </w:tcPr>
          <w:p w14:paraId="56A1E856">
            <w:pPr>
              <w:jc w:val="center"/>
              <w:rPr>
                <w:rFonts w:hint="eastAsia" w:ascii="Times New Roman" w:hAnsi="Times New Roman" w:eastAsia="宋体"/>
                <w:sz w:val="18"/>
                <w:szCs w:val="18"/>
                <w:lang w:eastAsia="zh-CN"/>
              </w:rPr>
            </w:pPr>
            <w:r>
              <w:rPr>
                <w:rFonts w:ascii="Times New Roman" w:hAnsi="Times New Roman"/>
                <w:sz w:val="18"/>
                <w:szCs w:val="18"/>
              </w:rPr>
              <w:t>0</w:t>
            </w:r>
            <w:r>
              <w:rPr>
                <w:rFonts w:hint="eastAsia"/>
                <w:sz w:val="18"/>
                <w:szCs w:val="18"/>
                <w:lang w:val="en-US" w:eastAsia="zh-CN"/>
              </w:rPr>
              <w:t>.4</w:t>
            </w:r>
          </w:p>
        </w:tc>
        <w:tc>
          <w:tcPr>
            <w:tcW w:w="216" w:type="pct"/>
            <w:vAlign w:val="center"/>
          </w:tcPr>
          <w:p w14:paraId="1C5B09E1">
            <w:pPr>
              <w:jc w:val="center"/>
              <w:rPr>
                <w:rFonts w:ascii="Times New Roman" w:hAnsi="Times New Roman"/>
                <w:sz w:val="18"/>
                <w:szCs w:val="18"/>
              </w:rPr>
            </w:pPr>
            <w:r>
              <w:rPr>
                <w:rFonts w:ascii="Times New Roman" w:hAnsi="Times New Roman"/>
                <w:sz w:val="18"/>
                <w:szCs w:val="18"/>
              </w:rPr>
              <w:t>常温</w:t>
            </w:r>
          </w:p>
        </w:tc>
        <w:tc>
          <w:tcPr>
            <w:tcW w:w="761" w:type="pct"/>
            <w:vAlign w:val="center"/>
          </w:tcPr>
          <w:p w14:paraId="6B96C006">
            <w:pPr>
              <w:jc w:val="center"/>
              <w:rPr>
                <w:rFonts w:ascii="Times New Roman" w:hAnsi="Times New Roman"/>
                <w:sz w:val="18"/>
                <w:szCs w:val="18"/>
              </w:rPr>
            </w:pPr>
            <w:r>
              <w:rPr>
                <w:rFonts w:hint="eastAsia" w:ascii="Times New Roman" w:hAnsi="Times New Roman"/>
                <w:sz w:val="18"/>
                <w:szCs w:val="18"/>
              </w:rPr>
              <w:t>安徽省《固定源挥发性有机物综合排放标准 第6部分 其他行业》（DB34/4812.6-2024</w:t>
            </w:r>
            <w:r>
              <w:rPr>
                <w:rFonts w:ascii="Times New Roman" w:hAnsi="Times New Roman"/>
                <w:sz w:val="18"/>
                <w:szCs w:val="18"/>
              </w:rPr>
              <w:t>）</w:t>
            </w:r>
          </w:p>
        </w:tc>
        <w:tc>
          <w:tcPr>
            <w:tcW w:w="356" w:type="pct"/>
            <w:vAlign w:val="center"/>
          </w:tcPr>
          <w:p w14:paraId="7F4FCA0F">
            <w:pPr>
              <w:jc w:val="center"/>
              <w:rPr>
                <w:rFonts w:ascii="Times New Roman" w:hAnsi="Times New Roman"/>
                <w:szCs w:val="18"/>
              </w:rPr>
            </w:pPr>
            <w:r>
              <w:rPr>
                <w:rFonts w:hint="eastAsia"/>
                <w:sz w:val="18"/>
                <w:szCs w:val="18"/>
                <w:lang w:val="en-US" w:eastAsia="zh-CN"/>
              </w:rPr>
              <w:t>4</w:t>
            </w:r>
            <w:r>
              <w:rPr>
                <w:rFonts w:ascii="Times New Roman" w:hAnsi="Times New Roman"/>
                <w:sz w:val="18"/>
                <w:szCs w:val="18"/>
              </w:rPr>
              <w:t>0mg/m</w:t>
            </w:r>
            <w:r>
              <w:rPr>
                <w:rFonts w:ascii="Times New Roman" w:hAnsi="Times New Roman"/>
                <w:sz w:val="18"/>
                <w:szCs w:val="18"/>
                <w:vertAlign w:val="superscript"/>
              </w:rPr>
              <w:t>3</w:t>
            </w:r>
          </w:p>
        </w:tc>
        <w:tc>
          <w:tcPr>
            <w:tcW w:w="277" w:type="pct"/>
            <w:vAlign w:val="center"/>
          </w:tcPr>
          <w:p w14:paraId="33079F54">
            <w:pPr>
              <w:jc w:val="center"/>
              <w:rPr>
                <w:rFonts w:ascii="Times New Roman" w:hAnsi="Times New Roman"/>
                <w:sz w:val="18"/>
                <w:szCs w:val="18"/>
              </w:rPr>
            </w:pPr>
            <w:r>
              <w:rPr>
                <w:rFonts w:ascii="Times New Roman" w:hAnsi="Times New Roman"/>
                <w:sz w:val="18"/>
                <w:szCs w:val="18"/>
              </w:rPr>
              <w:t>DA001</w:t>
            </w:r>
          </w:p>
        </w:tc>
        <w:tc>
          <w:tcPr>
            <w:tcW w:w="564" w:type="pct"/>
            <w:vAlign w:val="center"/>
          </w:tcPr>
          <w:p w14:paraId="46783959">
            <w:pPr>
              <w:jc w:val="center"/>
              <w:rPr>
                <w:rFonts w:ascii="Times New Roman" w:hAnsi="Times New Roman"/>
                <w:sz w:val="18"/>
                <w:szCs w:val="18"/>
              </w:rPr>
            </w:pPr>
            <w:r>
              <w:rPr>
                <w:rFonts w:ascii="Times New Roman" w:hAnsi="Times New Roman"/>
                <w:sz w:val="18"/>
                <w:szCs w:val="18"/>
              </w:rPr>
              <w:t>非甲烷总烃排放浓度、排放速率等</w:t>
            </w:r>
          </w:p>
        </w:tc>
        <w:tc>
          <w:tcPr>
            <w:tcW w:w="404" w:type="pct"/>
            <w:vAlign w:val="center"/>
          </w:tcPr>
          <w:p w14:paraId="0D3CF163">
            <w:pPr>
              <w:jc w:val="center"/>
              <w:rPr>
                <w:rFonts w:ascii="Times New Roman" w:hAnsi="Times New Roman"/>
                <w:sz w:val="18"/>
                <w:szCs w:val="18"/>
              </w:rPr>
            </w:pPr>
            <w:r>
              <w:rPr>
                <w:rFonts w:ascii="Times New Roman" w:hAnsi="Times New Roman"/>
                <w:sz w:val="18"/>
                <w:szCs w:val="18"/>
              </w:rPr>
              <w:t>1次/年，非连续采样 至少3个样</w:t>
            </w:r>
          </w:p>
        </w:tc>
      </w:tr>
      <w:tr w14:paraId="5536C3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74" w:hRule="atLeast"/>
          <w:jc w:val="center"/>
        </w:trPr>
        <w:tc>
          <w:tcPr>
            <w:tcW w:w="151" w:type="pct"/>
            <w:vAlign w:val="center"/>
          </w:tcPr>
          <w:p w14:paraId="661D41C7">
            <w:pPr>
              <w:jc w:val="center"/>
              <w:rPr>
                <w:rFonts w:hint="eastAsia" w:ascii="Times New Roman" w:hAnsi="Times New Roman" w:eastAsia="宋体"/>
                <w:sz w:val="18"/>
                <w:szCs w:val="18"/>
                <w:lang w:val="en-US" w:eastAsia="zh-CN"/>
              </w:rPr>
            </w:pPr>
            <w:r>
              <w:rPr>
                <w:rFonts w:hint="eastAsia"/>
                <w:sz w:val="18"/>
                <w:szCs w:val="18"/>
                <w:lang w:val="en-US" w:eastAsia="zh-CN"/>
              </w:rPr>
              <w:t>2</w:t>
            </w:r>
          </w:p>
        </w:tc>
        <w:tc>
          <w:tcPr>
            <w:tcW w:w="266" w:type="pct"/>
            <w:vAlign w:val="center"/>
          </w:tcPr>
          <w:p w14:paraId="7202DF47">
            <w:pPr>
              <w:jc w:val="center"/>
              <w:rPr>
                <w:rFonts w:hint="default" w:ascii="Times New Roman" w:hAnsi="Times New Roman" w:eastAsia="宋体"/>
                <w:sz w:val="18"/>
                <w:szCs w:val="18"/>
                <w:lang w:val="en-US" w:eastAsia="zh-CN"/>
              </w:rPr>
            </w:pPr>
            <w:r>
              <w:rPr>
                <w:rFonts w:hint="eastAsia"/>
                <w:sz w:val="18"/>
                <w:szCs w:val="18"/>
                <w:lang w:val="en-US" w:eastAsia="zh-CN"/>
              </w:rPr>
              <w:t>破碎废气排气口</w:t>
            </w:r>
          </w:p>
        </w:tc>
        <w:tc>
          <w:tcPr>
            <w:tcW w:w="284" w:type="pct"/>
            <w:vAlign w:val="center"/>
          </w:tcPr>
          <w:p w14:paraId="0758E688">
            <w:pPr>
              <w:jc w:val="center"/>
              <w:rPr>
                <w:rFonts w:hint="eastAsia" w:ascii="Times New Roman" w:hAnsi="Times New Roman" w:eastAsia="宋体"/>
                <w:kern w:val="0"/>
                <w:sz w:val="18"/>
                <w:szCs w:val="18"/>
                <w:lang w:val="en-US" w:eastAsia="zh-CN"/>
              </w:rPr>
            </w:pPr>
            <w:r>
              <w:rPr>
                <w:rFonts w:hint="eastAsia"/>
                <w:kern w:val="0"/>
                <w:sz w:val="18"/>
                <w:szCs w:val="18"/>
                <w:lang w:val="en-US" w:eastAsia="zh-CN"/>
              </w:rPr>
              <w:t>颗粒物</w:t>
            </w:r>
          </w:p>
        </w:tc>
        <w:tc>
          <w:tcPr>
            <w:tcW w:w="260" w:type="pct"/>
            <w:vAlign w:val="center"/>
          </w:tcPr>
          <w:p w14:paraId="1EE6A0A0">
            <w:pPr>
              <w:jc w:val="center"/>
              <w:rPr>
                <w:rFonts w:hint="default" w:ascii="Times New Roman" w:hAnsi="Times New Roman" w:eastAsia="宋体"/>
                <w:sz w:val="18"/>
                <w:szCs w:val="18"/>
                <w:lang w:val="en-US" w:eastAsia="zh-CN"/>
              </w:rPr>
            </w:pPr>
            <w:r>
              <w:rPr>
                <w:rFonts w:hint="eastAsia"/>
                <w:sz w:val="18"/>
                <w:szCs w:val="18"/>
                <w:lang w:val="en-US" w:eastAsia="zh-CN"/>
              </w:rPr>
              <w:t>DA002</w:t>
            </w:r>
          </w:p>
        </w:tc>
        <w:tc>
          <w:tcPr>
            <w:tcW w:w="200" w:type="pct"/>
            <w:vAlign w:val="center"/>
          </w:tcPr>
          <w:p w14:paraId="3810D637">
            <w:pPr>
              <w:jc w:val="center"/>
              <w:rPr>
                <w:rFonts w:hint="default" w:ascii="Times New Roman" w:hAnsi="Times New Roman" w:eastAsia="宋体"/>
                <w:sz w:val="18"/>
                <w:szCs w:val="18"/>
                <w:lang w:val="en-US" w:eastAsia="zh-CN"/>
              </w:rPr>
            </w:pPr>
            <w:r>
              <w:rPr>
                <w:rFonts w:hint="eastAsia"/>
                <w:sz w:val="18"/>
                <w:szCs w:val="18"/>
                <w:lang w:val="en-US" w:eastAsia="zh-CN"/>
              </w:rPr>
              <w:t>一般排气口</w:t>
            </w:r>
          </w:p>
        </w:tc>
        <w:tc>
          <w:tcPr>
            <w:tcW w:w="468" w:type="pct"/>
            <w:vAlign w:val="center"/>
          </w:tcPr>
          <w:p w14:paraId="6FC159AF">
            <w:pPr>
              <w:jc w:val="center"/>
              <w:rPr>
                <w:rFonts w:hint="eastAsia" w:ascii="Times New Roman" w:hAnsi="Times New Roman"/>
                <w:sz w:val="18"/>
                <w:szCs w:val="18"/>
              </w:rPr>
            </w:pPr>
            <w:r>
              <w:rPr>
                <w:rFonts w:hint="eastAsia" w:ascii="Times New Roman" w:hAnsi="Times New Roman"/>
                <w:sz w:val="18"/>
                <w:szCs w:val="18"/>
              </w:rPr>
              <w:t>116.973012</w:t>
            </w:r>
          </w:p>
        </w:tc>
        <w:tc>
          <w:tcPr>
            <w:tcW w:w="439" w:type="pct"/>
            <w:vAlign w:val="center"/>
          </w:tcPr>
          <w:p w14:paraId="045C76EA">
            <w:pPr>
              <w:jc w:val="center"/>
              <w:rPr>
                <w:rFonts w:hint="eastAsia" w:ascii="Times New Roman" w:hAnsi="Times New Roman"/>
                <w:sz w:val="18"/>
                <w:szCs w:val="18"/>
              </w:rPr>
            </w:pPr>
            <w:r>
              <w:rPr>
                <w:rFonts w:hint="eastAsia" w:ascii="Times New Roman" w:hAnsi="Times New Roman"/>
                <w:sz w:val="18"/>
                <w:szCs w:val="18"/>
              </w:rPr>
              <w:t>33.745101</w:t>
            </w:r>
          </w:p>
        </w:tc>
        <w:tc>
          <w:tcPr>
            <w:tcW w:w="166" w:type="pct"/>
            <w:vAlign w:val="center"/>
          </w:tcPr>
          <w:p w14:paraId="45C93C92">
            <w:pPr>
              <w:jc w:val="center"/>
              <w:rPr>
                <w:rFonts w:hint="default"/>
                <w:sz w:val="18"/>
                <w:szCs w:val="18"/>
                <w:lang w:val="en-US" w:eastAsia="zh-CN"/>
              </w:rPr>
            </w:pPr>
            <w:r>
              <w:rPr>
                <w:rFonts w:hint="eastAsia"/>
                <w:sz w:val="18"/>
                <w:szCs w:val="18"/>
                <w:lang w:val="en-US" w:eastAsia="zh-CN"/>
              </w:rPr>
              <w:t>15</w:t>
            </w:r>
          </w:p>
        </w:tc>
        <w:tc>
          <w:tcPr>
            <w:tcW w:w="187" w:type="pct"/>
            <w:vAlign w:val="center"/>
          </w:tcPr>
          <w:p w14:paraId="21BCB305">
            <w:pPr>
              <w:jc w:val="center"/>
              <w:rPr>
                <w:rFonts w:hint="default" w:ascii="Times New Roman" w:hAnsi="Times New Roman" w:eastAsia="宋体"/>
                <w:sz w:val="18"/>
                <w:szCs w:val="18"/>
                <w:lang w:val="en-US" w:eastAsia="zh-CN"/>
              </w:rPr>
            </w:pPr>
            <w:r>
              <w:rPr>
                <w:rFonts w:hint="eastAsia"/>
                <w:sz w:val="18"/>
                <w:szCs w:val="18"/>
                <w:lang w:val="en-US" w:eastAsia="zh-CN"/>
              </w:rPr>
              <w:t>0.4</w:t>
            </w:r>
          </w:p>
        </w:tc>
        <w:tc>
          <w:tcPr>
            <w:tcW w:w="216" w:type="pct"/>
            <w:vAlign w:val="center"/>
          </w:tcPr>
          <w:p w14:paraId="7B3250F2">
            <w:pPr>
              <w:jc w:val="center"/>
              <w:rPr>
                <w:rFonts w:hint="eastAsia" w:ascii="Times New Roman" w:hAnsi="Times New Roman" w:eastAsia="宋体"/>
                <w:sz w:val="18"/>
                <w:szCs w:val="18"/>
                <w:lang w:val="en-US" w:eastAsia="zh-CN"/>
              </w:rPr>
            </w:pPr>
            <w:r>
              <w:rPr>
                <w:rFonts w:hint="eastAsia"/>
                <w:sz w:val="18"/>
                <w:szCs w:val="18"/>
                <w:lang w:val="en-US" w:eastAsia="zh-CN"/>
              </w:rPr>
              <w:t>常温</w:t>
            </w:r>
          </w:p>
        </w:tc>
        <w:tc>
          <w:tcPr>
            <w:tcW w:w="761" w:type="pct"/>
            <w:vAlign w:val="center"/>
          </w:tcPr>
          <w:p w14:paraId="3FB7F791">
            <w:pPr>
              <w:jc w:val="center"/>
              <w:rPr>
                <w:rFonts w:hint="eastAsia" w:ascii="Times New Roman" w:hAnsi="Times New Roman"/>
                <w:sz w:val="18"/>
                <w:szCs w:val="18"/>
              </w:rPr>
            </w:pPr>
            <w:r>
              <w:rPr>
                <w:rFonts w:hint="eastAsia" w:ascii="Times New Roman" w:hAnsi="Times New Roman"/>
                <w:sz w:val="18"/>
                <w:szCs w:val="18"/>
              </w:rPr>
              <w:t>《合成树脂工业污染物排放标准》（GB 31572-2015）</w:t>
            </w:r>
          </w:p>
        </w:tc>
        <w:tc>
          <w:tcPr>
            <w:tcW w:w="356" w:type="pct"/>
            <w:vAlign w:val="center"/>
          </w:tcPr>
          <w:p w14:paraId="1CF8605B">
            <w:pPr>
              <w:jc w:val="center"/>
              <w:rPr>
                <w:rFonts w:hint="default"/>
                <w:sz w:val="18"/>
                <w:szCs w:val="18"/>
                <w:lang w:val="en-US" w:eastAsia="zh-CN"/>
              </w:rPr>
            </w:pPr>
            <w:r>
              <w:rPr>
                <w:rFonts w:hint="eastAsia"/>
                <w:sz w:val="18"/>
                <w:szCs w:val="18"/>
                <w:lang w:val="en-US" w:eastAsia="zh-CN"/>
              </w:rPr>
              <w:t>20</w:t>
            </w:r>
            <w:r>
              <w:rPr>
                <w:rFonts w:ascii="Times New Roman" w:hAnsi="Times New Roman"/>
                <w:sz w:val="18"/>
                <w:szCs w:val="18"/>
              </w:rPr>
              <w:t>mg/m</w:t>
            </w:r>
            <w:r>
              <w:rPr>
                <w:rFonts w:ascii="Times New Roman" w:hAnsi="Times New Roman"/>
                <w:sz w:val="18"/>
                <w:szCs w:val="18"/>
                <w:vertAlign w:val="superscript"/>
              </w:rPr>
              <w:t>3</w:t>
            </w:r>
          </w:p>
        </w:tc>
        <w:tc>
          <w:tcPr>
            <w:tcW w:w="277" w:type="pct"/>
            <w:vAlign w:val="center"/>
          </w:tcPr>
          <w:p w14:paraId="5CD09F4B">
            <w:pPr>
              <w:jc w:val="center"/>
              <w:rPr>
                <w:rFonts w:hint="default" w:ascii="Times New Roman" w:hAnsi="Times New Roman" w:eastAsia="宋体"/>
                <w:sz w:val="18"/>
                <w:szCs w:val="18"/>
                <w:lang w:val="en-US" w:eastAsia="zh-CN"/>
              </w:rPr>
            </w:pPr>
            <w:r>
              <w:rPr>
                <w:rFonts w:hint="eastAsia"/>
                <w:sz w:val="18"/>
                <w:szCs w:val="18"/>
                <w:lang w:val="en-US" w:eastAsia="zh-CN"/>
              </w:rPr>
              <w:t>DA002</w:t>
            </w:r>
          </w:p>
        </w:tc>
        <w:tc>
          <w:tcPr>
            <w:tcW w:w="564" w:type="pct"/>
            <w:vAlign w:val="center"/>
          </w:tcPr>
          <w:p w14:paraId="105E036F">
            <w:pPr>
              <w:jc w:val="center"/>
              <w:rPr>
                <w:rFonts w:hint="default" w:ascii="Times New Roman" w:hAnsi="Times New Roman" w:eastAsia="宋体"/>
                <w:sz w:val="18"/>
                <w:szCs w:val="18"/>
                <w:lang w:val="en-US" w:eastAsia="zh-CN"/>
              </w:rPr>
            </w:pPr>
            <w:r>
              <w:rPr>
                <w:rFonts w:hint="eastAsia"/>
                <w:sz w:val="18"/>
                <w:szCs w:val="18"/>
                <w:lang w:val="en-US" w:eastAsia="zh-CN"/>
              </w:rPr>
              <w:t>颗粒物排放浓度</w:t>
            </w:r>
          </w:p>
        </w:tc>
        <w:tc>
          <w:tcPr>
            <w:tcW w:w="404" w:type="pct"/>
            <w:vAlign w:val="center"/>
          </w:tcPr>
          <w:p w14:paraId="7AA9B29B">
            <w:pPr>
              <w:jc w:val="center"/>
              <w:rPr>
                <w:rFonts w:ascii="Times New Roman" w:hAnsi="Times New Roman"/>
                <w:sz w:val="18"/>
                <w:szCs w:val="18"/>
              </w:rPr>
            </w:pPr>
            <w:r>
              <w:rPr>
                <w:rFonts w:ascii="Times New Roman" w:hAnsi="Times New Roman"/>
                <w:sz w:val="18"/>
                <w:szCs w:val="18"/>
              </w:rPr>
              <w:t>1次/年，非连续采样 至少3个样</w:t>
            </w:r>
          </w:p>
        </w:tc>
      </w:tr>
      <w:tr w14:paraId="43A699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8" w:hRule="atLeast"/>
          <w:jc w:val="center"/>
        </w:trPr>
        <w:tc>
          <w:tcPr>
            <w:tcW w:w="151" w:type="pct"/>
            <w:vAlign w:val="center"/>
          </w:tcPr>
          <w:p w14:paraId="57F2C655">
            <w:pPr>
              <w:jc w:val="center"/>
              <w:rPr>
                <w:rFonts w:hint="eastAsia" w:ascii="Times New Roman" w:hAnsi="Times New Roman" w:eastAsia="宋体"/>
                <w:sz w:val="18"/>
                <w:szCs w:val="18"/>
                <w:lang w:val="en-US" w:eastAsia="zh-CN"/>
              </w:rPr>
            </w:pPr>
            <w:r>
              <w:rPr>
                <w:rFonts w:hint="eastAsia"/>
                <w:sz w:val="18"/>
                <w:szCs w:val="18"/>
                <w:lang w:val="en-US" w:eastAsia="zh-CN"/>
              </w:rPr>
              <w:t>3</w:t>
            </w:r>
          </w:p>
        </w:tc>
        <w:tc>
          <w:tcPr>
            <w:tcW w:w="266" w:type="pct"/>
            <w:vAlign w:val="center"/>
          </w:tcPr>
          <w:p w14:paraId="50CD4AA0">
            <w:pPr>
              <w:jc w:val="center"/>
              <w:rPr>
                <w:rFonts w:hint="eastAsia" w:ascii="Times New Roman" w:hAnsi="Times New Roman" w:eastAsia="宋体"/>
                <w:sz w:val="18"/>
                <w:szCs w:val="18"/>
                <w:lang w:val="en-US" w:eastAsia="zh-CN"/>
              </w:rPr>
            </w:pPr>
            <w:r>
              <w:rPr>
                <w:rFonts w:hint="eastAsia"/>
                <w:sz w:val="18"/>
                <w:szCs w:val="18"/>
                <w:lang w:val="en-US" w:eastAsia="zh-CN"/>
              </w:rPr>
              <w:t>厂界</w:t>
            </w:r>
          </w:p>
        </w:tc>
        <w:tc>
          <w:tcPr>
            <w:tcW w:w="284" w:type="pct"/>
            <w:vAlign w:val="center"/>
          </w:tcPr>
          <w:p w14:paraId="7C460116">
            <w:pPr>
              <w:jc w:val="center"/>
              <w:rPr>
                <w:rFonts w:hint="eastAsia" w:ascii="Times New Roman" w:hAnsi="Times New Roman" w:eastAsia="宋体"/>
                <w:kern w:val="0"/>
                <w:sz w:val="18"/>
                <w:szCs w:val="18"/>
                <w:lang w:val="en-US" w:eastAsia="zh-CN"/>
              </w:rPr>
            </w:pPr>
            <w:r>
              <w:rPr>
                <w:rFonts w:hint="eastAsia"/>
                <w:kern w:val="0"/>
                <w:sz w:val="18"/>
                <w:szCs w:val="18"/>
                <w:lang w:val="en-US" w:eastAsia="zh-CN"/>
              </w:rPr>
              <w:t>颗粒物</w:t>
            </w:r>
          </w:p>
        </w:tc>
        <w:tc>
          <w:tcPr>
            <w:tcW w:w="260" w:type="pct"/>
            <w:vAlign w:val="center"/>
          </w:tcPr>
          <w:p w14:paraId="0984A1E3">
            <w:pPr>
              <w:jc w:val="center"/>
              <w:rPr>
                <w:rFonts w:hint="eastAsia" w:ascii="Times New Roman" w:hAnsi="Times New Roman" w:eastAsia="宋体"/>
                <w:sz w:val="18"/>
                <w:szCs w:val="18"/>
                <w:lang w:val="en-US" w:eastAsia="zh-CN"/>
              </w:rPr>
            </w:pPr>
            <w:r>
              <w:rPr>
                <w:rFonts w:hint="eastAsia"/>
                <w:sz w:val="18"/>
                <w:szCs w:val="18"/>
                <w:lang w:val="en-US" w:eastAsia="zh-CN"/>
              </w:rPr>
              <w:t>/</w:t>
            </w:r>
          </w:p>
        </w:tc>
        <w:tc>
          <w:tcPr>
            <w:tcW w:w="200" w:type="pct"/>
            <w:vAlign w:val="center"/>
          </w:tcPr>
          <w:p w14:paraId="49630787">
            <w:pPr>
              <w:jc w:val="center"/>
              <w:rPr>
                <w:rFonts w:hint="eastAsia" w:ascii="Times New Roman" w:hAnsi="Times New Roman" w:eastAsia="宋体"/>
                <w:sz w:val="18"/>
                <w:szCs w:val="18"/>
                <w:lang w:val="en-US" w:eastAsia="zh-CN"/>
              </w:rPr>
            </w:pPr>
            <w:r>
              <w:rPr>
                <w:rFonts w:hint="eastAsia"/>
                <w:sz w:val="18"/>
                <w:szCs w:val="18"/>
                <w:lang w:val="en-US" w:eastAsia="zh-CN"/>
              </w:rPr>
              <w:t>/</w:t>
            </w:r>
          </w:p>
        </w:tc>
        <w:tc>
          <w:tcPr>
            <w:tcW w:w="468" w:type="pct"/>
            <w:vAlign w:val="center"/>
          </w:tcPr>
          <w:p w14:paraId="316FA2F7">
            <w:pPr>
              <w:jc w:val="center"/>
              <w:rPr>
                <w:rFonts w:hint="eastAsia" w:ascii="Times New Roman" w:hAnsi="Times New Roman" w:eastAsia="宋体"/>
                <w:sz w:val="18"/>
                <w:szCs w:val="18"/>
                <w:lang w:val="en-US" w:eastAsia="zh-CN"/>
              </w:rPr>
            </w:pPr>
            <w:r>
              <w:rPr>
                <w:rFonts w:hint="eastAsia"/>
                <w:sz w:val="18"/>
                <w:szCs w:val="18"/>
                <w:lang w:val="en-US" w:eastAsia="zh-CN"/>
              </w:rPr>
              <w:t>/</w:t>
            </w:r>
          </w:p>
        </w:tc>
        <w:tc>
          <w:tcPr>
            <w:tcW w:w="439" w:type="pct"/>
            <w:vAlign w:val="center"/>
          </w:tcPr>
          <w:p w14:paraId="124F9AF4">
            <w:pPr>
              <w:jc w:val="center"/>
              <w:rPr>
                <w:rFonts w:hint="eastAsia" w:ascii="Times New Roman" w:hAnsi="Times New Roman" w:eastAsia="宋体"/>
                <w:sz w:val="18"/>
                <w:szCs w:val="18"/>
                <w:lang w:val="en-US" w:eastAsia="zh-CN"/>
              </w:rPr>
            </w:pPr>
            <w:r>
              <w:rPr>
                <w:rFonts w:hint="eastAsia"/>
                <w:sz w:val="18"/>
                <w:szCs w:val="18"/>
                <w:lang w:val="en-US" w:eastAsia="zh-CN"/>
              </w:rPr>
              <w:t>/</w:t>
            </w:r>
          </w:p>
        </w:tc>
        <w:tc>
          <w:tcPr>
            <w:tcW w:w="166" w:type="pct"/>
            <w:vAlign w:val="center"/>
          </w:tcPr>
          <w:p w14:paraId="0CE650A3">
            <w:pPr>
              <w:jc w:val="center"/>
              <w:rPr>
                <w:rFonts w:hint="eastAsia" w:ascii="Times New Roman" w:hAnsi="Times New Roman" w:eastAsia="宋体"/>
                <w:sz w:val="18"/>
                <w:szCs w:val="18"/>
                <w:lang w:val="en-US" w:eastAsia="zh-CN"/>
              </w:rPr>
            </w:pPr>
            <w:r>
              <w:rPr>
                <w:rFonts w:hint="eastAsia"/>
                <w:sz w:val="18"/>
                <w:szCs w:val="18"/>
                <w:lang w:val="en-US" w:eastAsia="zh-CN"/>
              </w:rPr>
              <w:t>/</w:t>
            </w:r>
          </w:p>
        </w:tc>
        <w:tc>
          <w:tcPr>
            <w:tcW w:w="187" w:type="pct"/>
            <w:vAlign w:val="center"/>
          </w:tcPr>
          <w:p w14:paraId="4DEF53A0">
            <w:pPr>
              <w:jc w:val="center"/>
              <w:rPr>
                <w:rFonts w:hint="eastAsia" w:ascii="Times New Roman" w:hAnsi="Times New Roman" w:eastAsia="宋体"/>
                <w:sz w:val="18"/>
                <w:szCs w:val="18"/>
                <w:lang w:val="en-US" w:eastAsia="zh-CN"/>
              </w:rPr>
            </w:pPr>
            <w:r>
              <w:rPr>
                <w:rFonts w:hint="eastAsia"/>
                <w:sz w:val="18"/>
                <w:szCs w:val="18"/>
                <w:lang w:val="en-US" w:eastAsia="zh-CN"/>
              </w:rPr>
              <w:t>/</w:t>
            </w:r>
          </w:p>
        </w:tc>
        <w:tc>
          <w:tcPr>
            <w:tcW w:w="216" w:type="pct"/>
            <w:vAlign w:val="center"/>
          </w:tcPr>
          <w:p w14:paraId="6C403208">
            <w:pPr>
              <w:jc w:val="center"/>
              <w:rPr>
                <w:rFonts w:hint="eastAsia" w:ascii="Times New Roman" w:hAnsi="Times New Roman" w:eastAsia="宋体"/>
                <w:sz w:val="18"/>
                <w:szCs w:val="18"/>
                <w:lang w:val="en-US" w:eastAsia="zh-CN"/>
              </w:rPr>
            </w:pPr>
            <w:r>
              <w:rPr>
                <w:rFonts w:hint="eastAsia"/>
                <w:sz w:val="18"/>
                <w:szCs w:val="18"/>
                <w:lang w:val="en-US" w:eastAsia="zh-CN"/>
              </w:rPr>
              <w:t>/</w:t>
            </w:r>
          </w:p>
        </w:tc>
        <w:tc>
          <w:tcPr>
            <w:tcW w:w="761" w:type="pct"/>
            <w:vAlign w:val="center"/>
          </w:tcPr>
          <w:p w14:paraId="20FE1194">
            <w:pPr>
              <w:jc w:val="center"/>
              <w:rPr>
                <w:rFonts w:hint="eastAsia" w:ascii="Times New Roman" w:hAnsi="Times New Roman" w:eastAsia="宋体"/>
                <w:sz w:val="18"/>
                <w:szCs w:val="18"/>
                <w:lang w:eastAsia="zh-CN"/>
              </w:rPr>
            </w:pPr>
            <w:r>
              <w:rPr>
                <w:rFonts w:hint="eastAsia"/>
                <w:sz w:val="18"/>
                <w:szCs w:val="18"/>
                <w:lang w:eastAsia="zh-CN"/>
              </w:rPr>
              <w:t>《</w:t>
            </w:r>
            <w:r>
              <w:rPr>
                <w:rFonts w:hint="eastAsia"/>
                <w:sz w:val="18"/>
                <w:szCs w:val="18"/>
                <w:lang w:val="en-US" w:eastAsia="zh-CN"/>
              </w:rPr>
              <w:t>大气污染物综合排放标准</w:t>
            </w:r>
            <w:r>
              <w:rPr>
                <w:rFonts w:hint="eastAsia"/>
                <w:sz w:val="18"/>
                <w:szCs w:val="18"/>
                <w:lang w:eastAsia="zh-CN"/>
              </w:rPr>
              <w:t>》（GB 16297-1996）</w:t>
            </w:r>
          </w:p>
        </w:tc>
        <w:tc>
          <w:tcPr>
            <w:tcW w:w="356" w:type="pct"/>
            <w:vAlign w:val="center"/>
          </w:tcPr>
          <w:p w14:paraId="3CD8A964">
            <w:pPr>
              <w:jc w:val="center"/>
              <w:rPr>
                <w:rFonts w:hint="default" w:ascii="Times New Roman" w:hAnsi="Times New Roman" w:eastAsia="宋体"/>
                <w:sz w:val="18"/>
                <w:szCs w:val="18"/>
                <w:lang w:val="en-US" w:eastAsia="zh-CN"/>
              </w:rPr>
            </w:pPr>
            <w:r>
              <w:rPr>
                <w:rFonts w:hint="eastAsia"/>
                <w:sz w:val="18"/>
                <w:szCs w:val="18"/>
                <w:lang w:val="en-US" w:eastAsia="zh-CN"/>
              </w:rPr>
              <w:t>1.0</w:t>
            </w:r>
            <w:r>
              <w:rPr>
                <w:rFonts w:ascii="Times New Roman" w:hAnsi="Times New Roman"/>
                <w:sz w:val="18"/>
                <w:szCs w:val="18"/>
              </w:rPr>
              <w:t>mg/m</w:t>
            </w:r>
            <w:r>
              <w:rPr>
                <w:rFonts w:ascii="Times New Roman" w:hAnsi="Times New Roman"/>
                <w:sz w:val="18"/>
                <w:szCs w:val="18"/>
                <w:vertAlign w:val="superscript"/>
              </w:rPr>
              <w:t>3</w:t>
            </w:r>
          </w:p>
        </w:tc>
        <w:tc>
          <w:tcPr>
            <w:tcW w:w="277" w:type="pct"/>
            <w:vAlign w:val="center"/>
          </w:tcPr>
          <w:p w14:paraId="29A35EFD">
            <w:pPr>
              <w:jc w:val="center"/>
              <w:rPr>
                <w:rFonts w:ascii="Times New Roman" w:hAnsi="Times New Roman"/>
                <w:sz w:val="18"/>
                <w:szCs w:val="18"/>
              </w:rPr>
            </w:pPr>
            <w:r>
              <w:rPr>
                <w:rFonts w:ascii="Times New Roman" w:hAnsi="Times New Roman"/>
                <w:sz w:val="18"/>
                <w:szCs w:val="18"/>
              </w:rPr>
              <w:t>厂界四周</w:t>
            </w:r>
          </w:p>
        </w:tc>
        <w:tc>
          <w:tcPr>
            <w:tcW w:w="564" w:type="pct"/>
            <w:vAlign w:val="center"/>
          </w:tcPr>
          <w:p w14:paraId="6A8A57C5">
            <w:pPr>
              <w:jc w:val="center"/>
              <w:rPr>
                <w:rFonts w:hint="default" w:ascii="Times New Roman" w:hAnsi="Times New Roman" w:eastAsia="宋体"/>
                <w:sz w:val="18"/>
                <w:szCs w:val="18"/>
                <w:lang w:val="en-US" w:eastAsia="zh-CN"/>
              </w:rPr>
            </w:pPr>
            <w:r>
              <w:rPr>
                <w:rFonts w:hint="eastAsia"/>
                <w:sz w:val="18"/>
                <w:szCs w:val="18"/>
                <w:lang w:val="en-US" w:eastAsia="zh-CN"/>
              </w:rPr>
              <w:t>颗粒物浓度、气象数据</w:t>
            </w:r>
          </w:p>
        </w:tc>
        <w:tc>
          <w:tcPr>
            <w:tcW w:w="404" w:type="pct"/>
            <w:vAlign w:val="center"/>
          </w:tcPr>
          <w:p w14:paraId="60D88676">
            <w:pPr>
              <w:jc w:val="center"/>
              <w:rPr>
                <w:rFonts w:ascii="Times New Roman" w:hAnsi="Times New Roman"/>
                <w:sz w:val="18"/>
                <w:szCs w:val="18"/>
              </w:rPr>
            </w:pPr>
            <w:r>
              <w:rPr>
                <w:rFonts w:ascii="Times New Roman" w:hAnsi="Times New Roman"/>
                <w:sz w:val="18"/>
                <w:szCs w:val="18"/>
              </w:rPr>
              <w:t>1次/年，非连续采样 至少3个样</w:t>
            </w:r>
          </w:p>
        </w:tc>
      </w:tr>
      <w:tr w14:paraId="6E4CF1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8" w:hRule="atLeast"/>
          <w:jc w:val="center"/>
        </w:trPr>
        <w:tc>
          <w:tcPr>
            <w:tcW w:w="151" w:type="pct"/>
            <w:vAlign w:val="center"/>
          </w:tcPr>
          <w:p w14:paraId="3F68AFB8">
            <w:pPr>
              <w:jc w:val="center"/>
              <w:rPr>
                <w:rFonts w:hint="default" w:ascii="Times New Roman" w:hAnsi="Times New Roman" w:eastAsia="宋体"/>
                <w:sz w:val="18"/>
                <w:szCs w:val="18"/>
                <w:lang w:val="en-US" w:eastAsia="zh-CN"/>
              </w:rPr>
            </w:pPr>
            <w:r>
              <w:rPr>
                <w:rFonts w:hint="eastAsia"/>
                <w:sz w:val="18"/>
                <w:szCs w:val="18"/>
                <w:lang w:val="en-US" w:eastAsia="zh-CN"/>
              </w:rPr>
              <w:t>4</w:t>
            </w:r>
          </w:p>
        </w:tc>
        <w:tc>
          <w:tcPr>
            <w:tcW w:w="266" w:type="pct"/>
            <w:vAlign w:val="center"/>
          </w:tcPr>
          <w:p w14:paraId="2E29FB6A">
            <w:pPr>
              <w:jc w:val="center"/>
              <w:rPr>
                <w:rFonts w:ascii="Times New Roman" w:hAnsi="Times New Roman"/>
                <w:sz w:val="18"/>
                <w:szCs w:val="18"/>
              </w:rPr>
            </w:pPr>
            <w:r>
              <w:rPr>
                <w:rFonts w:ascii="Times New Roman" w:hAnsi="Times New Roman"/>
                <w:sz w:val="18"/>
                <w:szCs w:val="18"/>
              </w:rPr>
              <w:t>厂界</w:t>
            </w:r>
          </w:p>
        </w:tc>
        <w:tc>
          <w:tcPr>
            <w:tcW w:w="284" w:type="pct"/>
            <w:vAlign w:val="center"/>
          </w:tcPr>
          <w:p w14:paraId="1B9ED59F">
            <w:pPr>
              <w:jc w:val="center"/>
              <w:rPr>
                <w:rFonts w:ascii="Times New Roman" w:hAnsi="Times New Roman"/>
                <w:sz w:val="18"/>
                <w:szCs w:val="18"/>
              </w:rPr>
            </w:pPr>
            <w:r>
              <w:rPr>
                <w:rFonts w:ascii="Times New Roman" w:hAnsi="Times New Roman"/>
                <w:kern w:val="0"/>
                <w:sz w:val="18"/>
                <w:szCs w:val="18"/>
              </w:rPr>
              <w:t>非甲烷总烃</w:t>
            </w:r>
          </w:p>
        </w:tc>
        <w:tc>
          <w:tcPr>
            <w:tcW w:w="260" w:type="pct"/>
            <w:vAlign w:val="center"/>
          </w:tcPr>
          <w:p w14:paraId="3775EC82">
            <w:pPr>
              <w:jc w:val="center"/>
              <w:rPr>
                <w:rFonts w:ascii="Times New Roman" w:hAnsi="Times New Roman"/>
                <w:sz w:val="18"/>
                <w:szCs w:val="18"/>
              </w:rPr>
            </w:pPr>
            <w:r>
              <w:rPr>
                <w:rFonts w:ascii="Times New Roman" w:hAnsi="Times New Roman"/>
                <w:sz w:val="18"/>
                <w:szCs w:val="18"/>
              </w:rPr>
              <w:t>/</w:t>
            </w:r>
          </w:p>
        </w:tc>
        <w:tc>
          <w:tcPr>
            <w:tcW w:w="200" w:type="pct"/>
            <w:vAlign w:val="center"/>
          </w:tcPr>
          <w:p w14:paraId="41FF1676">
            <w:pPr>
              <w:jc w:val="center"/>
              <w:rPr>
                <w:rFonts w:ascii="Times New Roman" w:hAnsi="Times New Roman"/>
                <w:sz w:val="18"/>
                <w:szCs w:val="18"/>
              </w:rPr>
            </w:pPr>
            <w:r>
              <w:rPr>
                <w:rFonts w:ascii="Times New Roman" w:hAnsi="Times New Roman"/>
                <w:sz w:val="18"/>
                <w:szCs w:val="18"/>
              </w:rPr>
              <w:t>/</w:t>
            </w:r>
          </w:p>
        </w:tc>
        <w:tc>
          <w:tcPr>
            <w:tcW w:w="468" w:type="pct"/>
            <w:vAlign w:val="center"/>
          </w:tcPr>
          <w:p w14:paraId="720D8189">
            <w:pPr>
              <w:jc w:val="center"/>
              <w:rPr>
                <w:rFonts w:ascii="Times New Roman" w:hAnsi="Times New Roman"/>
                <w:sz w:val="18"/>
                <w:szCs w:val="18"/>
              </w:rPr>
            </w:pPr>
            <w:r>
              <w:rPr>
                <w:rFonts w:ascii="Times New Roman" w:hAnsi="Times New Roman"/>
                <w:sz w:val="18"/>
                <w:szCs w:val="18"/>
              </w:rPr>
              <w:t>/</w:t>
            </w:r>
          </w:p>
        </w:tc>
        <w:tc>
          <w:tcPr>
            <w:tcW w:w="439" w:type="pct"/>
            <w:vAlign w:val="center"/>
          </w:tcPr>
          <w:p w14:paraId="0B2F485A">
            <w:pPr>
              <w:jc w:val="center"/>
              <w:rPr>
                <w:rFonts w:ascii="Times New Roman" w:hAnsi="Times New Roman"/>
                <w:sz w:val="18"/>
                <w:szCs w:val="18"/>
              </w:rPr>
            </w:pPr>
            <w:r>
              <w:rPr>
                <w:rFonts w:ascii="Times New Roman" w:hAnsi="Times New Roman"/>
                <w:sz w:val="18"/>
                <w:szCs w:val="18"/>
              </w:rPr>
              <w:t>/</w:t>
            </w:r>
          </w:p>
        </w:tc>
        <w:tc>
          <w:tcPr>
            <w:tcW w:w="166" w:type="pct"/>
            <w:vAlign w:val="center"/>
          </w:tcPr>
          <w:p w14:paraId="2FF7679C">
            <w:pPr>
              <w:jc w:val="center"/>
              <w:rPr>
                <w:rFonts w:ascii="Times New Roman" w:hAnsi="Times New Roman"/>
                <w:sz w:val="18"/>
                <w:szCs w:val="18"/>
              </w:rPr>
            </w:pPr>
            <w:r>
              <w:rPr>
                <w:rFonts w:ascii="Times New Roman" w:hAnsi="Times New Roman"/>
                <w:sz w:val="18"/>
                <w:szCs w:val="18"/>
              </w:rPr>
              <w:t>/</w:t>
            </w:r>
          </w:p>
        </w:tc>
        <w:tc>
          <w:tcPr>
            <w:tcW w:w="187" w:type="pct"/>
            <w:vAlign w:val="center"/>
          </w:tcPr>
          <w:p w14:paraId="414E8704">
            <w:pPr>
              <w:jc w:val="center"/>
              <w:rPr>
                <w:rFonts w:ascii="Times New Roman" w:hAnsi="Times New Roman"/>
                <w:sz w:val="18"/>
                <w:szCs w:val="18"/>
              </w:rPr>
            </w:pPr>
            <w:r>
              <w:rPr>
                <w:rFonts w:ascii="Times New Roman" w:hAnsi="Times New Roman"/>
                <w:sz w:val="18"/>
                <w:szCs w:val="18"/>
              </w:rPr>
              <w:t>/</w:t>
            </w:r>
          </w:p>
        </w:tc>
        <w:tc>
          <w:tcPr>
            <w:tcW w:w="216" w:type="pct"/>
            <w:vAlign w:val="center"/>
          </w:tcPr>
          <w:p w14:paraId="7C9E78E5">
            <w:pPr>
              <w:jc w:val="center"/>
              <w:rPr>
                <w:rFonts w:ascii="Times New Roman" w:hAnsi="Times New Roman"/>
                <w:sz w:val="18"/>
                <w:szCs w:val="18"/>
              </w:rPr>
            </w:pPr>
            <w:r>
              <w:rPr>
                <w:rFonts w:ascii="Times New Roman" w:hAnsi="Times New Roman"/>
                <w:sz w:val="18"/>
                <w:szCs w:val="18"/>
              </w:rPr>
              <w:t>/</w:t>
            </w:r>
          </w:p>
        </w:tc>
        <w:tc>
          <w:tcPr>
            <w:tcW w:w="761" w:type="pct"/>
            <w:vAlign w:val="center"/>
          </w:tcPr>
          <w:p w14:paraId="6690DE3A">
            <w:pPr>
              <w:jc w:val="center"/>
              <w:rPr>
                <w:rFonts w:ascii="Times New Roman" w:hAnsi="Times New Roman"/>
                <w:sz w:val="18"/>
                <w:szCs w:val="18"/>
              </w:rPr>
            </w:pPr>
            <w:r>
              <w:rPr>
                <w:rFonts w:ascii="Times New Roman" w:hAnsi="Times New Roman"/>
                <w:sz w:val="18"/>
                <w:szCs w:val="18"/>
              </w:rPr>
              <w:t>《合成树脂工业污染物排放标准》（GB31572-2015）</w:t>
            </w:r>
          </w:p>
        </w:tc>
        <w:tc>
          <w:tcPr>
            <w:tcW w:w="356" w:type="pct"/>
            <w:vAlign w:val="center"/>
          </w:tcPr>
          <w:p w14:paraId="5EAA4CC8">
            <w:pPr>
              <w:jc w:val="center"/>
              <w:rPr>
                <w:rFonts w:ascii="Times New Roman" w:hAnsi="Times New Roman"/>
                <w:sz w:val="18"/>
                <w:szCs w:val="18"/>
              </w:rPr>
            </w:pPr>
            <w:r>
              <w:rPr>
                <w:rFonts w:ascii="Times New Roman" w:hAnsi="Times New Roman"/>
                <w:sz w:val="18"/>
                <w:szCs w:val="18"/>
              </w:rPr>
              <w:t>4.0mg/m</w:t>
            </w:r>
            <w:r>
              <w:rPr>
                <w:rFonts w:ascii="Times New Roman" w:hAnsi="Times New Roman"/>
                <w:sz w:val="18"/>
                <w:szCs w:val="18"/>
                <w:vertAlign w:val="superscript"/>
              </w:rPr>
              <w:t>3</w:t>
            </w:r>
          </w:p>
        </w:tc>
        <w:tc>
          <w:tcPr>
            <w:tcW w:w="277" w:type="pct"/>
            <w:vAlign w:val="center"/>
          </w:tcPr>
          <w:p w14:paraId="46507C35">
            <w:pPr>
              <w:jc w:val="center"/>
              <w:rPr>
                <w:rFonts w:ascii="Times New Roman" w:hAnsi="Times New Roman"/>
                <w:sz w:val="18"/>
                <w:szCs w:val="18"/>
              </w:rPr>
            </w:pPr>
            <w:r>
              <w:rPr>
                <w:rFonts w:ascii="Times New Roman" w:hAnsi="Times New Roman"/>
                <w:sz w:val="18"/>
                <w:szCs w:val="18"/>
              </w:rPr>
              <w:t>厂界四周</w:t>
            </w:r>
          </w:p>
        </w:tc>
        <w:tc>
          <w:tcPr>
            <w:tcW w:w="564" w:type="pct"/>
            <w:vAlign w:val="center"/>
          </w:tcPr>
          <w:p w14:paraId="18B9D825">
            <w:pPr>
              <w:jc w:val="center"/>
              <w:rPr>
                <w:rFonts w:ascii="Times New Roman" w:hAnsi="Times New Roman"/>
                <w:sz w:val="18"/>
                <w:szCs w:val="18"/>
              </w:rPr>
            </w:pPr>
            <w:r>
              <w:rPr>
                <w:rFonts w:ascii="Times New Roman" w:hAnsi="Times New Roman"/>
                <w:sz w:val="18"/>
                <w:szCs w:val="18"/>
              </w:rPr>
              <w:t>非甲烷总烃浓度、气象数据等</w:t>
            </w:r>
          </w:p>
        </w:tc>
        <w:tc>
          <w:tcPr>
            <w:tcW w:w="404" w:type="pct"/>
            <w:vAlign w:val="center"/>
          </w:tcPr>
          <w:p w14:paraId="2CA5C395">
            <w:pPr>
              <w:jc w:val="center"/>
              <w:rPr>
                <w:rFonts w:ascii="Times New Roman" w:hAnsi="Times New Roman"/>
                <w:sz w:val="18"/>
                <w:szCs w:val="18"/>
              </w:rPr>
            </w:pPr>
            <w:r>
              <w:rPr>
                <w:rFonts w:ascii="Times New Roman" w:hAnsi="Times New Roman"/>
                <w:sz w:val="18"/>
                <w:szCs w:val="18"/>
              </w:rPr>
              <w:t>1次/年，非连续采样 至少3个样</w:t>
            </w:r>
          </w:p>
        </w:tc>
      </w:tr>
      <w:tr w14:paraId="53BA70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51" w:type="pct"/>
            <w:vAlign w:val="center"/>
          </w:tcPr>
          <w:p w14:paraId="1BAC1241">
            <w:pPr>
              <w:jc w:val="center"/>
              <w:rPr>
                <w:rFonts w:hint="eastAsia" w:ascii="Times New Roman" w:hAnsi="Times New Roman" w:eastAsia="宋体"/>
                <w:sz w:val="18"/>
                <w:szCs w:val="18"/>
                <w:lang w:eastAsia="zh-CN"/>
              </w:rPr>
            </w:pPr>
            <w:r>
              <w:rPr>
                <w:rFonts w:hint="eastAsia"/>
                <w:sz w:val="18"/>
                <w:szCs w:val="18"/>
                <w:lang w:val="en-US" w:eastAsia="zh-CN"/>
              </w:rPr>
              <w:t>5</w:t>
            </w:r>
          </w:p>
        </w:tc>
        <w:tc>
          <w:tcPr>
            <w:tcW w:w="266" w:type="pct"/>
            <w:vAlign w:val="center"/>
          </w:tcPr>
          <w:p w14:paraId="3345073A">
            <w:pPr>
              <w:jc w:val="center"/>
              <w:rPr>
                <w:rFonts w:ascii="Times New Roman" w:hAnsi="Times New Roman"/>
                <w:sz w:val="18"/>
                <w:szCs w:val="18"/>
              </w:rPr>
            </w:pPr>
            <w:r>
              <w:rPr>
                <w:rFonts w:ascii="Times New Roman" w:hAnsi="Times New Roman"/>
                <w:sz w:val="18"/>
                <w:szCs w:val="18"/>
              </w:rPr>
              <w:t>厂房外</w:t>
            </w:r>
          </w:p>
        </w:tc>
        <w:tc>
          <w:tcPr>
            <w:tcW w:w="284" w:type="pct"/>
            <w:vAlign w:val="center"/>
          </w:tcPr>
          <w:p w14:paraId="7A331E13">
            <w:pPr>
              <w:jc w:val="center"/>
              <w:rPr>
                <w:rFonts w:ascii="Times New Roman" w:hAnsi="Times New Roman"/>
                <w:sz w:val="18"/>
                <w:szCs w:val="18"/>
              </w:rPr>
            </w:pPr>
            <w:r>
              <w:rPr>
                <w:rFonts w:ascii="Times New Roman" w:hAnsi="Times New Roman"/>
                <w:sz w:val="18"/>
                <w:szCs w:val="18"/>
              </w:rPr>
              <w:t>非甲烷总烃</w:t>
            </w:r>
          </w:p>
        </w:tc>
        <w:tc>
          <w:tcPr>
            <w:tcW w:w="260" w:type="pct"/>
            <w:vAlign w:val="center"/>
          </w:tcPr>
          <w:p w14:paraId="1615AF39">
            <w:pPr>
              <w:jc w:val="center"/>
              <w:rPr>
                <w:rFonts w:ascii="Times New Roman" w:hAnsi="Times New Roman"/>
                <w:sz w:val="18"/>
                <w:szCs w:val="18"/>
              </w:rPr>
            </w:pPr>
            <w:r>
              <w:rPr>
                <w:rFonts w:ascii="Times New Roman" w:hAnsi="Times New Roman"/>
                <w:sz w:val="18"/>
                <w:szCs w:val="18"/>
              </w:rPr>
              <w:t>/</w:t>
            </w:r>
          </w:p>
        </w:tc>
        <w:tc>
          <w:tcPr>
            <w:tcW w:w="200" w:type="pct"/>
            <w:vAlign w:val="center"/>
          </w:tcPr>
          <w:p w14:paraId="58EFDBF9">
            <w:pPr>
              <w:jc w:val="center"/>
              <w:rPr>
                <w:rFonts w:ascii="Times New Roman" w:hAnsi="Times New Roman"/>
                <w:sz w:val="18"/>
                <w:szCs w:val="18"/>
              </w:rPr>
            </w:pPr>
            <w:r>
              <w:rPr>
                <w:rFonts w:ascii="Times New Roman" w:hAnsi="Times New Roman"/>
                <w:sz w:val="18"/>
                <w:szCs w:val="18"/>
              </w:rPr>
              <w:t>/</w:t>
            </w:r>
          </w:p>
        </w:tc>
        <w:tc>
          <w:tcPr>
            <w:tcW w:w="468" w:type="pct"/>
            <w:vAlign w:val="center"/>
          </w:tcPr>
          <w:p w14:paraId="04D6B721">
            <w:pPr>
              <w:jc w:val="center"/>
              <w:rPr>
                <w:rFonts w:ascii="Times New Roman" w:hAnsi="Times New Roman"/>
                <w:sz w:val="18"/>
                <w:szCs w:val="18"/>
              </w:rPr>
            </w:pPr>
            <w:r>
              <w:rPr>
                <w:rFonts w:ascii="Times New Roman" w:hAnsi="Times New Roman"/>
                <w:sz w:val="18"/>
                <w:szCs w:val="18"/>
              </w:rPr>
              <w:t>/</w:t>
            </w:r>
          </w:p>
        </w:tc>
        <w:tc>
          <w:tcPr>
            <w:tcW w:w="439" w:type="pct"/>
            <w:vAlign w:val="center"/>
          </w:tcPr>
          <w:p w14:paraId="3C3C0E08">
            <w:pPr>
              <w:jc w:val="center"/>
              <w:rPr>
                <w:rFonts w:ascii="Times New Roman" w:hAnsi="Times New Roman"/>
                <w:sz w:val="18"/>
                <w:szCs w:val="18"/>
              </w:rPr>
            </w:pPr>
            <w:r>
              <w:rPr>
                <w:rFonts w:ascii="Times New Roman" w:hAnsi="Times New Roman"/>
                <w:sz w:val="18"/>
                <w:szCs w:val="18"/>
              </w:rPr>
              <w:t>/</w:t>
            </w:r>
          </w:p>
        </w:tc>
        <w:tc>
          <w:tcPr>
            <w:tcW w:w="166" w:type="pct"/>
            <w:vAlign w:val="center"/>
          </w:tcPr>
          <w:p w14:paraId="66F326B7">
            <w:pPr>
              <w:jc w:val="center"/>
              <w:rPr>
                <w:rFonts w:ascii="Times New Roman" w:hAnsi="Times New Roman"/>
                <w:sz w:val="18"/>
                <w:szCs w:val="18"/>
              </w:rPr>
            </w:pPr>
            <w:r>
              <w:rPr>
                <w:rFonts w:ascii="Times New Roman" w:hAnsi="Times New Roman"/>
                <w:sz w:val="18"/>
                <w:szCs w:val="18"/>
              </w:rPr>
              <w:t>/</w:t>
            </w:r>
          </w:p>
        </w:tc>
        <w:tc>
          <w:tcPr>
            <w:tcW w:w="187" w:type="pct"/>
            <w:vAlign w:val="center"/>
          </w:tcPr>
          <w:p w14:paraId="19212435">
            <w:pPr>
              <w:jc w:val="center"/>
              <w:rPr>
                <w:rFonts w:ascii="Times New Roman" w:hAnsi="Times New Roman"/>
                <w:sz w:val="18"/>
                <w:szCs w:val="18"/>
              </w:rPr>
            </w:pPr>
            <w:r>
              <w:rPr>
                <w:rFonts w:ascii="Times New Roman" w:hAnsi="Times New Roman"/>
                <w:sz w:val="18"/>
                <w:szCs w:val="18"/>
              </w:rPr>
              <w:t>/</w:t>
            </w:r>
          </w:p>
        </w:tc>
        <w:tc>
          <w:tcPr>
            <w:tcW w:w="216" w:type="pct"/>
            <w:vAlign w:val="center"/>
          </w:tcPr>
          <w:p w14:paraId="2776C40C">
            <w:pPr>
              <w:jc w:val="center"/>
              <w:rPr>
                <w:rFonts w:ascii="Times New Roman" w:hAnsi="Times New Roman"/>
                <w:sz w:val="18"/>
                <w:szCs w:val="18"/>
              </w:rPr>
            </w:pPr>
            <w:r>
              <w:rPr>
                <w:rFonts w:ascii="Times New Roman" w:hAnsi="Times New Roman"/>
                <w:sz w:val="18"/>
                <w:szCs w:val="18"/>
              </w:rPr>
              <w:t>/</w:t>
            </w:r>
          </w:p>
        </w:tc>
        <w:tc>
          <w:tcPr>
            <w:tcW w:w="761" w:type="pct"/>
            <w:vAlign w:val="center"/>
          </w:tcPr>
          <w:p w14:paraId="124BBC15">
            <w:pPr>
              <w:jc w:val="center"/>
              <w:rPr>
                <w:rFonts w:ascii="Times New Roman" w:hAnsi="Times New Roman"/>
                <w:sz w:val="18"/>
                <w:szCs w:val="18"/>
              </w:rPr>
            </w:pPr>
            <w:r>
              <w:rPr>
                <w:rFonts w:ascii="Times New Roman" w:hAnsi="Times New Roman"/>
                <w:sz w:val="18"/>
                <w:szCs w:val="18"/>
              </w:rPr>
              <w:t>《挥发性有机物无组织排放控制标准（GB 37822-2019）》</w:t>
            </w:r>
          </w:p>
        </w:tc>
        <w:tc>
          <w:tcPr>
            <w:tcW w:w="356" w:type="pct"/>
            <w:vAlign w:val="center"/>
          </w:tcPr>
          <w:p w14:paraId="7E7B1C2F">
            <w:pPr>
              <w:jc w:val="center"/>
              <w:rPr>
                <w:rFonts w:ascii="Times New Roman" w:hAnsi="Times New Roman"/>
                <w:sz w:val="18"/>
                <w:szCs w:val="18"/>
              </w:rPr>
            </w:pPr>
            <w:r>
              <w:rPr>
                <w:rFonts w:ascii="Times New Roman" w:hAnsi="Times New Roman"/>
                <w:sz w:val="18"/>
                <w:szCs w:val="18"/>
              </w:rPr>
              <w:t>6mg/m</w:t>
            </w:r>
            <w:r>
              <w:rPr>
                <w:rFonts w:ascii="Times New Roman" w:hAnsi="Times New Roman"/>
                <w:sz w:val="18"/>
                <w:szCs w:val="18"/>
                <w:vertAlign w:val="superscript"/>
              </w:rPr>
              <w:t>3</w:t>
            </w:r>
          </w:p>
          <w:p w14:paraId="53F53DDF">
            <w:pPr>
              <w:pStyle w:val="12"/>
              <w:spacing w:before="0" w:after="0" w:line="240" w:lineRule="auto"/>
              <w:ind w:right="0"/>
              <w:jc w:val="center"/>
              <w:rPr>
                <w:rFonts w:ascii="Times New Roman" w:hAnsi="Times New Roman"/>
                <w:szCs w:val="18"/>
              </w:rPr>
            </w:pPr>
            <w:r>
              <w:rPr>
                <w:rFonts w:ascii="Times New Roman" w:hAnsi="Times New Roman"/>
                <w:szCs w:val="18"/>
              </w:rPr>
              <w:t>20mg/m</w:t>
            </w:r>
            <w:r>
              <w:rPr>
                <w:rFonts w:ascii="Times New Roman" w:hAnsi="Times New Roman"/>
                <w:szCs w:val="18"/>
                <w:vertAlign w:val="superscript"/>
              </w:rPr>
              <w:t>3</w:t>
            </w:r>
          </w:p>
        </w:tc>
        <w:tc>
          <w:tcPr>
            <w:tcW w:w="277" w:type="pct"/>
            <w:vAlign w:val="center"/>
          </w:tcPr>
          <w:p w14:paraId="0253652A">
            <w:pPr>
              <w:jc w:val="center"/>
              <w:rPr>
                <w:rFonts w:ascii="Times New Roman" w:hAnsi="Times New Roman"/>
                <w:sz w:val="18"/>
                <w:szCs w:val="18"/>
              </w:rPr>
            </w:pPr>
            <w:r>
              <w:rPr>
                <w:rFonts w:ascii="Times New Roman" w:hAnsi="Times New Roman"/>
                <w:sz w:val="18"/>
                <w:szCs w:val="18"/>
              </w:rPr>
              <w:t>厂房外</w:t>
            </w:r>
          </w:p>
        </w:tc>
        <w:tc>
          <w:tcPr>
            <w:tcW w:w="564" w:type="pct"/>
            <w:vAlign w:val="center"/>
          </w:tcPr>
          <w:p w14:paraId="545CA4DE">
            <w:pPr>
              <w:jc w:val="center"/>
              <w:rPr>
                <w:rFonts w:ascii="Times New Roman" w:hAnsi="Times New Roman"/>
                <w:sz w:val="18"/>
                <w:szCs w:val="18"/>
              </w:rPr>
            </w:pPr>
            <w:r>
              <w:rPr>
                <w:rFonts w:ascii="Times New Roman" w:hAnsi="Times New Roman"/>
                <w:sz w:val="18"/>
                <w:szCs w:val="18"/>
              </w:rPr>
              <w:t>非甲烷总烃浓度、气象数据等</w:t>
            </w:r>
          </w:p>
        </w:tc>
        <w:tc>
          <w:tcPr>
            <w:tcW w:w="404" w:type="pct"/>
            <w:vAlign w:val="center"/>
          </w:tcPr>
          <w:p w14:paraId="012DC3BA">
            <w:pPr>
              <w:jc w:val="center"/>
              <w:rPr>
                <w:rFonts w:ascii="Times New Roman" w:hAnsi="Times New Roman"/>
                <w:sz w:val="18"/>
                <w:szCs w:val="18"/>
              </w:rPr>
            </w:pPr>
            <w:r>
              <w:rPr>
                <w:rFonts w:ascii="Times New Roman" w:hAnsi="Times New Roman"/>
                <w:sz w:val="18"/>
                <w:szCs w:val="18"/>
              </w:rPr>
              <w:t>1次/年，非连续采样 至少3个样</w:t>
            </w:r>
          </w:p>
        </w:tc>
      </w:tr>
      <w:bookmarkEnd w:id="9"/>
    </w:tbl>
    <w:p w14:paraId="4547289D">
      <w:pPr>
        <w:pStyle w:val="41"/>
        <w:ind w:firstLine="420"/>
        <w:rPr>
          <w:snapToGrid w:val="0"/>
        </w:rPr>
        <w:sectPr>
          <w:pgSz w:w="16838" w:h="11906" w:orient="landscape"/>
          <w:pgMar w:top="1440" w:right="1418" w:bottom="1440" w:left="1418" w:header="851" w:footer="851" w:gutter="0"/>
          <w:cols w:space="720" w:num="1"/>
          <w:docGrid w:linePitch="312" w:charSpace="0"/>
        </w:sectPr>
      </w:pPr>
    </w:p>
    <w:tbl>
      <w:tblPr>
        <w:tblStyle w:val="2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46"/>
        <w:gridCol w:w="8840"/>
      </w:tblGrid>
      <w:tr w14:paraId="3369C4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l2br w:val="nil"/>
              <w:tr2bl w:val="nil"/>
            </w:tcBorders>
            <w:vAlign w:val="center"/>
          </w:tcPr>
          <w:p w14:paraId="669F61B6">
            <w:pPr>
              <w:adjustRightInd w:val="0"/>
              <w:snapToGrid w:val="0"/>
              <w:jc w:val="center"/>
              <w:rPr>
                <w:sz w:val="24"/>
              </w:rPr>
            </w:pPr>
            <w:r>
              <w:rPr>
                <w:sz w:val="24"/>
              </w:rPr>
              <w:t>运营</w:t>
            </w:r>
          </w:p>
          <w:p w14:paraId="0B74626E">
            <w:pPr>
              <w:adjustRightInd w:val="0"/>
              <w:snapToGrid w:val="0"/>
              <w:jc w:val="center"/>
              <w:rPr>
                <w:sz w:val="24"/>
              </w:rPr>
            </w:pPr>
            <w:r>
              <w:rPr>
                <w:sz w:val="24"/>
              </w:rPr>
              <w:t>期环</w:t>
            </w:r>
          </w:p>
          <w:p w14:paraId="0AF0CB3D">
            <w:pPr>
              <w:adjustRightInd w:val="0"/>
              <w:snapToGrid w:val="0"/>
              <w:jc w:val="center"/>
              <w:rPr>
                <w:sz w:val="24"/>
              </w:rPr>
            </w:pPr>
            <w:r>
              <w:rPr>
                <w:sz w:val="24"/>
              </w:rPr>
              <w:t>境影</w:t>
            </w:r>
          </w:p>
          <w:p w14:paraId="52B19C41">
            <w:pPr>
              <w:adjustRightInd w:val="0"/>
              <w:snapToGrid w:val="0"/>
              <w:jc w:val="center"/>
              <w:rPr>
                <w:sz w:val="24"/>
              </w:rPr>
            </w:pPr>
            <w:r>
              <w:rPr>
                <w:sz w:val="24"/>
              </w:rPr>
              <w:t>响和</w:t>
            </w:r>
          </w:p>
          <w:p w14:paraId="02C45331">
            <w:pPr>
              <w:adjustRightInd w:val="0"/>
              <w:snapToGrid w:val="0"/>
              <w:jc w:val="center"/>
              <w:rPr>
                <w:sz w:val="24"/>
              </w:rPr>
            </w:pPr>
            <w:r>
              <w:rPr>
                <w:sz w:val="24"/>
              </w:rPr>
              <w:t>保护</w:t>
            </w:r>
          </w:p>
          <w:p w14:paraId="40B82FA8">
            <w:pPr>
              <w:pStyle w:val="2"/>
              <w:rPr>
                <w:color w:val="0000FF"/>
              </w:rPr>
            </w:pPr>
            <w:r>
              <w:rPr>
                <w:color w:val="auto"/>
              </w:rPr>
              <w:t xml:space="preserve">措施  </w:t>
            </w:r>
          </w:p>
        </w:tc>
        <w:tc>
          <w:tcPr>
            <w:tcW w:w="8385" w:type="dxa"/>
            <w:tcBorders>
              <w:tl2br w:val="nil"/>
              <w:tr2bl w:val="nil"/>
            </w:tcBorders>
            <w:vAlign w:val="center"/>
          </w:tcPr>
          <w:p w14:paraId="70950741">
            <w:pPr>
              <w:spacing w:line="360" w:lineRule="auto"/>
              <w:ind w:firstLine="482" w:firstLineChars="200"/>
              <w:rPr>
                <w:b/>
                <w:bCs/>
                <w:sz w:val="24"/>
              </w:rPr>
            </w:pPr>
            <w:r>
              <w:rPr>
                <w:b/>
                <w:bCs/>
                <w:sz w:val="24"/>
              </w:rPr>
              <w:t>3、废气排放达标性分析</w:t>
            </w:r>
          </w:p>
          <w:p w14:paraId="7D7CBC05">
            <w:pPr>
              <w:spacing w:line="360" w:lineRule="auto"/>
              <w:ind w:firstLine="480" w:firstLineChars="200"/>
              <w:rPr>
                <w:rFonts w:hint="eastAsia" w:eastAsia="宋体"/>
                <w:sz w:val="24"/>
                <w:lang w:val="en-US" w:eastAsia="zh-CN"/>
              </w:rPr>
            </w:pPr>
            <w:r>
              <w:rPr>
                <w:sz w:val="24"/>
              </w:rPr>
              <w:t>本项目注塑产生的非甲烷总烃</w:t>
            </w:r>
            <w:r>
              <w:rPr>
                <w:rFonts w:hint="eastAsia"/>
                <w:sz w:val="24"/>
                <w:lang w:val="en-US" w:eastAsia="zh-CN"/>
              </w:rPr>
              <w:t>经集气罩收集并由二级活性炭吸附处理后通过15米高排气筒有组织排放，</w:t>
            </w:r>
            <w:r>
              <w:rPr>
                <w:sz w:val="24"/>
              </w:rPr>
              <w:t>排放</w:t>
            </w:r>
            <w:r>
              <w:rPr>
                <w:rFonts w:hint="eastAsia"/>
                <w:sz w:val="24"/>
                <w:lang w:val="en-US" w:eastAsia="zh-CN"/>
              </w:rPr>
              <w:t>废气非甲烷总烃可</w:t>
            </w:r>
            <w:r>
              <w:rPr>
                <w:sz w:val="24"/>
              </w:rPr>
              <w:t>满足</w:t>
            </w:r>
            <w:r>
              <w:rPr>
                <w:rFonts w:hint="eastAsia"/>
                <w:sz w:val="24"/>
              </w:rPr>
              <w:t>安徽省《固定源挥发性有机物综合排放标准 第6部分 其他行业》（DB34/4812.6-2024）</w:t>
            </w:r>
            <w:r>
              <w:rPr>
                <w:rFonts w:hint="eastAsia"/>
                <w:sz w:val="24"/>
                <w:lang w:val="en-US" w:eastAsia="zh-CN"/>
              </w:rPr>
              <w:t>和</w:t>
            </w:r>
            <w:r>
              <w:rPr>
                <w:sz w:val="24"/>
              </w:rPr>
              <w:t>《合成树脂工业污染物排放标准》（GB31572-2015）表9企业边界大气污染物浓度限值要求</w:t>
            </w:r>
            <w:r>
              <w:rPr>
                <w:rFonts w:hint="eastAsia"/>
                <w:sz w:val="24"/>
                <w:lang w:eastAsia="zh-CN"/>
              </w:rPr>
              <w:t>。</w:t>
            </w:r>
            <w:r>
              <w:rPr>
                <w:rFonts w:hint="eastAsia"/>
                <w:sz w:val="24"/>
                <w:lang w:val="en-US" w:eastAsia="zh-CN"/>
              </w:rPr>
              <w:t>破碎工序产生的颗粒物经集气罩收集并由布袋除尘器处理后通过15米高排气筒有组织排放，排放废气颗粒物可满足《合成树脂工业污染物排放标准》（GB 31572-2015）和</w:t>
            </w:r>
            <w:r>
              <w:rPr>
                <w:sz w:val="24"/>
              </w:rPr>
              <w:t>《合成树脂工业污染物排放标准》（GB31572-2015）表9企业边界大气污染物浓度限值要求</w:t>
            </w:r>
            <w:r>
              <w:rPr>
                <w:rFonts w:hint="eastAsia"/>
                <w:sz w:val="24"/>
                <w:lang w:eastAsia="zh-CN"/>
              </w:rPr>
              <w:t>。</w:t>
            </w:r>
          </w:p>
          <w:p w14:paraId="20444705">
            <w:pPr>
              <w:spacing w:line="360" w:lineRule="auto"/>
              <w:ind w:firstLine="480" w:firstLineChars="200"/>
              <w:rPr>
                <w:sz w:val="24"/>
              </w:rPr>
            </w:pPr>
            <w:r>
              <w:rPr>
                <w:rFonts w:hint="eastAsia"/>
                <w:sz w:val="24"/>
                <w:lang w:val="en-US" w:eastAsia="zh-CN"/>
              </w:rPr>
              <w:t>本项目金属切割粉尘经车间沉降和阻隔、焊接烟尘经移动式焊接烟尘净化器处理后，废气车间内无组织排放，厂界颗粒物可满足</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大气污染物综合排放标准</w:t>
            </w:r>
            <w:r>
              <w:rPr>
                <w:rFonts w:hint="eastAsia" w:ascii="Times New Roman" w:hAnsi="Times New Roman" w:eastAsia="宋体" w:cs="Times New Roman"/>
                <w:sz w:val="24"/>
                <w:lang w:eastAsia="zh-CN"/>
              </w:rPr>
              <w:t>》（GB 16297-1996）</w:t>
            </w:r>
            <w:r>
              <w:rPr>
                <w:rFonts w:hint="eastAsia" w:ascii="Times New Roman" w:hAnsi="Times New Roman" w:eastAsia="宋体" w:cs="Times New Roman"/>
                <w:sz w:val="24"/>
                <w:lang w:val="en-US" w:eastAsia="zh-CN"/>
              </w:rPr>
              <w:t>有关限值，</w:t>
            </w:r>
            <w:r>
              <w:rPr>
                <w:sz w:val="24"/>
              </w:rPr>
              <w:t>对区域环境质量影响较小。</w:t>
            </w:r>
          </w:p>
          <w:p w14:paraId="2E7A9615">
            <w:pPr>
              <w:spacing w:line="360" w:lineRule="auto"/>
              <w:ind w:firstLine="482" w:firstLineChars="200"/>
              <w:rPr>
                <w:b/>
                <w:bCs/>
                <w:sz w:val="24"/>
              </w:rPr>
            </w:pPr>
            <w:r>
              <w:rPr>
                <w:b/>
                <w:bCs/>
                <w:sz w:val="24"/>
              </w:rPr>
              <w:t xml:space="preserve">4、污染防治可行技术分析 </w:t>
            </w:r>
          </w:p>
          <w:p w14:paraId="46ACD732">
            <w:pPr>
              <w:spacing w:line="360" w:lineRule="auto"/>
              <w:ind w:firstLine="482"/>
              <w:rPr>
                <w:rFonts w:hint="default" w:eastAsia="宋体"/>
                <w:kern w:val="0"/>
                <w:sz w:val="24"/>
                <w:szCs w:val="28"/>
                <w:lang w:val="en-US" w:eastAsia="zh-CN"/>
              </w:rPr>
            </w:pPr>
            <w:r>
              <w:rPr>
                <w:kern w:val="0"/>
                <w:sz w:val="24"/>
                <w:szCs w:val="28"/>
              </w:rPr>
              <w:t>根据《排污许可证申请与核发技术规范 总则》（HJ 942-2018）、《排污许可证申请与核发技术规范 橡胶和塑料制品工业》（HJ1122—2020）中废气治理可行技术，挥发性有机物治理可行技术为“喷淋；吸附；吸附浓缩+热力燃烧/催化燃烧”。</w:t>
            </w:r>
          </w:p>
          <w:p w14:paraId="2A9FA723">
            <w:pPr>
              <w:spacing w:line="360" w:lineRule="auto"/>
              <w:ind w:firstLine="482"/>
              <w:rPr>
                <w:kern w:val="0"/>
                <w:sz w:val="24"/>
                <w:szCs w:val="28"/>
              </w:rPr>
            </w:pPr>
            <w:r>
              <w:rPr>
                <w:kern w:val="0"/>
                <w:sz w:val="24"/>
                <w:szCs w:val="28"/>
              </w:rPr>
              <w:t>本项目注塑废气采用二级活性炭吸附处理，符合《排污许可证申请与核发技术规范 总则》（HJ 942-2018）、《排污许可证申请与核发技术规范 橡胶和塑料制品工业》（HJ1122—2020）中废气治理可行技术。</w:t>
            </w:r>
          </w:p>
          <w:p w14:paraId="5ADA54E8">
            <w:pPr>
              <w:spacing w:line="360" w:lineRule="auto"/>
              <w:ind w:firstLine="482"/>
              <w:rPr>
                <w:rFonts w:hint="default"/>
                <w:kern w:val="0"/>
                <w:sz w:val="24"/>
                <w:szCs w:val="28"/>
                <w:lang w:val="en-US" w:eastAsia="zh-CN"/>
              </w:rPr>
            </w:pPr>
            <w:r>
              <w:rPr>
                <w:rFonts w:hint="eastAsia"/>
                <w:kern w:val="0"/>
                <w:sz w:val="24"/>
                <w:szCs w:val="28"/>
                <w:lang w:val="en-US" w:eastAsia="zh-CN"/>
              </w:rPr>
              <w:t>根据《排放源统计调查产排污核算方法和系数手册》中的“42废弃资源综合利用行业系数手册”塑料破碎治理技术名称采用袋式除尘，末端治理技术平均去除效率95%，本项目破碎废气采用布袋除尘器处理，预测的排放浓度较低，符合相关要求。</w:t>
            </w:r>
          </w:p>
          <w:p w14:paraId="06573454">
            <w:pPr>
              <w:spacing w:line="360" w:lineRule="auto"/>
              <w:ind w:firstLine="482" w:firstLineChars="200"/>
              <w:rPr>
                <w:b/>
                <w:bCs/>
                <w:sz w:val="24"/>
              </w:rPr>
            </w:pPr>
            <w:r>
              <w:rPr>
                <w:b/>
                <w:bCs/>
                <w:sz w:val="24"/>
              </w:rPr>
              <w:t>5、废气环境影响分析</w:t>
            </w:r>
          </w:p>
          <w:p w14:paraId="01115232">
            <w:pPr>
              <w:spacing w:line="360" w:lineRule="auto"/>
              <w:ind w:firstLine="480" w:firstLineChars="200"/>
              <w:rPr>
                <w:sz w:val="24"/>
              </w:rPr>
            </w:pPr>
            <w:r>
              <w:rPr>
                <w:sz w:val="24"/>
              </w:rPr>
              <w:t>根据《202</w:t>
            </w:r>
            <w:r>
              <w:rPr>
                <w:rFonts w:hint="eastAsia"/>
                <w:sz w:val="24"/>
                <w:lang w:val="en-US" w:eastAsia="zh-CN"/>
              </w:rPr>
              <w:t>3</w:t>
            </w:r>
            <w:r>
              <w:rPr>
                <w:sz w:val="24"/>
              </w:rPr>
              <w:t>年宿州市环境质量公报》，项目所在地为大气环境空气质量不达标区。目前，宿州市生态环境局积极开展大气污染物防治工作，为强化环境空气质量目标管理，进一步落实各县（市、区）人民政府对本辖区环境空气质量的属地责任，改善环境空气质量，结合实际，在全省率先出台了环境空气质量生态补偿暂行办法，宿州市从产业结构调整、能源结构调整、运输结构调整、用地结构调整、工业炉窑专项整治、VOCs专项整治、区域大气污染联防联控等方面提出各项整改措施，以改善环境质量。根据大气环境质量达标规划，通过进一步控制工业废气治理、扬尘污染等措施，大气环境质量状况可以得到进一步改善。</w:t>
            </w:r>
          </w:p>
          <w:p w14:paraId="6749A96C">
            <w:pPr>
              <w:spacing w:line="360" w:lineRule="auto"/>
              <w:ind w:firstLine="480" w:firstLineChars="200"/>
              <w:rPr>
                <w:sz w:val="24"/>
              </w:rPr>
            </w:pPr>
            <w:r>
              <w:rPr>
                <w:sz w:val="24"/>
              </w:rPr>
              <w:t>根据上文废气拟采取的措施可行性分析，项目采取的废气排放满足</w:t>
            </w:r>
            <w:r>
              <w:rPr>
                <w:rFonts w:hint="eastAsia"/>
                <w:sz w:val="24"/>
              </w:rPr>
              <w:t>安徽省《固定源挥发性有机物综合排放标准 第6部分 其他行业》（DB34/4812.6-2024）</w:t>
            </w:r>
            <w:r>
              <w:rPr>
                <w:rFonts w:hint="eastAsia"/>
                <w:sz w:val="24"/>
                <w:lang w:val="en-US" w:eastAsia="zh-CN"/>
              </w:rPr>
              <w:t>和</w:t>
            </w:r>
            <w:r>
              <w:rPr>
                <w:sz w:val="24"/>
              </w:rPr>
              <w:t>《合成树脂工业污染物排放标准》（GB31572-2015）</w:t>
            </w:r>
            <w:r>
              <w:rPr>
                <w:rFonts w:hint="eastAsia"/>
                <w:sz w:val="24"/>
                <w:lang w:val="en-US" w:eastAsia="zh-CN"/>
              </w:rPr>
              <w:t>相关</w:t>
            </w:r>
            <w:r>
              <w:rPr>
                <w:sz w:val="24"/>
              </w:rPr>
              <w:t>浓度限值要求，厂区内无组织NMHC排放满足《挥发性有机物无组织排放控制标准》（GB 37822-2019）中特别排放限值要求，对区域环境质量影响较小。</w:t>
            </w:r>
          </w:p>
          <w:p w14:paraId="0FF57545">
            <w:pPr>
              <w:adjustRightInd w:val="0"/>
              <w:snapToGrid w:val="0"/>
              <w:spacing w:line="360" w:lineRule="auto"/>
              <w:rPr>
                <w:b/>
                <w:bCs/>
                <w:color w:val="FF0000"/>
                <w:sz w:val="24"/>
              </w:rPr>
            </w:pPr>
            <w:r>
              <w:rPr>
                <w:b/>
                <w:bCs/>
                <w:sz w:val="24"/>
              </w:rPr>
              <w:t>二、废水排放及治理</w:t>
            </w:r>
          </w:p>
          <w:p w14:paraId="49AC7CA7">
            <w:pPr>
              <w:pStyle w:val="55"/>
              <w:spacing w:line="360" w:lineRule="auto"/>
              <w:ind w:left="420" w:leftChars="200" w:firstLine="0" w:firstLineChars="0"/>
              <w:rPr>
                <w:b/>
                <w:bCs/>
              </w:rPr>
            </w:pPr>
            <w:r>
              <w:rPr>
                <w:b/>
                <w:bCs/>
              </w:rPr>
              <w:t>1、污水产生排放情况</w:t>
            </w:r>
          </w:p>
          <w:p w14:paraId="3A83C34D">
            <w:pPr>
              <w:widowControl/>
              <w:spacing w:line="360" w:lineRule="auto"/>
              <w:ind w:firstLine="480" w:firstLineChars="200"/>
              <w:rPr>
                <w:color w:val="000000"/>
                <w:sz w:val="24"/>
              </w:rPr>
            </w:pPr>
            <w:r>
              <w:rPr>
                <w:rFonts w:hint="eastAsia" w:ascii="宋体" w:hAnsi="宋体" w:cs="宋体"/>
                <w:color w:val="000000"/>
                <w:sz w:val="24"/>
              </w:rPr>
              <w:t>①</w:t>
            </w:r>
            <w:r>
              <w:rPr>
                <w:color w:val="000000"/>
                <w:sz w:val="24"/>
              </w:rPr>
              <w:t>职工生活用水</w:t>
            </w:r>
          </w:p>
          <w:p w14:paraId="6A8AC443">
            <w:pPr>
              <w:spacing w:line="360" w:lineRule="auto"/>
              <w:ind w:firstLine="480" w:firstLineChars="200"/>
              <w:jc w:val="left"/>
              <w:rPr>
                <w:sz w:val="24"/>
              </w:rPr>
            </w:pPr>
            <w:r>
              <w:rPr>
                <w:sz w:val="24"/>
              </w:rPr>
              <w:t>项目注塑冷却水循环使用不外排。生活污水主要来源于员工日常生活办公、厕所冲洗水等。项目有员工30人，根据《安徽省行业用水定额》（DB34/T 679-2019），用水量按60L/d·人算，一年按300天计算，则生活总用水量为1.8t/d（540t/a）。项目生活污水排污系数按0.8计算，则生活污水排放量为1.44t/a（432t/a）。</w:t>
            </w:r>
            <w:r>
              <w:rPr>
                <w:bCs/>
                <w:sz w:val="24"/>
              </w:rPr>
              <w:t>该部分废水依托厂房已建化粪池预处理后经吸粪车定期抽运。</w:t>
            </w:r>
          </w:p>
          <w:p w14:paraId="0C235C21">
            <w:pPr>
              <w:spacing w:line="360" w:lineRule="auto"/>
              <w:ind w:firstLine="480" w:firstLineChars="200"/>
              <w:jc w:val="left"/>
              <w:rPr>
                <w:sz w:val="24"/>
              </w:rPr>
            </w:pPr>
            <w:r>
              <w:rPr>
                <w:rFonts w:hint="eastAsia" w:ascii="宋体" w:hAnsi="宋体" w:cs="宋体"/>
                <w:sz w:val="24"/>
              </w:rPr>
              <w:t>②</w:t>
            </w:r>
            <w:r>
              <w:rPr>
                <w:sz w:val="24"/>
              </w:rPr>
              <w:t>循环冷却补充水</w:t>
            </w:r>
          </w:p>
          <w:p w14:paraId="43922804">
            <w:pPr>
              <w:spacing w:line="360" w:lineRule="auto"/>
              <w:ind w:firstLine="480" w:firstLineChars="200"/>
              <w:jc w:val="left"/>
              <w:rPr>
                <w:sz w:val="24"/>
              </w:rPr>
            </w:pPr>
            <w:r>
              <w:rPr>
                <w:sz w:val="24"/>
              </w:rPr>
              <w:t>项目冷却用水循环使用，被消耗部分使用新鲜水补充，循环冷却水蒸发量为0.2m</w:t>
            </w:r>
            <w:r>
              <w:rPr>
                <w:sz w:val="24"/>
                <w:vertAlign w:val="superscript"/>
              </w:rPr>
              <w:t>3</w:t>
            </w:r>
            <w:r>
              <w:rPr>
                <w:sz w:val="24"/>
              </w:rPr>
              <w:t>/d，需定期补充消耗量，新鲜用水补充量约为60m</w:t>
            </w:r>
            <w:r>
              <w:rPr>
                <w:sz w:val="24"/>
                <w:vertAlign w:val="superscript"/>
              </w:rPr>
              <w:t>3</w:t>
            </w:r>
            <w:r>
              <w:rPr>
                <w:sz w:val="24"/>
              </w:rPr>
              <w:t>/a。则项目冷却水补充量为0.2m</w:t>
            </w:r>
            <w:r>
              <w:rPr>
                <w:sz w:val="24"/>
                <w:vertAlign w:val="superscript"/>
              </w:rPr>
              <w:t>3</w:t>
            </w:r>
            <w:r>
              <w:rPr>
                <w:sz w:val="24"/>
              </w:rPr>
              <w:t>/d（60m</w:t>
            </w:r>
            <w:r>
              <w:rPr>
                <w:sz w:val="24"/>
                <w:vertAlign w:val="superscript"/>
              </w:rPr>
              <w:t>3</w:t>
            </w:r>
            <w:r>
              <w:rPr>
                <w:sz w:val="24"/>
              </w:rPr>
              <w:t>/a）。</w:t>
            </w:r>
          </w:p>
          <w:p w14:paraId="2758939B">
            <w:pPr>
              <w:pStyle w:val="39"/>
              <w:spacing w:line="360" w:lineRule="auto"/>
              <w:ind w:firstLineChars="0"/>
              <w:rPr>
                <w:rFonts w:ascii="Times New Roman" w:hAnsi="Times New Roman" w:eastAsia="宋体"/>
              </w:rPr>
            </w:pPr>
          </w:p>
          <w:p w14:paraId="081B64E2">
            <w:pPr>
              <w:pStyle w:val="39"/>
              <w:spacing w:line="360" w:lineRule="auto"/>
              <w:ind w:firstLineChars="0"/>
              <w:rPr>
                <w:rFonts w:ascii="Times New Roman" w:hAnsi="Times New Roman" w:eastAsia="宋体"/>
              </w:rPr>
            </w:pPr>
            <w:r>
              <w:rPr>
                <w:rFonts w:ascii="Times New Roman" w:hAnsi="Times New Roman" w:eastAsia="宋体"/>
              </w:rPr>
              <w:t>项目运营期水平衡图见图4-2。</w:t>
            </w:r>
          </w:p>
          <w:p w14:paraId="564A2456">
            <w:pPr>
              <w:jc w:val="center"/>
            </w:pPr>
          </w:p>
          <w:p w14:paraId="3551C23F">
            <w:pPr>
              <w:pStyle w:val="73"/>
              <w:spacing w:line="360" w:lineRule="auto"/>
              <w:ind w:firstLine="0" w:firstLineChars="0"/>
              <w:jc w:val="center"/>
              <w:rPr>
                <w:rFonts w:eastAsia="宋体"/>
                <w:b/>
                <w:bCs/>
                <w:sz w:val="24"/>
              </w:rPr>
            </w:pPr>
            <w:r>
              <w:rPr>
                <w:rFonts w:eastAsia="宋体"/>
              </w:rPr>
              <mc:AlternateContent>
                <mc:Choice Requires="wpc">
                  <w:drawing>
                    <wp:inline distT="0" distB="0" distL="0" distR="0">
                      <wp:extent cx="5716905" cy="2157730"/>
                      <wp:effectExtent l="0" t="0" r="0" b="13970"/>
                      <wp:docPr id="57" name="画布 23"/>
                      <wp:cNvGraphicFramePr/>
                      <a:graphic xmlns:a="http://schemas.openxmlformats.org/drawingml/2006/main">
                        <a:graphicData uri="http://schemas.microsoft.com/office/word/2010/wordprocessingCanvas">
                          <wpc:wpc>
                            <wpc:bg>
                              <a:noFill/>
                            </wpc:bg>
                            <wpc:whole>
                              <a:ln>
                                <a:noFill/>
                              </a:ln>
                            </wpc:whole>
                            <wps:wsp>
                              <wps:cNvPr id="3" name="Line 17"/>
                              <wps:cNvCnPr/>
                              <wps:spPr bwMode="auto">
                                <a:xfrm>
                                  <a:off x="833120" y="920323"/>
                                  <a:ext cx="530217" cy="0"/>
                                </a:xfrm>
                                <a:prstGeom prst="line">
                                  <a:avLst/>
                                </a:prstGeom>
                                <a:noFill/>
                                <a:ln w="12700" cmpd="sng">
                                  <a:solidFill>
                                    <a:srgbClr val="000000"/>
                                  </a:solidFill>
                                  <a:round/>
                                  <a:tailEnd type="stealth" w="med" len="lg"/>
                                </a:ln>
                                <a:effectLst/>
                              </wps:spPr>
                              <wps:bodyPr/>
                            </wps:wsp>
                            <wps:wsp>
                              <wps:cNvPr id="13" name="Text Box 18"/>
                              <wps:cNvSpPr txBox="1">
                                <a:spLocks noChangeArrowheads="1"/>
                              </wps:cNvSpPr>
                              <wps:spPr bwMode="auto">
                                <a:xfrm>
                                  <a:off x="390226" y="117906"/>
                                  <a:ext cx="993512" cy="296548"/>
                                </a:xfrm>
                                <a:prstGeom prst="rect">
                                  <a:avLst/>
                                </a:prstGeom>
                                <a:noFill/>
                                <a:ln>
                                  <a:noFill/>
                                </a:ln>
                                <a:effectLst/>
                              </wps:spPr>
                              <wps:txbx>
                                <w:txbxContent>
                                  <w:p w14:paraId="711BAC5B">
                                    <w:pPr>
                                      <w:jc w:val="center"/>
                                      <w:rPr>
                                        <w:szCs w:val="21"/>
                                      </w:rPr>
                                    </w:pPr>
                                    <w:r>
                                      <w:rPr>
                                        <w:szCs w:val="21"/>
                                      </w:rPr>
                                      <w:t>新鲜水600</w:t>
                                    </w:r>
                                  </w:p>
                                </w:txbxContent>
                              </wps:txbx>
                              <wps:bodyPr rot="0" vert="horz" wrap="square" lIns="91440" tIns="45720" rIns="91440" bIns="45720" anchor="t" anchorCtr="0" upright="1">
                                <a:noAutofit/>
                              </wps:bodyPr>
                            </wps:wsp>
                            <wps:wsp>
                              <wps:cNvPr id="15" name="Text Box 19"/>
                              <wps:cNvSpPr txBox="1">
                                <a:spLocks noChangeArrowheads="1"/>
                              </wps:cNvSpPr>
                              <wps:spPr bwMode="auto">
                                <a:xfrm>
                                  <a:off x="790602" y="740595"/>
                                  <a:ext cx="552415" cy="168927"/>
                                </a:xfrm>
                                <a:prstGeom prst="rect">
                                  <a:avLst/>
                                </a:prstGeom>
                                <a:noFill/>
                                <a:ln>
                                  <a:noFill/>
                                </a:ln>
                                <a:effectLst/>
                              </wps:spPr>
                              <wps:txbx>
                                <w:txbxContent>
                                  <w:p w14:paraId="75846380">
                                    <w:pPr>
                                      <w:jc w:val="center"/>
                                      <w:rPr>
                                        <w:szCs w:val="21"/>
                                      </w:rPr>
                                    </w:pPr>
                                    <w:r>
                                      <w:rPr>
                                        <w:szCs w:val="21"/>
                                      </w:rPr>
                                      <w:t>540</w:t>
                                    </w:r>
                                  </w:p>
                                </w:txbxContent>
                              </wps:txbx>
                              <wps:bodyPr rot="0" vert="horz" wrap="square" lIns="0" tIns="0" rIns="0" bIns="0" anchor="ctr" anchorCtr="0" upright="1">
                                <a:noAutofit/>
                              </wps:bodyPr>
                            </wps:wsp>
                            <wps:wsp>
                              <wps:cNvPr id="16" name="Text Box 34"/>
                              <wps:cNvSpPr txBox="1">
                                <a:spLocks noChangeArrowheads="1"/>
                              </wps:cNvSpPr>
                              <wps:spPr bwMode="auto">
                                <a:xfrm>
                                  <a:off x="1383738" y="753296"/>
                                  <a:ext cx="1068129" cy="290847"/>
                                </a:xfrm>
                                <a:prstGeom prst="rect">
                                  <a:avLst/>
                                </a:prstGeom>
                                <a:noFill/>
                                <a:ln w="9525" cmpd="sng">
                                  <a:solidFill>
                                    <a:srgbClr val="000000"/>
                                  </a:solidFill>
                                  <a:miter lim="800000"/>
                                </a:ln>
                                <a:effectLst/>
                              </wps:spPr>
                              <wps:txbx>
                                <w:txbxContent>
                                  <w:p w14:paraId="190BFADE">
                                    <w:pPr>
                                      <w:jc w:val="center"/>
                                      <w:rPr>
                                        <w:szCs w:val="21"/>
                                      </w:rPr>
                                    </w:pPr>
                                    <w:r>
                                      <w:rPr>
                                        <w:szCs w:val="21"/>
                                      </w:rPr>
                                      <w:t>生活用水</w:t>
                                    </w:r>
                                  </w:p>
                                </w:txbxContent>
                              </wps:txbx>
                              <wps:bodyPr rot="0" vert="horz" wrap="square" lIns="91440" tIns="45720" rIns="91440" bIns="45720" anchor="t" anchorCtr="0" upright="1">
                                <a:noAutofit/>
                              </wps:bodyPr>
                            </wps:wsp>
                            <wps:wsp>
                              <wps:cNvPr id="17" name="Freeform 41"/>
                              <wps:cNvSpPr>
                                <a:spLocks noChangeArrowheads="1"/>
                              </wps:cNvSpPr>
                              <wps:spPr bwMode="auto">
                                <a:xfrm>
                                  <a:off x="2007955" y="428144"/>
                                  <a:ext cx="335309" cy="327753"/>
                                </a:xfrm>
                                <a:custGeom>
                                  <a:avLst/>
                                  <a:gdLst>
                                    <a:gd name="T0" fmla="*/ 0 w 540"/>
                                    <a:gd name="T1" fmla="*/ 624 h 624"/>
                                    <a:gd name="T2" fmla="*/ 180 w 540"/>
                                    <a:gd name="T3" fmla="*/ 312 h 624"/>
                                    <a:gd name="T4" fmla="*/ 180 w 540"/>
                                    <a:gd name="T5" fmla="*/ 468 h 624"/>
                                    <a:gd name="T6" fmla="*/ 540 w 540"/>
                                    <a:gd name="T7" fmla="*/ 0 h 624"/>
                                  </a:gdLst>
                                  <a:ahLst/>
                                  <a:cxnLst>
                                    <a:cxn ang="0">
                                      <a:pos x="T0" y="T1"/>
                                    </a:cxn>
                                    <a:cxn ang="0">
                                      <a:pos x="T2" y="T3"/>
                                    </a:cxn>
                                    <a:cxn ang="0">
                                      <a:pos x="T4" y="T5"/>
                                    </a:cxn>
                                    <a:cxn ang="0">
                                      <a:pos x="T6" y="T7"/>
                                    </a:cxn>
                                  </a:cxnLst>
                                  <a:rect l="0" t="0" r="r" b="b"/>
                                  <a:pathLst>
                                    <a:path w="540" h="624">
                                      <a:moveTo>
                                        <a:pt x="0" y="624"/>
                                      </a:moveTo>
                                      <a:cubicBezTo>
                                        <a:pt x="75" y="481"/>
                                        <a:pt x="150" y="338"/>
                                        <a:pt x="180" y="312"/>
                                      </a:cubicBezTo>
                                      <a:cubicBezTo>
                                        <a:pt x="210" y="286"/>
                                        <a:pt x="120" y="520"/>
                                        <a:pt x="180" y="468"/>
                                      </a:cubicBezTo>
                                      <a:cubicBezTo>
                                        <a:pt x="240" y="416"/>
                                        <a:pt x="480" y="78"/>
                                        <a:pt x="540" y="0"/>
                                      </a:cubicBezTo>
                                    </a:path>
                                  </a:pathLst>
                                </a:custGeom>
                                <a:noFill/>
                                <a:ln w="9525" cmpd="sng">
                                  <a:solidFill>
                                    <a:srgbClr val="000000"/>
                                  </a:solidFill>
                                  <a:prstDash val="dash"/>
                                  <a:round/>
                                  <a:tailEnd type="stealth" w="med" len="lg"/>
                                </a:ln>
                                <a:effectLst/>
                              </wps:spPr>
                              <wps:bodyPr rot="0" vert="horz" wrap="square" lIns="91440" tIns="45720" rIns="91440" bIns="45720" anchor="t" anchorCtr="0" upright="1">
                                <a:noAutofit/>
                              </wps:bodyPr>
                            </wps:wsp>
                            <wps:wsp>
                              <wps:cNvPr id="18" name="Line 51"/>
                              <wps:cNvCnPr/>
                              <wps:spPr bwMode="auto">
                                <a:xfrm flipV="1">
                                  <a:off x="3918706" y="921624"/>
                                  <a:ext cx="360010" cy="600"/>
                                </a:xfrm>
                                <a:prstGeom prst="line">
                                  <a:avLst/>
                                </a:prstGeom>
                                <a:noFill/>
                                <a:ln w="9525" cmpd="sng">
                                  <a:solidFill>
                                    <a:srgbClr val="000000"/>
                                  </a:solidFill>
                                  <a:round/>
                                  <a:tailEnd type="stealth" w="med" len="lg"/>
                                </a:ln>
                                <a:effectLst/>
                              </wps:spPr>
                              <wps:bodyPr/>
                            </wps:wsp>
                            <wps:wsp>
                              <wps:cNvPr id="19" name="Text Box 55"/>
                              <wps:cNvSpPr txBox="1">
                                <a:spLocks noChangeArrowheads="1"/>
                              </wps:cNvSpPr>
                              <wps:spPr bwMode="auto">
                                <a:xfrm>
                                  <a:off x="4186563" y="786002"/>
                                  <a:ext cx="1530342" cy="681410"/>
                                </a:xfrm>
                                <a:prstGeom prst="rect">
                                  <a:avLst/>
                                </a:prstGeom>
                                <a:noFill/>
                                <a:ln>
                                  <a:noFill/>
                                </a:ln>
                                <a:effectLst/>
                              </wps:spPr>
                              <wps:txbx>
                                <w:txbxContent>
                                  <w:p w14:paraId="507959CB">
                                    <w:r>
                                      <w:rPr>
                                        <w:rFonts w:hint="eastAsia"/>
                                      </w:rPr>
                                      <w:t>吸粪车定期抽运</w:t>
                                    </w:r>
                                  </w:p>
                                  <w:p w14:paraId="547A0BB6">
                                    <w:pPr>
                                      <w:rPr>
                                        <w:szCs w:val="21"/>
                                      </w:rPr>
                                    </w:pPr>
                                  </w:p>
                                </w:txbxContent>
                              </wps:txbx>
                              <wps:bodyPr rot="0" vert="horz" wrap="square" lIns="91440" tIns="45720" rIns="91440" bIns="45720" anchor="t" anchorCtr="0" upright="1">
                                <a:noAutofit/>
                              </wps:bodyPr>
                            </wps:wsp>
                            <wps:wsp>
                              <wps:cNvPr id="20" name="矩形 3287"/>
                              <wps:cNvSpPr>
                                <a:spLocks noChangeArrowheads="1"/>
                              </wps:cNvSpPr>
                              <wps:spPr bwMode="auto">
                                <a:xfrm>
                                  <a:off x="2776275" y="760297"/>
                                  <a:ext cx="1145531" cy="323852"/>
                                </a:xfrm>
                                <a:prstGeom prst="rect">
                                  <a:avLst/>
                                </a:prstGeom>
                                <a:noFill/>
                                <a:ln w="9525" cmpd="sng">
                                  <a:solidFill>
                                    <a:srgbClr val="000000"/>
                                  </a:solidFill>
                                  <a:miter lim="800000"/>
                                </a:ln>
                                <a:effectLst/>
                              </wps:spPr>
                              <wps:txbx>
                                <w:txbxContent>
                                  <w:p w14:paraId="1210DA81">
                                    <w:pPr>
                                      <w:ind w:firstLine="105" w:firstLineChars="50"/>
                                      <w:jc w:val="center"/>
                                      <w:rPr>
                                        <w:szCs w:val="21"/>
                                      </w:rPr>
                                    </w:pPr>
                                    <w:r>
                                      <w:rPr>
                                        <w:rFonts w:hint="eastAsia"/>
                                        <w:szCs w:val="21"/>
                                      </w:rPr>
                                      <w:t>化粪池</w:t>
                                    </w:r>
                                  </w:p>
                                </w:txbxContent>
                              </wps:txbx>
                              <wps:bodyPr rot="0" vert="horz" wrap="square" lIns="91440" tIns="45720" rIns="91440" bIns="45720" anchor="t" anchorCtr="0" upright="1">
                                <a:noAutofit/>
                              </wps:bodyPr>
                            </wps:wsp>
                            <wps:wsp>
                              <wps:cNvPr id="21" name="Line 51"/>
                              <wps:cNvCnPr/>
                              <wps:spPr bwMode="auto">
                                <a:xfrm flipV="1">
                                  <a:off x="2444766" y="914022"/>
                                  <a:ext cx="355610" cy="0"/>
                                </a:xfrm>
                                <a:prstGeom prst="line">
                                  <a:avLst/>
                                </a:prstGeom>
                                <a:noFill/>
                                <a:ln w="9525" cmpd="sng">
                                  <a:solidFill>
                                    <a:srgbClr val="000000"/>
                                  </a:solidFill>
                                  <a:round/>
                                  <a:tailEnd type="stealth" w="med" len="lg"/>
                                </a:ln>
                                <a:effectLst/>
                              </wps:spPr>
                              <wps:bodyPr/>
                            </wps:wsp>
                            <wps:wsp>
                              <wps:cNvPr id="31" name="Text Box 27"/>
                              <wps:cNvSpPr txBox="1">
                                <a:spLocks noChangeArrowheads="1"/>
                              </wps:cNvSpPr>
                              <wps:spPr bwMode="auto">
                                <a:xfrm>
                                  <a:off x="2115857" y="204008"/>
                                  <a:ext cx="609617" cy="203233"/>
                                </a:xfrm>
                                <a:prstGeom prst="rect">
                                  <a:avLst/>
                                </a:prstGeom>
                                <a:noFill/>
                                <a:ln>
                                  <a:noFill/>
                                </a:ln>
                                <a:effectLst/>
                              </wps:spPr>
                              <wps:txbx>
                                <w:txbxContent>
                                  <w:p w14:paraId="7E6D1E03">
                                    <w:pPr>
                                      <w:jc w:val="center"/>
                                      <w:rPr>
                                        <w:szCs w:val="21"/>
                                      </w:rPr>
                                    </w:pPr>
                                    <w:r>
                                      <w:rPr>
                                        <w:szCs w:val="21"/>
                                      </w:rPr>
                                      <w:t>108</w:t>
                                    </w:r>
                                  </w:p>
                                </w:txbxContent>
                              </wps:txbx>
                              <wps:bodyPr rot="0" vert="horz" wrap="square" lIns="0" tIns="0" rIns="0" bIns="0" anchor="ctr" anchorCtr="0" upright="1">
                                <a:noAutofit/>
                              </wps:bodyPr>
                            </wps:wsp>
                            <wps:wsp>
                              <wps:cNvPr id="33" name="Text Box 19"/>
                              <wps:cNvSpPr txBox="1">
                                <a:spLocks noChangeArrowheads="1"/>
                              </wps:cNvSpPr>
                              <wps:spPr bwMode="auto">
                                <a:xfrm>
                                  <a:off x="2359664" y="575468"/>
                                  <a:ext cx="546115" cy="165127"/>
                                </a:xfrm>
                                <a:prstGeom prst="rect">
                                  <a:avLst/>
                                </a:prstGeom>
                                <a:noFill/>
                                <a:ln>
                                  <a:noFill/>
                                </a:ln>
                                <a:effectLst/>
                              </wps:spPr>
                              <wps:txbx>
                                <w:txbxContent>
                                  <w:p w14:paraId="24AB4F4D">
                                    <w:pPr>
                                      <w:jc w:val="center"/>
                                      <w:rPr>
                                        <w:szCs w:val="21"/>
                                      </w:rPr>
                                    </w:pPr>
                                    <w:r>
                                      <w:rPr>
                                        <w:szCs w:val="21"/>
                                      </w:rPr>
                                      <w:t>432</w:t>
                                    </w:r>
                                  </w:p>
                                </w:txbxContent>
                              </wps:txbx>
                              <wps:bodyPr rot="0" vert="horz" wrap="square" lIns="0" tIns="0" rIns="0" bIns="0" anchor="ctr" anchorCtr="0" upright="1">
                                <a:noAutofit/>
                              </wps:bodyPr>
                            </wps:wsp>
                            <wps:wsp>
                              <wps:cNvPr id="47" name="Text Box 34"/>
                              <wps:cNvSpPr txBox="1">
                                <a:spLocks noChangeArrowheads="1"/>
                              </wps:cNvSpPr>
                              <wps:spPr bwMode="auto">
                                <a:xfrm>
                                  <a:off x="1383738" y="1596576"/>
                                  <a:ext cx="1068129" cy="290847"/>
                                </a:xfrm>
                                <a:prstGeom prst="rect">
                                  <a:avLst/>
                                </a:prstGeom>
                                <a:noFill/>
                                <a:ln w="9525" cmpd="sng">
                                  <a:solidFill>
                                    <a:srgbClr val="000000"/>
                                  </a:solidFill>
                                  <a:miter lim="800000"/>
                                </a:ln>
                                <a:effectLst/>
                              </wps:spPr>
                              <wps:txbx>
                                <w:txbxContent>
                                  <w:p w14:paraId="46741C66">
                                    <w:pPr>
                                      <w:jc w:val="center"/>
                                      <w:rPr>
                                        <w:szCs w:val="21"/>
                                      </w:rPr>
                                    </w:pPr>
                                    <w:r>
                                      <w:rPr>
                                        <w:rFonts w:hint="eastAsia"/>
                                        <w:szCs w:val="21"/>
                                      </w:rPr>
                                      <w:t>冷却水</w:t>
                                    </w:r>
                                  </w:p>
                                </w:txbxContent>
                              </wps:txbx>
                              <wps:bodyPr rot="0" vert="horz" wrap="square" lIns="91440" tIns="45720" rIns="91440" bIns="45720" anchor="t" anchorCtr="0" upright="1">
                                <a:noAutofit/>
                              </wps:bodyPr>
                            </wps:wsp>
                            <wps:wsp>
                              <wps:cNvPr id="48" name="Freeform 41"/>
                              <wps:cNvSpPr>
                                <a:spLocks noChangeArrowheads="1"/>
                              </wps:cNvSpPr>
                              <wps:spPr bwMode="auto">
                                <a:xfrm>
                                  <a:off x="2007955" y="1260678"/>
                                  <a:ext cx="335309" cy="327753"/>
                                </a:xfrm>
                                <a:custGeom>
                                  <a:avLst/>
                                  <a:gdLst>
                                    <a:gd name="T0" fmla="*/ 0 w 540"/>
                                    <a:gd name="T1" fmla="*/ 624 h 624"/>
                                    <a:gd name="T2" fmla="*/ 180 w 540"/>
                                    <a:gd name="T3" fmla="*/ 312 h 624"/>
                                    <a:gd name="T4" fmla="*/ 180 w 540"/>
                                    <a:gd name="T5" fmla="*/ 468 h 624"/>
                                    <a:gd name="T6" fmla="*/ 540 w 540"/>
                                    <a:gd name="T7" fmla="*/ 0 h 624"/>
                                  </a:gdLst>
                                  <a:ahLst/>
                                  <a:cxnLst>
                                    <a:cxn ang="0">
                                      <a:pos x="T0" y="T1"/>
                                    </a:cxn>
                                    <a:cxn ang="0">
                                      <a:pos x="T2" y="T3"/>
                                    </a:cxn>
                                    <a:cxn ang="0">
                                      <a:pos x="T4" y="T5"/>
                                    </a:cxn>
                                    <a:cxn ang="0">
                                      <a:pos x="T6" y="T7"/>
                                    </a:cxn>
                                  </a:cxnLst>
                                  <a:rect l="0" t="0" r="r" b="b"/>
                                  <a:pathLst>
                                    <a:path w="540" h="624">
                                      <a:moveTo>
                                        <a:pt x="0" y="624"/>
                                      </a:moveTo>
                                      <a:cubicBezTo>
                                        <a:pt x="75" y="481"/>
                                        <a:pt x="150" y="338"/>
                                        <a:pt x="180" y="312"/>
                                      </a:cubicBezTo>
                                      <a:cubicBezTo>
                                        <a:pt x="210" y="286"/>
                                        <a:pt x="120" y="520"/>
                                        <a:pt x="180" y="468"/>
                                      </a:cubicBezTo>
                                      <a:cubicBezTo>
                                        <a:pt x="240" y="416"/>
                                        <a:pt x="480" y="78"/>
                                        <a:pt x="540" y="0"/>
                                      </a:cubicBezTo>
                                    </a:path>
                                  </a:pathLst>
                                </a:custGeom>
                                <a:noFill/>
                                <a:ln w="9525" cmpd="sng">
                                  <a:solidFill>
                                    <a:srgbClr val="000000"/>
                                  </a:solidFill>
                                  <a:prstDash val="dash"/>
                                  <a:round/>
                                  <a:tailEnd type="stealth" w="med" len="lg"/>
                                </a:ln>
                                <a:effectLst/>
                              </wps:spPr>
                              <wps:bodyPr rot="0" vert="horz" wrap="square" lIns="91440" tIns="45720" rIns="91440" bIns="45720" anchor="t" anchorCtr="0" upright="1">
                                <a:noAutofit/>
                              </wps:bodyPr>
                            </wps:wsp>
                            <wps:wsp>
                              <wps:cNvPr id="49" name="Text Box 27"/>
                              <wps:cNvSpPr txBox="1">
                                <a:spLocks noChangeArrowheads="1"/>
                              </wps:cNvSpPr>
                              <wps:spPr bwMode="auto">
                                <a:xfrm>
                                  <a:off x="2190759" y="1137030"/>
                                  <a:ext cx="609617" cy="203233"/>
                                </a:xfrm>
                                <a:prstGeom prst="rect">
                                  <a:avLst/>
                                </a:prstGeom>
                                <a:noFill/>
                                <a:ln>
                                  <a:noFill/>
                                </a:ln>
                                <a:effectLst/>
                              </wps:spPr>
                              <wps:txbx>
                                <w:txbxContent>
                                  <w:p w14:paraId="0F075BD7">
                                    <w:pPr>
                                      <w:jc w:val="center"/>
                                      <w:rPr>
                                        <w:szCs w:val="21"/>
                                      </w:rPr>
                                    </w:pPr>
                                    <w:r>
                                      <w:rPr>
                                        <w:szCs w:val="21"/>
                                      </w:rPr>
                                      <w:t>60</w:t>
                                    </w:r>
                                  </w:p>
                                </w:txbxContent>
                              </wps:txbx>
                              <wps:bodyPr rot="0" vert="horz" wrap="square" lIns="0" tIns="0" rIns="0" bIns="0" anchor="ctr" anchorCtr="0" upright="1">
                                <a:noAutofit/>
                              </wps:bodyPr>
                            </wps:wsp>
                            <wps:wsp>
                              <wps:cNvPr id="52" name="Line 17"/>
                              <wps:cNvCnPr/>
                              <wps:spPr bwMode="auto">
                                <a:xfrm>
                                  <a:off x="833120" y="1722963"/>
                                  <a:ext cx="530217" cy="0"/>
                                </a:xfrm>
                                <a:prstGeom prst="line">
                                  <a:avLst/>
                                </a:prstGeom>
                                <a:noFill/>
                                <a:ln w="12700" cmpd="sng">
                                  <a:solidFill>
                                    <a:srgbClr val="000000"/>
                                  </a:solidFill>
                                  <a:round/>
                                  <a:tailEnd type="stealth" w="med" len="lg"/>
                                </a:ln>
                                <a:effectLst/>
                              </wps:spPr>
                              <wps:bodyPr/>
                            </wps:wsp>
                            <wps:wsp>
                              <wps:cNvPr id="53" name="Text Box 19"/>
                              <wps:cNvSpPr txBox="1">
                                <a:spLocks noChangeArrowheads="1"/>
                              </wps:cNvSpPr>
                              <wps:spPr bwMode="auto">
                                <a:xfrm>
                                  <a:off x="790602" y="1554036"/>
                                  <a:ext cx="552415" cy="168927"/>
                                </a:xfrm>
                                <a:prstGeom prst="rect">
                                  <a:avLst/>
                                </a:prstGeom>
                                <a:noFill/>
                                <a:ln>
                                  <a:noFill/>
                                </a:ln>
                                <a:effectLst/>
                              </wps:spPr>
                              <wps:txbx>
                                <w:txbxContent>
                                  <w:p w14:paraId="47F25948">
                                    <w:pPr>
                                      <w:jc w:val="center"/>
                                      <w:rPr>
                                        <w:szCs w:val="21"/>
                                      </w:rPr>
                                    </w:pPr>
                                    <w:r>
                                      <w:rPr>
                                        <w:szCs w:val="21"/>
                                      </w:rPr>
                                      <w:t>60</w:t>
                                    </w:r>
                                  </w:p>
                                </w:txbxContent>
                              </wps:txbx>
                              <wps:bodyPr rot="0" vert="horz" wrap="square" lIns="0" tIns="0" rIns="0" bIns="0" anchor="ctr" anchorCtr="0" upright="1">
                                <a:noAutofit/>
                              </wps:bodyPr>
                            </wps:wsp>
                            <wps:wsp>
                              <wps:cNvPr id="54" name="直接连接符 54"/>
                              <wps:cNvCnPr/>
                              <wps:spPr>
                                <a:xfrm>
                                  <a:off x="817106" y="329241"/>
                                  <a:ext cx="0" cy="1393722"/>
                                </a:xfrm>
                                <a:prstGeom prst="line">
                                  <a:avLst/>
                                </a:prstGeom>
                                <a:noFill/>
                                <a:ln w="12700" cmpd="sng">
                                  <a:solidFill>
                                    <a:srgbClr val="000000"/>
                                  </a:solidFill>
                                  <a:round/>
                                  <a:headEnd type="none" w="med" len="med"/>
                                  <a:tailEnd type="none" w="med" len="med"/>
                                </a:ln>
                                <a:effectLst/>
                              </wps:spPr>
                              <wps:bodyPr/>
                            </wps:wsp>
                            <wps:wsp>
                              <wps:cNvPr id="55" name="任意多边形 2989"/>
                              <wps:cNvSpPr/>
                              <wps:spPr>
                                <a:xfrm>
                                  <a:off x="1892595" y="1736651"/>
                                  <a:ext cx="992372" cy="404037"/>
                                </a:xfrm>
                                <a:custGeom>
                                  <a:avLst/>
                                  <a:gdLst>
                                    <a:gd name="connsiteX0" fmla="*/ 559982 w 992372"/>
                                    <a:gd name="connsiteY0" fmla="*/ 0 h 404037"/>
                                    <a:gd name="connsiteX1" fmla="*/ 992372 w 992372"/>
                                    <a:gd name="connsiteY1" fmla="*/ 0 h 404037"/>
                                    <a:gd name="connsiteX2" fmla="*/ 992372 w 992372"/>
                                    <a:gd name="connsiteY2" fmla="*/ 404037 h 404037"/>
                                    <a:gd name="connsiteX3" fmla="*/ 0 w 992372"/>
                                    <a:gd name="connsiteY3" fmla="*/ 404037 h 404037"/>
                                    <a:gd name="connsiteX4" fmla="*/ 0 w 992372"/>
                                    <a:gd name="connsiteY4" fmla="*/ 155944 h 4040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92372" h="404037">
                                      <a:moveTo>
                                        <a:pt x="559982" y="0"/>
                                      </a:moveTo>
                                      <a:lnTo>
                                        <a:pt x="992372" y="0"/>
                                      </a:lnTo>
                                      <a:lnTo>
                                        <a:pt x="992372" y="404037"/>
                                      </a:lnTo>
                                      <a:lnTo>
                                        <a:pt x="0" y="404037"/>
                                      </a:lnTo>
                                      <a:lnTo>
                                        <a:pt x="0" y="155944"/>
                                      </a:lnTo>
                                    </a:path>
                                  </a:pathLst>
                                </a:custGeom>
                                <a:noFill/>
                                <a:ln w="9525" cap="flat" cmpd="sng" algn="ctr">
                                  <a:solidFill>
                                    <a:sysClr val="windowText" lastClr="000000"/>
                                  </a:solidFill>
                                  <a:prstDash val="solid"/>
                                  <a:headEnd type="none" w="med" len="med"/>
                                  <a:tailEnd type="triangle" w="med" len="me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56" name="Text Box 27"/>
                              <wps:cNvSpPr txBox="1">
                                <a:spLocks noChangeArrowheads="1"/>
                              </wps:cNvSpPr>
                              <wps:spPr bwMode="auto">
                                <a:xfrm>
                                  <a:off x="2190759" y="1954523"/>
                                  <a:ext cx="609617" cy="203233"/>
                                </a:xfrm>
                                <a:prstGeom prst="rect">
                                  <a:avLst/>
                                </a:prstGeom>
                                <a:noFill/>
                                <a:ln>
                                  <a:noFill/>
                                </a:ln>
                                <a:effectLst/>
                              </wps:spPr>
                              <wps:txbx>
                                <w:txbxContent>
                                  <w:p w14:paraId="42E1785D">
                                    <w:pPr>
                                      <w:jc w:val="center"/>
                                      <w:rPr>
                                        <w:szCs w:val="21"/>
                                      </w:rPr>
                                    </w:pPr>
                                    <w:r>
                                      <w:rPr>
                                        <w:szCs w:val="21"/>
                                      </w:rPr>
                                      <w:t>5</w:t>
                                    </w:r>
                                  </w:p>
                                </w:txbxContent>
                              </wps:txbx>
                              <wps:bodyPr rot="0" vert="horz" wrap="square" lIns="0" tIns="0" rIns="0" bIns="0" anchor="ctr" anchorCtr="0" upright="1">
                                <a:noAutofit/>
                              </wps:bodyPr>
                            </wps:wsp>
                          </wpc:wpc>
                        </a:graphicData>
                      </a:graphic>
                    </wp:inline>
                  </w:drawing>
                </mc:Choice>
                <mc:Fallback>
                  <w:pict>
                    <v:group id="画布 23" o:spid="_x0000_s1026" o:spt="203" style="height:169.9pt;width:450.15pt;" coordsize="5716905,2157730" editas="canvas" o:gfxdata="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">
                      <o:lock v:ext="edit" aspectratio="f"/>
                      <v:shape id="画布 23" o:spid="_x0000_s1026" style="position:absolute;left:0;top:0;height:2157730;width:5716905;" filled="f" stroked="f" coordsize="21600,21600" o:gfxdata="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">
                        <v:fill on="f" focussize="0,0"/>
                        <v:stroke on="f"/>
                        <v:imagedata o:title=""/>
                        <o:lock v:ext="edit" aspectratio="f"/>
                      </v:shape>
                      <v:line id="Line 17" o:spid="_x0000_s1026" o:spt="20" style="position:absolute;left:833120;top:920323;height:0;width:530217;" filled="f" stroked="t" coordsize="21600,21600" o:gfxdata="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dq4vz1QAAAAUBAAAP&#10;AAAAAAAAAAEAIAAAACIAAABkcnMvZG93bnJldi54bWxQSwECFAAUAAAACACHTuJAKOSn+uIBAAC9&#10;AwAADgAAAAAAAAABACAAAAAkAQAAZHJzL2Uyb0RvYy54bWxQSwUGAAAAAAYABgBZAQAAeAUAAAAA&#10;">
                        <v:fill on="f" focussize="0,0"/>
                        <v:stroke weight="1pt" color="#000000" joinstyle="round" endarrow="classic" endarrowlength="long"/>
                        <v:imagedata o:title=""/>
                        <o:lock v:ext="edit" aspectratio="f"/>
                      </v:line>
                      <v:shape id="Text Box 18" o:spid="_x0000_s1026" o:spt="202" type="#_x0000_t202" style="position:absolute;left:390226;top:117906;height:296548;width:993512;" filled="f" stroked="f" coordsize="21600,21600" o:gfxdata="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3XPXE9QAAAAFAQAADwAAAAAA&#10;AAABACAAAAAiAAAAZHJzL2Rvd25yZXYueG1sUEsBAhQAFAAAAAgAh07iQFu//IsXAgAALQQAAA4A&#10;AAAAAAAAAQAgAAAAIwEAAGRycy9lMm9Eb2MueG1sUEsFBgAAAAAGAAYAWQEAAKwFAAAAAA==&#10;">
                        <v:fill on="f" focussize="0,0"/>
                        <v:stroke on="f"/>
                        <v:imagedata o:title=""/>
                        <o:lock v:ext="edit" aspectratio="f"/>
                        <v:textbox>
                          <w:txbxContent>
                            <w:p w14:paraId="711BAC5B">
                              <w:pPr>
                                <w:jc w:val="center"/>
                                <w:rPr>
                                  <w:szCs w:val="21"/>
                                </w:rPr>
                              </w:pPr>
                              <w:r>
                                <w:rPr>
                                  <w:szCs w:val="21"/>
                                </w:rPr>
                                <w:t>新鲜水600</w:t>
                              </w:r>
                            </w:p>
                          </w:txbxContent>
                        </v:textbox>
                      </v:shape>
                      <v:shape id="Text Box 19" o:spid="_x0000_s1026" o:spt="202" type="#_x0000_t202" style="position:absolute;left:790602;top:740595;height:168927;width:552415;v-text-anchor:middle;" filled="f" stroked="f" coordsize="21600,21600" o:gfxdata="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0mW9UAAAAFAQAADwAAAAAAAAABACAAAAAi&#10;AAAAZHJzL2Rvd25yZXYueG1sUEsBAhQAFAAAAAgAh07iQHi45dANAgAAHwQAAA4AAAAAAAAAAQAg&#10;AAAAJAEAAGRycy9lMm9Eb2MueG1sUEsFBgAAAAAGAAYAWQEAAKMFAAAAAA==&#10;">
                        <v:fill on="f" focussize="0,0"/>
                        <v:stroke on="f"/>
                        <v:imagedata o:title=""/>
                        <o:lock v:ext="edit" aspectratio="f"/>
                        <v:textbox inset="0mm,0mm,0mm,0mm">
                          <w:txbxContent>
                            <w:p w14:paraId="75846380">
                              <w:pPr>
                                <w:jc w:val="center"/>
                                <w:rPr>
                                  <w:szCs w:val="21"/>
                                </w:rPr>
                              </w:pPr>
                              <w:r>
                                <w:rPr>
                                  <w:szCs w:val="21"/>
                                </w:rPr>
                                <w:t>540</w:t>
                              </w:r>
                            </w:p>
                          </w:txbxContent>
                        </v:textbox>
                      </v:shape>
                      <v:shape id="Text Box 34" o:spid="_x0000_s1026" o:spt="202" type="#_x0000_t202" style="position:absolute;left:1383738;top:753296;height:290847;width:1068129;" filled="f" stroked="t" coordsize="21600,21600" o:gfxdata="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gRQ2DUAAAABQEAAA8AAAAAAAAAAQAgAAAAIgAA&#10;AGRycy9kb3ducmV2LnhtbFBLAQIUABQAAAAIAIdO4kDW9gp2RQIAAIMEAAAOAAAAAAAAAAEAIAAA&#10;ACMBAABkcnMvZTJvRG9jLnhtbFBLBQYAAAAABgAGAFkBAADaBQAAAAA=&#10;">
                        <v:fill on="f" focussize="0,0"/>
                        <v:stroke color="#000000" miterlimit="8" joinstyle="miter"/>
                        <v:imagedata o:title=""/>
                        <o:lock v:ext="edit" aspectratio="f"/>
                        <v:textbox>
                          <w:txbxContent>
                            <w:p w14:paraId="190BFADE">
                              <w:pPr>
                                <w:jc w:val="center"/>
                                <w:rPr>
                                  <w:szCs w:val="21"/>
                                </w:rPr>
                              </w:pPr>
                              <w:r>
                                <w:rPr>
                                  <w:szCs w:val="21"/>
                                </w:rPr>
                                <w:t>生活用水</w:t>
                              </w:r>
                            </w:p>
                          </w:txbxContent>
                        </v:textbox>
                      </v:shape>
                      <v:shape id="Freeform 41" o:spid="_x0000_s1026" o:spt="100" style="position:absolute;left:2007955;top:428144;height:327753;width:335309;" filled="f" stroked="t" coordsize="540,624" o:gfxdata="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" path="m0,624c75,481,150,338,180,312c210,286,120,520,180,468c240,416,480,78,540,0e">
                        <v:path o:connectlocs="0,327753;111769,163876;111769,245814;335309,0" o:connectangles="0,0,0,0"/>
                        <v:fill on="f" focussize="0,0"/>
                        <v:stroke color="#000000" joinstyle="round" dashstyle="dash" endarrow="classic" endarrowlength="long"/>
                        <v:imagedata o:title=""/>
                        <o:lock v:ext="edit" aspectratio="f"/>
                      </v:shape>
                      <v:line id="Line 51" o:spid="_x0000_s1026" o:spt="20" style="position:absolute;left:3918706;top:921624;flip:y;height:600;width:360010;" filled="f" stroked="t" coordsize="21600,21600" o:gfxdata="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BUtAODX&#10;AAAABQEAAA8AAAAAAAAAAQAgAAAAIgAAAGRycy9kb3ducmV2LnhtbFBLAQIUABQAAAAIAIdO4kBC&#10;CmC46AEAAMoDAAAOAAAAAAAAAAEAIAAAACYBAABkcnMvZTJvRG9jLnhtbFBLBQYAAAAABgAGAFkB&#10;AACABQAAAAA=&#10;">
                        <v:fill on="f" focussize="0,0"/>
                        <v:stroke color="#000000" joinstyle="round" endarrow="classic" endarrowlength="long"/>
                        <v:imagedata o:title=""/>
                        <o:lock v:ext="edit" aspectratio="f"/>
                      </v:line>
                      <v:shape id="Text Box 55" o:spid="_x0000_s1026" o:spt="202" type="#_x0000_t202" style="position:absolute;left:4186563;top:786002;height:681410;width:1530342;" filled="f" stroked="f" coordsize="21600,21600" o:gfxdata="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dc9cT1AAAAAUBAAAPAAAA&#10;AAAAAAEAIAAAACIAAABkcnMvZG93bnJldi54bWxQSwECFAAUAAAACACHTuJAoy+WURkCAAAvBAAA&#10;DgAAAAAAAAABACAAAAAjAQAAZHJzL2Uyb0RvYy54bWxQSwUGAAAAAAYABgBZAQAArgUAAAAA&#10;">
                        <v:fill on="f" focussize="0,0"/>
                        <v:stroke on="f"/>
                        <v:imagedata o:title=""/>
                        <o:lock v:ext="edit" aspectratio="f"/>
                        <v:textbox>
                          <w:txbxContent>
                            <w:p w14:paraId="507959CB">
                              <w:r>
                                <w:rPr>
                                  <w:rFonts w:hint="eastAsia"/>
                                </w:rPr>
                                <w:t>吸粪车定期抽运</w:t>
                              </w:r>
                            </w:p>
                            <w:p w14:paraId="547A0BB6">
                              <w:pPr>
                                <w:rPr>
                                  <w:szCs w:val="21"/>
                                </w:rPr>
                              </w:pPr>
                            </w:p>
                          </w:txbxContent>
                        </v:textbox>
                      </v:shape>
                      <v:rect id="矩形 3287" o:spid="_x0000_s1026" o:spt="1" style="position:absolute;left:2776275;top:760297;height:323852;width:1145531;" filled="f" stroked="t" coordsize="21600,21600" o:gfxdata="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3ePaLUAAAABQEAAA8AAAAAAAAA&#10;AQAgAAAAIgAAAGRycy9kb3ducmV2LnhtbFBLAQIUABQAAAAIAIdO4kDhShbtTgIAAHkEAAAOAAAA&#10;AAAAAAEAIAAAACMBAABkcnMvZTJvRG9jLnhtbFBLBQYAAAAABgAGAFkBAADjBQAAAAA=&#10;">
                        <v:fill on="f" focussize="0,0"/>
                        <v:stroke color="#000000" miterlimit="8" joinstyle="miter"/>
                        <v:imagedata o:title=""/>
                        <o:lock v:ext="edit" aspectratio="f"/>
                        <v:textbox>
                          <w:txbxContent>
                            <w:p w14:paraId="1210DA81">
                              <w:pPr>
                                <w:ind w:firstLine="105" w:firstLineChars="50"/>
                                <w:jc w:val="center"/>
                                <w:rPr>
                                  <w:szCs w:val="21"/>
                                </w:rPr>
                              </w:pPr>
                              <w:r>
                                <w:rPr>
                                  <w:rFonts w:hint="eastAsia"/>
                                  <w:szCs w:val="21"/>
                                </w:rPr>
                                <w:t>化粪池</w:t>
                              </w:r>
                            </w:p>
                          </w:txbxContent>
                        </v:textbox>
                      </v:rect>
                      <v:line id="Line 51" o:spid="_x0000_s1026" o:spt="20" style="position:absolute;left:2444766;top:914022;flip:y;height:0;width:355610;" filled="f" stroked="t" coordsize="21600,21600" o:gfxdata="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Ut&#10;AODXAAAABQEAAA8AAAAAAAAAAQAgAAAAIgAAAGRycy9kb3ducmV2LnhtbFBLAQIUABQAAAAIAIdO&#10;4kAM5i2Z6wEAAMgDAAAOAAAAAAAAAAEAIAAAACYBAABkcnMvZTJvRG9jLnhtbFBLBQYAAAAABgAG&#10;AFkBAACDBQAAAAA=&#10;">
                        <v:fill on="f" focussize="0,0"/>
                        <v:stroke color="#000000" joinstyle="round" endarrow="classic" endarrowlength="long"/>
                        <v:imagedata o:title=""/>
                        <o:lock v:ext="edit" aspectratio="f"/>
                      </v:line>
                      <v:shape id="Text Box 27" o:spid="_x0000_s1026" o:spt="202" type="#_x0000_t202" style="position:absolute;left:2115857;top:204008;height:203233;width:609617;v-text-anchor:middle;" filled="f" stroked="f" coordsize="21600,21600" o:gfxdata="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4dJlvVAAAABQEAAA8AAAAAAAAAAQAgAAAA&#10;IgAAAGRycy9kb3ducmV2LnhtbFBLAQIUABQAAAAIAIdO4kDTAeDHDgIAACAEAAAOAAAAAAAAAAEA&#10;IAAAACQBAABkcnMvZTJvRG9jLnhtbFBLBQYAAAAABgAGAFkBAACkBQAAAAA=&#10;">
                        <v:fill on="f" focussize="0,0"/>
                        <v:stroke on="f"/>
                        <v:imagedata o:title=""/>
                        <o:lock v:ext="edit" aspectratio="f"/>
                        <v:textbox inset="0mm,0mm,0mm,0mm">
                          <w:txbxContent>
                            <w:p w14:paraId="7E6D1E03">
                              <w:pPr>
                                <w:jc w:val="center"/>
                                <w:rPr>
                                  <w:szCs w:val="21"/>
                                </w:rPr>
                              </w:pPr>
                              <w:r>
                                <w:rPr>
                                  <w:szCs w:val="21"/>
                                </w:rPr>
                                <w:t>108</w:t>
                              </w:r>
                            </w:p>
                          </w:txbxContent>
                        </v:textbox>
                      </v:shape>
                      <v:shape id="Text Box 19" o:spid="_x0000_s1026" o:spt="202" type="#_x0000_t202" style="position:absolute;left:2359664;top:575468;height:165127;width:546115;v-text-anchor:middle;" filled="f" stroked="f" coordsize="21600,21600" o:gfxdata="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0mW9UAAAAFAQAADwAAAAAAAAABACAA&#10;AAAiAAAAZHJzL2Rvd25yZXYueG1sUEsBAhQAFAAAAAgAh07iQJwWSJ0QAgAAIAQAAA4AAAAAAAAA&#10;AQAgAAAAJAEAAGRycy9lMm9Eb2MueG1sUEsFBgAAAAAGAAYAWQEAAKYFAAAAAA==&#10;">
                        <v:fill on="f" focussize="0,0"/>
                        <v:stroke on="f"/>
                        <v:imagedata o:title=""/>
                        <o:lock v:ext="edit" aspectratio="f"/>
                        <v:textbox inset="0mm,0mm,0mm,0mm">
                          <w:txbxContent>
                            <w:p w14:paraId="24AB4F4D">
                              <w:pPr>
                                <w:jc w:val="center"/>
                                <w:rPr>
                                  <w:szCs w:val="21"/>
                                </w:rPr>
                              </w:pPr>
                              <w:r>
                                <w:rPr>
                                  <w:szCs w:val="21"/>
                                </w:rPr>
                                <w:t>432</w:t>
                              </w:r>
                            </w:p>
                          </w:txbxContent>
                        </v:textbox>
                      </v:shape>
                      <v:shape id="Text Box 34" o:spid="_x0000_s1026" o:spt="202" type="#_x0000_t202" style="position:absolute;left:1383738;top:1596576;height:290847;width:1068129;" filled="f" stroked="t" coordsize="21600,21600" o:gfxdata="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BFDYNQAAAAFAQAADwAAAAAAAAABACAAAAAiAAAA&#10;ZHJzL2Rvd25yZXYueG1sUEsBAhQAFAAAAAgAh07iQEWkhl5EAgAAhAQAAA4AAAAAAAAAAQAgAAAA&#10;IwEAAGRycy9lMm9Eb2MueG1sUEsFBgAAAAAGAAYAWQEAANkFAAAAAA==&#10;">
                        <v:fill on="f" focussize="0,0"/>
                        <v:stroke color="#000000" miterlimit="8" joinstyle="miter"/>
                        <v:imagedata o:title=""/>
                        <o:lock v:ext="edit" aspectratio="f"/>
                        <v:textbox>
                          <w:txbxContent>
                            <w:p w14:paraId="46741C66">
                              <w:pPr>
                                <w:jc w:val="center"/>
                                <w:rPr>
                                  <w:szCs w:val="21"/>
                                </w:rPr>
                              </w:pPr>
                              <w:r>
                                <w:rPr>
                                  <w:rFonts w:hint="eastAsia"/>
                                  <w:szCs w:val="21"/>
                                </w:rPr>
                                <w:t>冷却水</w:t>
                              </w:r>
                            </w:p>
                          </w:txbxContent>
                        </v:textbox>
                      </v:shape>
                      <v:shape id="Freeform 41" o:spid="_x0000_s1026" o:spt="100" style="position:absolute;left:2007955;top:1260678;height:327753;width:335309;" filled="f" stroked="t" coordsize="540,624" o:gfxdata="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" path="m0,624c75,481,150,338,180,312c210,286,120,520,180,468c240,416,480,78,540,0e">
                        <v:path o:connectlocs="0,327753;111769,163876;111769,245814;335309,0" o:connectangles="0,0,0,0"/>
                        <v:fill on="f" focussize="0,0"/>
                        <v:stroke color="#000000" joinstyle="round" dashstyle="dash" endarrow="classic" endarrowlength="long"/>
                        <v:imagedata o:title=""/>
                        <o:lock v:ext="edit" aspectratio="f"/>
                      </v:shape>
                      <v:shape id="Text Box 27" o:spid="_x0000_s1026" o:spt="202" type="#_x0000_t202" style="position:absolute;left:2190759;top:1137030;height:203233;width:609617;v-text-anchor:middle;" filled="f" stroked="f" coordsize="21600,21600" o:gfxdata="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0mW9UAAAAFAQAADwAAAAAAAAABACAA&#10;AAAiAAAAZHJzL2Rvd25yZXYueG1sUEsBAhQAFAAAAAgAh07iQOFzyLUQAgAAIQQAAA4AAAAAAAAA&#10;AQAgAAAAJAEAAGRycy9lMm9Eb2MueG1sUEsFBgAAAAAGAAYAWQEAAKYFAAAAAA==&#10;">
                        <v:fill on="f" focussize="0,0"/>
                        <v:stroke on="f"/>
                        <v:imagedata o:title=""/>
                        <o:lock v:ext="edit" aspectratio="f"/>
                        <v:textbox inset="0mm,0mm,0mm,0mm">
                          <w:txbxContent>
                            <w:p w14:paraId="0F075BD7">
                              <w:pPr>
                                <w:jc w:val="center"/>
                                <w:rPr>
                                  <w:szCs w:val="21"/>
                                </w:rPr>
                              </w:pPr>
                              <w:r>
                                <w:rPr>
                                  <w:szCs w:val="21"/>
                                </w:rPr>
                                <w:t>60</w:t>
                              </w:r>
                            </w:p>
                          </w:txbxContent>
                        </v:textbox>
                      </v:shape>
                      <v:line id="Line 17" o:spid="_x0000_s1026" o:spt="20" style="position:absolute;left:833120;top:1722963;height:0;width:530217;" filled="f" stroked="t" coordsize="21600,21600" o:gfxdata="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auL89UAAAAFAQAA&#10;DwAAAAAAAAABACAAAAAiAAAAZHJzL2Rvd25yZXYueG1sUEsBAhQAFAAAAAgAh07iQEVp7yPjAQAA&#10;vwMAAA4AAAAAAAAAAQAgAAAAJAEAAGRycy9lMm9Eb2MueG1sUEsFBgAAAAAGAAYAWQEAAHkFAAAA&#10;AA==&#10;">
                        <v:fill on="f" focussize="0,0"/>
                        <v:stroke weight="1pt" color="#000000" joinstyle="round" endarrow="classic" endarrowlength="long"/>
                        <v:imagedata o:title=""/>
                        <o:lock v:ext="edit" aspectratio="f"/>
                      </v:line>
                      <v:shape id="Text Box 19" o:spid="_x0000_s1026" o:spt="202" type="#_x0000_t202" style="position:absolute;left:790602;top:1554036;height:168927;width:552415;v-text-anchor:middle;" filled="f" stroked="f" coordsize="21600,21600" o:gfxdata="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0mW9UAAAAFAQAADwAAAAAAAAABACAA&#10;AAAiAAAAZHJzL2Rvd25yZXYueG1sUEsBAhQAFAAAAAgAh07iQAwinxsQAgAAIAQAAA4AAAAAAAAA&#10;AQAgAAAAJAEAAGRycy9lMm9Eb2MueG1sUEsFBgAAAAAGAAYAWQEAAKYFAAAAAA==&#10;">
                        <v:fill on="f" focussize="0,0"/>
                        <v:stroke on="f"/>
                        <v:imagedata o:title=""/>
                        <o:lock v:ext="edit" aspectratio="f"/>
                        <v:textbox inset="0mm,0mm,0mm,0mm">
                          <w:txbxContent>
                            <w:p w14:paraId="47F25948">
                              <w:pPr>
                                <w:jc w:val="center"/>
                                <w:rPr>
                                  <w:szCs w:val="21"/>
                                </w:rPr>
                              </w:pPr>
                              <w:r>
                                <w:rPr>
                                  <w:szCs w:val="21"/>
                                </w:rPr>
                                <w:t>60</w:t>
                              </w:r>
                            </w:p>
                          </w:txbxContent>
                        </v:textbox>
                      </v:shape>
                      <v:line id="_x0000_s1026" o:spid="_x0000_s1026" o:spt="20" style="position:absolute;left:817106;top:329241;height:1393722;width:0;" filled="f" stroked="t" coordsize="21600,21600" o:gfxdata="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Al0tRtYAAAAFAQAADwAAAAAAAAABACAAAAAiAAAAZHJzL2Rvd25yZXYueG1sUEsB&#10;AhQAFAAAAAgAh07iQEmGLI73AQAA5AMAAA4AAAAAAAAAAQAgAAAAJQEAAGRycy9lMm9Eb2MueG1s&#10;UEsFBgAAAAAGAAYAWQEAAI4FAAAAAA==&#10;">
                        <v:fill on="f" focussize="0,0"/>
                        <v:stroke weight="1pt" color="#000000" joinstyle="round"/>
                        <v:imagedata o:title=""/>
                        <o:lock v:ext="edit" aspectratio="f"/>
                      </v:line>
                      <v:shape id="任意多边形 2989" o:spid="_x0000_s1026" o:spt="100" style="position:absolute;left:1892595;top:1736651;height:404037;width:992372;v-text-anchor:middle;" filled="f" stroked="t" coordsize="992372,404037" o:gfxdata="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" path="m559982,0l992372,0,992372,404037,0,404037,0,155944e">
                        <v:path o:connectlocs="559982,0;992372,0;992372,404037;0,404037;0,155944" o:connectangles="0,0,0,0,0"/>
                        <v:fill on="f" focussize="0,0"/>
                        <v:stroke color="#000000" joinstyle="round" endarrow="block"/>
                        <v:imagedata o:title=""/>
                        <o:lock v:ext="edit" aspectratio="f"/>
                      </v:shape>
                      <v:shape id="Text Box 27" o:spid="_x0000_s1026" o:spt="202" type="#_x0000_t202" style="position:absolute;left:2190759;top:1954523;height:203233;width:609617;v-text-anchor:middle;" filled="f" stroked="f" coordsize="21600,21600" o:gfxdata="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HSZb1QAAAAUBAAAPAAAAAAAAAAEA&#10;IAAAACIAAABkcnMvZG93bnJldi54bWxQSwECFAAUAAAACACHTuJA7ehZwxICAAAhBAAADgAAAAAA&#10;AAABACAAAAAkAQAAZHJzL2Uyb0RvYy54bWxQSwUGAAAAAAYABgBZAQAAqAUAAAAA&#10;">
                        <v:fill on="f" focussize="0,0"/>
                        <v:stroke on="f"/>
                        <v:imagedata o:title=""/>
                        <o:lock v:ext="edit" aspectratio="f"/>
                        <v:textbox inset="0mm,0mm,0mm,0mm">
                          <w:txbxContent>
                            <w:p w14:paraId="42E1785D">
                              <w:pPr>
                                <w:jc w:val="center"/>
                                <w:rPr>
                                  <w:szCs w:val="21"/>
                                </w:rPr>
                              </w:pPr>
                              <w:r>
                                <w:rPr>
                                  <w:szCs w:val="21"/>
                                </w:rPr>
                                <w:t>5</w:t>
                              </w:r>
                            </w:p>
                          </w:txbxContent>
                        </v:textbox>
                      </v:shape>
                      <w10:wrap type="none"/>
                      <w10:anchorlock/>
                    </v:group>
                  </w:pict>
                </mc:Fallback>
              </mc:AlternateContent>
            </w:r>
          </w:p>
          <w:p w14:paraId="6DF7B264">
            <w:pPr>
              <w:pStyle w:val="52"/>
              <w:spacing w:line="360" w:lineRule="auto"/>
              <w:rPr>
                <w:rFonts w:cs="Times New Roman"/>
              </w:rPr>
            </w:pPr>
            <w:r>
              <w:rPr>
                <w:rFonts w:cs="Times New Roman"/>
              </w:rPr>
              <w:t>图4-2  水平衡图  单位（t/a）</w:t>
            </w:r>
          </w:p>
          <w:p w14:paraId="1DF05687">
            <w:pPr>
              <w:pStyle w:val="52"/>
              <w:numPr>
                <w:ilvl w:val="0"/>
                <w:numId w:val="0"/>
              </w:numPr>
              <w:spacing w:line="360" w:lineRule="auto"/>
              <w:ind w:left="420" w:leftChars="0" w:hanging="132" w:firstLineChars="0"/>
              <w:rPr>
                <w:rFonts w:cs="Times New Roman"/>
              </w:rPr>
            </w:pPr>
            <w:r>
              <w:rPr>
                <w:rFonts w:hint="eastAsia" w:ascii="Times New Roman" w:hAnsi="Times New Roman" w:eastAsia="宋体" w:cs="Times New Roman"/>
                <w:b/>
                <w:kern w:val="0"/>
                <w:sz w:val="21"/>
                <w:szCs w:val="21"/>
                <w:lang w:val="en-US" w:eastAsia="zh-CN" w:bidi="ar-SA"/>
              </w:rPr>
              <w:t>表4-</w:t>
            </w:r>
            <w:r>
              <w:rPr>
                <w:rFonts w:hint="eastAsia" w:cs="Times New Roman"/>
                <w:b/>
                <w:kern w:val="0"/>
                <w:sz w:val="21"/>
                <w:szCs w:val="21"/>
                <w:lang w:val="en-US" w:eastAsia="zh-CN" w:bidi="ar-SA"/>
              </w:rPr>
              <w:t xml:space="preserve">6 </w:t>
            </w:r>
            <w:r>
              <w:rPr>
                <w:rFonts w:cs="Times New Roman"/>
              </w:rPr>
              <w:t>本项目废水产生情况一览表</w:t>
            </w:r>
          </w:p>
          <w:tbl>
            <w:tblPr>
              <w:tblStyle w:val="75"/>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25"/>
              <w:gridCol w:w="842"/>
              <w:gridCol w:w="1091"/>
              <w:gridCol w:w="846"/>
              <w:gridCol w:w="2883"/>
              <w:gridCol w:w="1091"/>
              <w:gridCol w:w="846"/>
            </w:tblGrid>
            <w:tr w14:paraId="03AB0A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14:paraId="5FF20B94">
                  <w:pPr>
                    <w:snapToGrid w:val="0"/>
                    <w:jc w:val="center"/>
                    <w:rPr>
                      <w:rFonts w:ascii="Times New Roman" w:hAnsi="Times New Roman"/>
                      <w:szCs w:val="21"/>
                    </w:rPr>
                  </w:pPr>
                  <w:r>
                    <w:rPr>
                      <w:rFonts w:ascii="Times New Roman" w:hAnsi="Times New Roman"/>
                      <w:szCs w:val="21"/>
                    </w:rPr>
                    <w:t>水量</w:t>
                  </w:r>
                </w:p>
              </w:tc>
              <w:tc>
                <w:tcPr>
                  <w:tcW w:w="0" w:type="auto"/>
                  <w:vAlign w:val="center"/>
                </w:tcPr>
                <w:p w14:paraId="63B3100B">
                  <w:pPr>
                    <w:snapToGrid w:val="0"/>
                    <w:jc w:val="center"/>
                    <w:rPr>
                      <w:rFonts w:ascii="Times New Roman" w:hAnsi="Times New Roman"/>
                      <w:szCs w:val="21"/>
                    </w:rPr>
                  </w:pPr>
                  <w:r>
                    <w:rPr>
                      <w:rFonts w:ascii="Times New Roman" w:hAnsi="Times New Roman"/>
                      <w:szCs w:val="21"/>
                    </w:rPr>
                    <w:t>污染物</w:t>
                  </w:r>
                </w:p>
              </w:tc>
              <w:tc>
                <w:tcPr>
                  <w:tcW w:w="0" w:type="auto"/>
                  <w:vAlign w:val="center"/>
                </w:tcPr>
                <w:p w14:paraId="677B69AF">
                  <w:pPr>
                    <w:snapToGrid w:val="0"/>
                    <w:jc w:val="center"/>
                    <w:rPr>
                      <w:rFonts w:ascii="Times New Roman" w:hAnsi="Times New Roman"/>
                      <w:szCs w:val="21"/>
                    </w:rPr>
                  </w:pPr>
                  <w:r>
                    <w:rPr>
                      <w:rFonts w:ascii="Times New Roman" w:hAnsi="Times New Roman"/>
                      <w:szCs w:val="21"/>
                    </w:rPr>
                    <w:t>产生浓度</w:t>
                  </w:r>
                </w:p>
                <w:p w14:paraId="049249CD">
                  <w:pPr>
                    <w:snapToGrid w:val="0"/>
                    <w:jc w:val="center"/>
                    <w:rPr>
                      <w:rFonts w:ascii="Times New Roman" w:hAnsi="Times New Roman"/>
                      <w:szCs w:val="21"/>
                    </w:rPr>
                  </w:pPr>
                  <w:r>
                    <w:rPr>
                      <w:rFonts w:ascii="Times New Roman" w:hAnsi="Times New Roman"/>
                      <w:szCs w:val="21"/>
                    </w:rPr>
                    <w:t>（mg/L）</w:t>
                  </w:r>
                </w:p>
              </w:tc>
              <w:tc>
                <w:tcPr>
                  <w:tcW w:w="0" w:type="auto"/>
                  <w:vAlign w:val="center"/>
                </w:tcPr>
                <w:p w14:paraId="7B25EE2C">
                  <w:pPr>
                    <w:snapToGrid w:val="0"/>
                    <w:jc w:val="center"/>
                    <w:rPr>
                      <w:rFonts w:ascii="Times New Roman" w:hAnsi="Times New Roman"/>
                      <w:szCs w:val="21"/>
                    </w:rPr>
                  </w:pPr>
                  <w:r>
                    <w:rPr>
                      <w:rFonts w:ascii="Times New Roman" w:hAnsi="Times New Roman"/>
                      <w:szCs w:val="21"/>
                    </w:rPr>
                    <w:t>产生量</w:t>
                  </w:r>
                </w:p>
                <w:p w14:paraId="792F10BB">
                  <w:pPr>
                    <w:snapToGrid w:val="0"/>
                    <w:jc w:val="center"/>
                    <w:rPr>
                      <w:rFonts w:ascii="Times New Roman" w:hAnsi="Times New Roman"/>
                      <w:szCs w:val="21"/>
                    </w:rPr>
                  </w:pPr>
                  <w:r>
                    <w:rPr>
                      <w:rFonts w:ascii="Times New Roman" w:hAnsi="Times New Roman"/>
                      <w:szCs w:val="21"/>
                    </w:rPr>
                    <w:t>（t/a）</w:t>
                  </w:r>
                </w:p>
              </w:tc>
              <w:tc>
                <w:tcPr>
                  <w:tcW w:w="0" w:type="auto"/>
                  <w:vAlign w:val="center"/>
                </w:tcPr>
                <w:p w14:paraId="1DA1D4CA">
                  <w:pPr>
                    <w:snapToGrid w:val="0"/>
                    <w:jc w:val="center"/>
                    <w:rPr>
                      <w:rFonts w:ascii="Times New Roman" w:hAnsi="Times New Roman"/>
                      <w:szCs w:val="21"/>
                    </w:rPr>
                  </w:pPr>
                  <w:r>
                    <w:rPr>
                      <w:rFonts w:ascii="Times New Roman" w:hAnsi="Times New Roman"/>
                      <w:szCs w:val="21"/>
                    </w:rPr>
                    <w:t>处理方式</w:t>
                  </w:r>
                </w:p>
              </w:tc>
              <w:tc>
                <w:tcPr>
                  <w:tcW w:w="0" w:type="auto"/>
                  <w:vAlign w:val="center"/>
                </w:tcPr>
                <w:p w14:paraId="646D10CA">
                  <w:pPr>
                    <w:snapToGrid w:val="0"/>
                    <w:jc w:val="center"/>
                    <w:rPr>
                      <w:rFonts w:ascii="Times New Roman" w:hAnsi="Times New Roman"/>
                      <w:szCs w:val="21"/>
                    </w:rPr>
                  </w:pPr>
                  <w:r>
                    <w:rPr>
                      <w:rFonts w:ascii="Times New Roman" w:hAnsi="Times New Roman"/>
                      <w:szCs w:val="21"/>
                    </w:rPr>
                    <w:t>排放浓度</w:t>
                  </w:r>
                </w:p>
                <w:p w14:paraId="4729F331">
                  <w:pPr>
                    <w:snapToGrid w:val="0"/>
                    <w:jc w:val="center"/>
                    <w:rPr>
                      <w:rFonts w:ascii="Times New Roman" w:hAnsi="Times New Roman"/>
                      <w:szCs w:val="21"/>
                    </w:rPr>
                  </w:pPr>
                  <w:r>
                    <w:rPr>
                      <w:rFonts w:ascii="Times New Roman" w:hAnsi="Times New Roman"/>
                      <w:szCs w:val="21"/>
                    </w:rPr>
                    <w:t>（mg/L）</w:t>
                  </w:r>
                </w:p>
              </w:tc>
              <w:tc>
                <w:tcPr>
                  <w:tcW w:w="0" w:type="auto"/>
                  <w:vAlign w:val="center"/>
                </w:tcPr>
                <w:p w14:paraId="2F638887">
                  <w:pPr>
                    <w:snapToGrid w:val="0"/>
                    <w:jc w:val="center"/>
                    <w:rPr>
                      <w:rFonts w:ascii="Times New Roman" w:hAnsi="Times New Roman"/>
                      <w:szCs w:val="21"/>
                    </w:rPr>
                  </w:pPr>
                  <w:r>
                    <w:rPr>
                      <w:rFonts w:ascii="Times New Roman" w:hAnsi="Times New Roman"/>
                      <w:szCs w:val="21"/>
                    </w:rPr>
                    <w:t>排放量</w:t>
                  </w:r>
                </w:p>
                <w:p w14:paraId="187961D6">
                  <w:pPr>
                    <w:snapToGrid w:val="0"/>
                    <w:jc w:val="center"/>
                    <w:rPr>
                      <w:rFonts w:ascii="Times New Roman" w:hAnsi="Times New Roman"/>
                      <w:szCs w:val="21"/>
                    </w:rPr>
                  </w:pPr>
                  <w:r>
                    <w:rPr>
                      <w:rFonts w:ascii="Times New Roman" w:hAnsi="Times New Roman"/>
                      <w:szCs w:val="21"/>
                    </w:rPr>
                    <w:t>（t/a）</w:t>
                  </w:r>
                </w:p>
              </w:tc>
            </w:tr>
            <w:tr w14:paraId="24C986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restart"/>
                  <w:vAlign w:val="center"/>
                </w:tcPr>
                <w:p w14:paraId="53BD21CA">
                  <w:pPr>
                    <w:snapToGrid w:val="0"/>
                    <w:jc w:val="center"/>
                    <w:rPr>
                      <w:rFonts w:ascii="Times New Roman" w:hAnsi="Times New Roman"/>
                      <w:szCs w:val="21"/>
                    </w:rPr>
                  </w:pPr>
                  <w:r>
                    <w:rPr>
                      <w:rFonts w:ascii="Times New Roman" w:hAnsi="Times New Roman"/>
                      <w:szCs w:val="21"/>
                    </w:rPr>
                    <w:t>生活污水</w:t>
                  </w:r>
                </w:p>
                <w:p w14:paraId="19C622D1">
                  <w:pPr>
                    <w:snapToGrid w:val="0"/>
                    <w:jc w:val="center"/>
                    <w:rPr>
                      <w:rFonts w:ascii="Times New Roman" w:hAnsi="Times New Roman"/>
                      <w:szCs w:val="21"/>
                    </w:rPr>
                  </w:pPr>
                  <w:r>
                    <w:rPr>
                      <w:rFonts w:ascii="Times New Roman" w:hAnsi="Times New Roman"/>
                      <w:szCs w:val="21"/>
                    </w:rPr>
                    <w:t>432t/a</w:t>
                  </w:r>
                </w:p>
              </w:tc>
              <w:tc>
                <w:tcPr>
                  <w:tcW w:w="0" w:type="auto"/>
                  <w:vAlign w:val="center"/>
                </w:tcPr>
                <w:p w14:paraId="61327CFF">
                  <w:pPr>
                    <w:snapToGrid w:val="0"/>
                    <w:jc w:val="center"/>
                    <w:rPr>
                      <w:rFonts w:ascii="Times New Roman" w:hAnsi="Times New Roman"/>
                      <w:szCs w:val="21"/>
                    </w:rPr>
                  </w:pPr>
                  <w:r>
                    <w:rPr>
                      <w:rFonts w:ascii="Times New Roman" w:hAnsi="Times New Roman"/>
                      <w:szCs w:val="21"/>
                    </w:rPr>
                    <w:t>COD</w:t>
                  </w:r>
                </w:p>
              </w:tc>
              <w:tc>
                <w:tcPr>
                  <w:tcW w:w="0" w:type="auto"/>
                  <w:vAlign w:val="center"/>
                </w:tcPr>
                <w:p w14:paraId="68F23101">
                  <w:pPr>
                    <w:snapToGrid w:val="0"/>
                    <w:jc w:val="center"/>
                    <w:rPr>
                      <w:rFonts w:ascii="Times New Roman" w:hAnsi="Times New Roman"/>
                      <w:szCs w:val="21"/>
                    </w:rPr>
                  </w:pPr>
                  <w:r>
                    <w:rPr>
                      <w:rFonts w:ascii="Times New Roman" w:hAnsi="Times New Roman"/>
                      <w:szCs w:val="21"/>
                    </w:rPr>
                    <w:t>300</w:t>
                  </w:r>
                </w:p>
              </w:tc>
              <w:tc>
                <w:tcPr>
                  <w:tcW w:w="0" w:type="auto"/>
                  <w:vAlign w:val="center"/>
                </w:tcPr>
                <w:p w14:paraId="2E4EE28F">
                  <w:pPr>
                    <w:snapToGrid w:val="0"/>
                    <w:jc w:val="center"/>
                    <w:rPr>
                      <w:rFonts w:ascii="Times New Roman" w:hAnsi="Times New Roman"/>
                      <w:szCs w:val="21"/>
                    </w:rPr>
                  </w:pPr>
                  <w:r>
                    <w:rPr>
                      <w:rFonts w:ascii="Times New Roman" w:hAnsi="Times New Roman"/>
                      <w:szCs w:val="21"/>
                    </w:rPr>
                    <w:t>0.130</w:t>
                  </w:r>
                </w:p>
              </w:tc>
              <w:tc>
                <w:tcPr>
                  <w:tcW w:w="0" w:type="auto"/>
                  <w:vMerge w:val="restart"/>
                  <w:vAlign w:val="center"/>
                </w:tcPr>
                <w:p w14:paraId="235650B5">
                  <w:pPr>
                    <w:snapToGrid w:val="0"/>
                    <w:jc w:val="center"/>
                    <w:rPr>
                      <w:rFonts w:ascii="Times New Roman" w:hAnsi="Times New Roman"/>
                      <w:szCs w:val="21"/>
                    </w:rPr>
                  </w:pPr>
                  <w:r>
                    <w:rPr>
                      <w:rFonts w:ascii="Times New Roman" w:hAnsi="Times New Roman"/>
                      <w:szCs w:val="21"/>
                    </w:rPr>
                    <w:t>化粪池预处理后吸粪车定期抽运</w:t>
                  </w:r>
                </w:p>
              </w:tc>
              <w:tc>
                <w:tcPr>
                  <w:tcW w:w="0" w:type="auto"/>
                  <w:vAlign w:val="center"/>
                </w:tcPr>
                <w:p w14:paraId="4162F18B">
                  <w:pPr>
                    <w:snapToGrid w:val="0"/>
                    <w:jc w:val="center"/>
                    <w:rPr>
                      <w:rFonts w:ascii="Times New Roman" w:hAnsi="Times New Roman"/>
                      <w:szCs w:val="21"/>
                    </w:rPr>
                  </w:pPr>
                  <w:r>
                    <w:rPr>
                      <w:rFonts w:ascii="Times New Roman" w:hAnsi="Times New Roman"/>
                      <w:szCs w:val="21"/>
                    </w:rPr>
                    <w:t>240</w:t>
                  </w:r>
                </w:p>
              </w:tc>
              <w:tc>
                <w:tcPr>
                  <w:tcW w:w="0" w:type="auto"/>
                  <w:vAlign w:val="center"/>
                </w:tcPr>
                <w:p w14:paraId="0BD92768">
                  <w:pPr>
                    <w:snapToGrid w:val="0"/>
                    <w:jc w:val="center"/>
                    <w:rPr>
                      <w:rFonts w:ascii="Times New Roman" w:hAnsi="Times New Roman"/>
                      <w:szCs w:val="21"/>
                    </w:rPr>
                  </w:pPr>
                  <w:r>
                    <w:rPr>
                      <w:rFonts w:ascii="Times New Roman" w:hAnsi="Times New Roman"/>
                      <w:szCs w:val="21"/>
                    </w:rPr>
                    <w:t>0.104</w:t>
                  </w:r>
                </w:p>
              </w:tc>
            </w:tr>
            <w:tr w14:paraId="633AE7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continue"/>
                  <w:vAlign w:val="center"/>
                </w:tcPr>
                <w:p w14:paraId="62329A7B">
                  <w:pPr>
                    <w:widowControl/>
                    <w:snapToGrid w:val="0"/>
                    <w:jc w:val="left"/>
                    <w:rPr>
                      <w:rFonts w:ascii="Times New Roman" w:hAnsi="Times New Roman"/>
                      <w:szCs w:val="21"/>
                    </w:rPr>
                  </w:pPr>
                </w:p>
              </w:tc>
              <w:tc>
                <w:tcPr>
                  <w:tcW w:w="0" w:type="auto"/>
                  <w:vAlign w:val="center"/>
                </w:tcPr>
                <w:p w14:paraId="4A5D3E58">
                  <w:pPr>
                    <w:snapToGrid w:val="0"/>
                    <w:jc w:val="center"/>
                    <w:rPr>
                      <w:rFonts w:ascii="Times New Roman" w:hAnsi="Times New Roman"/>
                      <w:szCs w:val="21"/>
                    </w:rPr>
                  </w:pPr>
                  <w:r>
                    <w:rPr>
                      <w:rFonts w:ascii="Times New Roman" w:hAnsi="Times New Roman"/>
                      <w:szCs w:val="21"/>
                    </w:rPr>
                    <w:t>NH</w:t>
                  </w:r>
                  <w:r>
                    <w:rPr>
                      <w:rFonts w:ascii="Times New Roman" w:hAnsi="Times New Roman"/>
                      <w:szCs w:val="21"/>
                      <w:vertAlign w:val="subscript"/>
                    </w:rPr>
                    <w:t>3</w:t>
                  </w:r>
                  <w:r>
                    <w:rPr>
                      <w:rFonts w:ascii="Times New Roman" w:hAnsi="Times New Roman"/>
                      <w:szCs w:val="21"/>
                    </w:rPr>
                    <w:t>-N</w:t>
                  </w:r>
                </w:p>
              </w:tc>
              <w:tc>
                <w:tcPr>
                  <w:tcW w:w="0" w:type="auto"/>
                  <w:vAlign w:val="center"/>
                </w:tcPr>
                <w:p w14:paraId="762D91C1">
                  <w:pPr>
                    <w:snapToGrid w:val="0"/>
                    <w:jc w:val="center"/>
                    <w:rPr>
                      <w:rFonts w:ascii="Times New Roman" w:hAnsi="Times New Roman"/>
                      <w:szCs w:val="21"/>
                    </w:rPr>
                  </w:pPr>
                  <w:r>
                    <w:rPr>
                      <w:rFonts w:ascii="Times New Roman" w:hAnsi="Times New Roman"/>
                      <w:szCs w:val="21"/>
                    </w:rPr>
                    <w:t>20</w:t>
                  </w:r>
                </w:p>
              </w:tc>
              <w:tc>
                <w:tcPr>
                  <w:tcW w:w="0" w:type="auto"/>
                  <w:vAlign w:val="center"/>
                </w:tcPr>
                <w:p w14:paraId="4D3D8682">
                  <w:pPr>
                    <w:snapToGrid w:val="0"/>
                    <w:jc w:val="center"/>
                    <w:rPr>
                      <w:rFonts w:ascii="Times New Roman" w:hAnsi="Times New Roman"/>
                      <w:szCs w:val="21"/>
                    </w:rPr>
                  </w:pPr>
                  <w:r>
                    <w:rPr>
                      <w:rFonts w:ascii="Times New Roman" w:hAnsi="Times New Roman"/>
                      <w:szCs w:val="21"/>
                    </w:rPr>
                    <w:t>0.009</w:t>
                  </w:r>
                </w:p>
              </w:tc>
              <w:tc>
                <w:tcPr>
                  <w:tcW w:w="0" w:type="auto"/>
                  <w:vMerge w:val="continue"/>
                  <w:vAlign w:val="center"/>
                </w:tcPr>
                <w:p w14:paraId="4C5E0A8F">
                  <w:pPr>
                    <w:widowControl/>
                    <w:snapToGrid w:val="0"/>
                    <w:jc w:val="center"/>
                    <w:rPr>
                      <w:rFonts w:ascii="Times New Roman" w:hAnsi="Times New Roman"/>
                      <w:szCs w:val="21"/>
                    </w:rPr>
                  </w:pPr>
                </w:p>
              </w:tc>
              <w:tc>
                <w:tcPr>
                  <w:tcW w:w="0" w:type="auto"/>
                  <w:vAlign w:val="center"/>
                </w:tcPr>
                <w:p w14:paraId="4EC7E7EA">
                  <w:pPr>
                    <w:snapToGrid w:val="0"/>
                    <w:jc w:val="center"/>
                    <w:rPr>
                      <w:rFonts w:ascii="Times New Roman" w:hAnsi="Times New Roman"/>
                      <w:szCs w:val="21"/>
                    </w:rPr>
                  </w:pPr>
                  <w:r>
                    <w:rPr>
                      <w:rFonts w:ascii="Times New Roman" w:hAnsi="Times New Roman"/>
                      <w:szCs w:val="21"/>
                    </w:rPr>
                    <w:t>15</w:t>
                  </w:r>
                </w:p>
              </w:tc>
              <w:tc>
                <w:tcPr>
                  <w:tcW w:w="0" w:type="auto"/>
                  <w:vAlign w:val="center"/>
                </w:tcPr>
                <w:p w14:paraId="6618DF49">
                  <w:pPr>
                    <w:snapToGrid w:val="0"/>
                    <w:jc w:val="center"/>
                    <w:rPr>
                      <w:rFonts w:ascii="Times New Roman" w:hAnsi="Times New Roman"/>
                      <w:szCs w:val="21"/>
                    </w:rPr>
                  </w:pPr>
                  <w:r>
                    <w:rPr>
                      <w:rFonts w:ascii="Times New Roman" w:hAnsi="Times New Roman"/>
                      <w:szCs w:val="21"/>
                    </w:rPr>
                    <w:t>0.006</w:t>
                  </w:r>
                </w:p>
              </w:tc>
            </w:tr>
            <w:tr w14:paraId="517EFB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continue"/>
                  <w:vAlign w:val="center"/>
                </w:tcPr>
                <w:p w14:paraId="65C4C779">
                  <w:pPr>
                    <w:widowControl/>
                    <w:snapToGrid w:val="0"/>
                    <w:jc w:val="left"/>
                    <w:rPr>
                      <w:rFonts w:ascii="Times New Roman" w:hAnsi="Times New Roman"/>
                      <w:szCs w:val="21"/>
                    </w:rPr>
                  </w:pPr>
                </w:p>
              </w:tc>
              <w:tc>
                <w:tcPr>
                  <w:tcW w:w="0" w:type="auto"/>
                  <w:vAlign w:val="center"/>
                </w:tcPr>
                <w:p w14:paraId="49256A63">
                  <w:pPr>
                    <w:snapToGrid w:val="0"/>
                    <w:jc w:val="center"/>
                    <w:rPr>
                      <w:rFonts w:ascii="Times New Roman" w:hAnsi="Times New Roman"/>
                      <w:szCs w:val="21"/>
                    </w:rPr>
                  </w:pPr>
                  <w:r>
                    <w:rPr>
                      <w:rFonts w:ascii="Times New Roman" w:hAnsi="Times New Roman"/>
                      <w:szCs w:val="21"/>
                    </w:rPr>
                    <w:t>SS</w:t>
                  </w:r>
                </w:p>
              </w:tc>
              <w:tc>
                <w:tcPr>
                  <w:tcW w:w="0" w:type="auto"/>
                  <w:vAlign w:val="center"/>
                </w:tcPr>
                <w:p w14:paraId="3B6F345A">
                  <w:pPr>
                    <w:snapToGrid w:val="0"/>
                    <w:jc w:val="center"/>
                    <w:rPr>
                      <w:rFonts w:ascii="Times New Roman" w:hAnsi="Times New Roman"/>
                      <w:szCs w:val="21"/>
                    </w:rPr>
                  </w:pPr>
                  <w:r>
                    <w:rPr>
                      <w:rFonts w:ascii="Times New Roman" w:hAnsi="Times New Roman"/>
                      <w:szCs w:val="21"/>
                    </w:rPr>
                    <w:t>150</w:t>
                  </w:r>
                </w:p>
              </w:tc>
              <w:tc>
                <w:tcPr>
                  <w:tcW w:w="0" w:type="auto"/>
                  <w:vAlign w:val="center"/>
                </w:tcPr>
                <w:p w14:paraId="3438391D">
                  <w:pPr>
                    <w:snapToGrid w:val="0"/>
                    <w:jc w:val="center"/>
                    <w:rPr>
                      <w:rFonts w:ascii="Times New Roman" w:hAnsi="Times New Roman"/>
                      <w:szCs w:val="21"/>
                    </w:rPr>
                  </w:pPr>
                  <w:r>
                    <w:rPr>
                      <w:rFonts w:ascii="Times New Roman" w:hAnsi="Times New Roman"/>
                      <w:szCs w:val="21"/>
                    </w:rPr>
                    <w:t>0.065</w:t>
                  </w:r>
                </w:p>
              </w:tc>
              <w:tc>
                <w:tcPr>
                  <w:tcW w:w="0" w:type="auto"/>
                  <w:vMerge w:val="continue"/>
                  <w:vAlign w:val="center"/>
                </w:tcPr>
                <w:p w14:paraId="6BF3CDE5">
                  <w:pPr>
                    <w:widowControl/>
                    <w:snapToGrid w:val="0"/>
                    <w:jc w:val="center"/>
                    <w:rPr>
                      <w:rFonts w:ascii="Times New Roman" w:hAnsi="Times New Roman"/>
                      <w:szCs w:val="21"/>
                    </w:rPr>
                  </w:pPr>
                </w:p>
              </w:tc>
              <w:tc>
                <w:tcPr>
                  <w:tcW w:w="0" w:type="auto"/>
                  <w:vAlign w:val="center"/>
                </w:tcPr>
                <w:p w14:paraId="032ECB86">
                  <w:pPr>
                    <w:snapToGrid w:val="0"/>
                    <w:jc w:val="center"/>
                    <w:rPr>
                      <w:rFonts w:ascii="Times New Roman" w:hAnsi="Times New Roman"/>
                      <w:szCs w:val="21"/>
                    </w:rPr>
                  </w:pPr>
                  <w:r>
                    <w:rPr>
                      <w:rFonts w:ascii="Times New Roman" w:hAnsi="Times New Roman"/>
                      <w:szCs w:val="21"/>
                    </w:rPr>
                    <w:t>80</w:t>
                  </w:r>
                </w:p>
              </w:tc>
              <w:tc>
                <w:tcPr>
                  <w:tcW w:w="0" w:type="auto"/>
                  <w:vAlign w:val="center"/>
                </w:tcPr>
                <w:p w14:paraId="35427493">
                  <w:pPr>
                    <w:snapToGrid w:val="0"/>
                    <w:jc w:val="center"/>
                    <w:rPr>
                      <w:rFonts w:ascii="Times New Roman" w:hAnsi="Times New Roman"/>
                      <w:szCs w:val="21"/>
                    </w:rPr>
                  </w:pPr>
                  <w:r>
                    <w:rPr>
                      <w:rFonts w:ascii="Times New Roman" w:hAnsi="Times New Roman"/>
                      <w:szCs w:val="21"/>
                    </w:rPr>
                    <w:t>0.035</w:t>
                  </w:r>
                </w:p>
              </w:tc>
            </w:tr>
            <w:tr w14:paraId="1BFE5B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continue"/>
                  <w:vAlign w:val="center"/>
                </w:tcPr>
                <w:p w14:paraId="0F7AB567">
                  <w:pPr>
                    <w:widowControl/>
                    <w:snapToGrid w:val="0"/>
                    <w:jc w:val="left"/>
                    <w:rPr>
                      <w:rFonts w:ascii="Times New Roman" w:hAnsi="Times New Roman"/>
                      <w:szCs w:val="21"/>
                    </w:rPr>
                  </w:pPr>
                </w:p>
              </w:tc>
              <w:tc>
                <w:tcPr>
                  <w:tcW w:w="0" w:type="auto"/>
                  <w:vAlign w:val="center"/>
                </w:tcPr>
                <w:p w14:paraId="718DE564">
                  <w:pPr>
                    <w:snapToGrid w:val="0"/>
                    <w:jc w:val="center"/>
                    <w:rPr>
                      <w:rFonts w:ascii="Times New Roman" w:hAnsi="Times New Roman"/>
                      <w:szCs w:val="21"/>
                    </w:rPr>
                  </w:pPr>
                  <w:r>
                    <w:rPr>
                      <w:rFonts w:ascii="Times New Roman" w:hAnsi="Times New Roman"/>
                      <w:szCs w:val="21"/>
                    </w:rPr>
                    <w:t>BOD</w:t>
                  </w:r>
                  <w:r>
                    <w:rPr>
                      <w:rFonts w:ascii="Times New Roman" w:hAnsi="Times New Roman"/>
                      <w:szCs w:val="21"/>
                      <w:vertAlign w:val="subscript"/>
                    </w:rPr>
                    <w:t>5</w:t>
                  </w:r>
                </w:p>
              </w:tc>
              <w:tc>
                <w:tcPr>
                  <w:tcW w:w="0" w:type="auto"/>
                  <w:vAlign w:val="center"/>
                </w:tcPr>
                <w:p w14:paraId="6BA61746">
                  <w:pPr>
                    <w:snapToGrid w:val="0"/>
                    <w:jc w:val="center"/>
                    <w:rPr>
                      <w:rFonts w:ascii="Times New Roman" w:hAnsi="Times New Roman"/>
                      <w:szCs w:val="21"/>
                    </w:rPr>
                  </w:pPr>
                  <w:r>
                    <w:rPr>
                      <w:rFonts w:ascii="Times New Roman" w:hAnsi="Times New Roman"/>
                      <w:szCs w:val="21"/>
                    </w:rPr>
                    <w:t>150</w:t>
                  </w:r>
                </w:p>
              </w:tc>
              <w:tc>
                <w:tcPr>
                  <w:tcW w:w="0" w:type="auto"/>
                  <w:vAlign w:val="center"/>
                </w:tcPr>
                <w:p w14:paraId="5DD7D2A3">
                  <w:pPr>
                    <w:snapToGrid w:val="0"/>
                    <w:jc w:val="center"/>
                    <w:rPr>
                      <w:rFonts w:ascii="Times New Roman" w:hAnsi="Times New Roman"/>
                      <w:szCs w:val="21"/>
                    </w:rPr>
                  </w:pPr>
                  <w:r>
                    <w:rPr>
                      <w:rFonts w:ascii="Times New Roman" w:hAnsi="Times New Roman"/>
                      <w:szCs w:val="21"/>
                    </w:rPr>
                    <w:t>0.065</w:t>
                  </w:r>
                </w:p>
              </w:tc>
              <w:tc>
                <w:tcPr>
                  <w:tcW w:w="0" w:type="auto"/>
                  <w:vMerge w:val="continue"/>
                  <w:vAlign w:val="center"/>
                </w:tcPr>
                <w:p w14:paraId="3BB89AF2">
                  <w:pPr>
                    <w:widowControl/>
                    <w:snapToGrid w:val="0"/>
                    <w:jc w:val="center"/>
                    <w:rPr>
                      <w:rFonts w:ascii="Times New Roman" w:hAnsi="Times New Roman"/>
                      <w:szCs w:val="21"/>
                    </w:rPr>
                  </w:pPr>
                </w:p>
              </w:tc>
              <w:tc>
                <w:tcPr>
                  <w:tcW w:w="0" w:type="auto"/>
                  <w:vAlign w:val="center"/>
                </w:tcPr>
                <w:p w14:paraId="341D06B0">
                  <w:pPr>
                    <w:snapToGrid w:val="0"/>
                    <w:jc w:val="center"/>
                    <w:rPr>
                      <w:rFonts w:ascii="Times New Roman" w:hAnsi="Times New Roman"/>
                      <w:szCs w:val="21"/>
                    </w:rPr>
                  </w:pPr>
                  <w:r>
                    <w:rPr>
                      <w:rFonts w:ascii="Times New Roman" w:hAnsi="Times New Roman"/>
                      <w:szCs w:val="21"/>
                    </w:rPr>
                    <w:t>105</w:t>
                  </w:r>
                </w:p>
              </w:tc>
              <w:tc>
                <w:tcPr>
                  <w:tcW w:w="0" w:type="auto"/>
                  <w:vAlign w:val="center"/>
                </w:tcPr>
                <w:p w14:paraId="5896606F">
                  <w:pPr>
                    <w:snapToGrid w:val="0"/>
                    <w:jc w:val="center"/>
                    <w:rPr>
                      <w:rFonts w:ascii="Times New Roman" w:hAnsi="Times New Roman"/>
                      <w:szCs w:val="21"/>
                    </w:rPr>
                  </w:pPr>
                  <w:r>
                    <w:rPr>
                      <w:rFonts w:ascii="Times New Roman" w:hAnsi="Times New Roman"/>
                      <w:szCs w:val="21"/>
                    </w:rPr>
                    <w:t>0.045</w:t>
                  </w:r>
                </w:p>
              </w:tc>
            </w:tr>
          </w:tbl>
          <w:p w14:paraId="1D82B70E">
            <w:pPr>
              <w:spacing w:line="360" w:lineRule="auto"/>
              <w:ind w:firstLine="482" w:firstLineChars="200"/>
              <w:rPr>
                <w:b/>
                <w:bCs/>
                <w:sz w:val="24"/>
              </w:rPr>
            </w:pPr>
            <w:r>
              <w:rPr>
                <w:b/>
                <w:bCs/>
                <w:sz w:val="24"/>
              </w:rPr>
              <w:t>2、水污染防治措施可行性分析</w:t>
            </w:r>
          </w:p>
          <w:p w14:paraId="040707AE">
            <w:pPr>
              <w:pStyle w:val="39"/>
              <w:adjustRightInd w:val="0"/>
              <w:snapToGrid w:val="0"/>
              <w:spacing w:line="360" w:lineRule="auto"/>
              <w:rPr>
                <w:rFonts w:ascii="Times New Roman" w:hAnsi="Times New Roman" w:eastAsia="宋体"/>
                <w:szCs w:val="28"/>
                <w:lang w:val="zh-CN"/>
              </w:rPr>
            </w:pPr>
            <w:r>
              <w:rPr>
                <w:rFonts w:ascii="Times New Roman" w:hAnsi="Times New Roman" w:eastAsia="宋体"/>
                <w:szCs w:val="28"/>
                <w:lang w:val="zh-CN"/>
              </w:rPr>
              <w:t>本项目生活污水采用化粪池处理，生活污水经化粪池预处理后由吸粪车定期抽运，不外排。吸粪车主要应用到化粪池，污水沟和下水道等环境下清理清洁工作的专用车辆，与洒水车，垃圾车，并称为三大环卫车型。吸粪车的工作原理：由于吸粪胶管始终浸没于液面上，粪罐内的空气被抽吸后，因其得不到补充而越来越稀薄，致使罐内压力低于大气压力，粪液即在大气压力使用下，经吸粪胶管进入容罐。或者由于虹吸管接近罐底，空气被不断排入粪罐时，因其没有出路而被压缩，致使罐内压力高于大气压力，粪液即在压缩空气的作用下，经虹吸管，吸粪胶管排出罐外。吸污车具有抽吸效率高、自吸、自排及直灌等特点。</w:t>
            </w:r>
          </w:p>
          <w:p w14:paraId="137C0C39">
            <w:pPr>
              <w:pStyle w:val="39"/>
              <w:adjustRightInd w:val="0"/>
              <w:snapToGrid w:val="0"/>
              <w:spacing w:line="360" w:lineRule="auto"/>
              <w:rPr>
                <w:rFonts w:ascii="Times New Roman" w:hAnsi="Times New Roman" w:eastAsia="宋体"/>
                <w:szCs w:val="28"/>
                <w:lang w:val="zh-CN"/>
              </w:rPr>
            </w:pPr>
            <w:r>
              <w:rPr>
                <w:rFonts w:ascii="Times New Roman" w:hAnsi="Times New Roman" w:eastAsia="宋体"/>
                <w:szCs w:val="28"/>
                <w:lang w:val="zh-CN"/>
              </w:rPr>
              <w:t>故本项目产生的废水由吸粪车定期抽运的方法是可行的。</w:t>
            </w:r>
          </w:p>
          <w:p w14:paraId="5531E72F">
            <w:pPr>
              <w:snapToGrid w:val="0"/>
              <w:spacing w:line="540" w:lineRule="exact"/>
              <w:ind w:firstLine="482" w:firstLineChars="200"/>
              <w:rPr>
                <w:b/>
                <w:bCs/>
                <w:sz w:val="24"/>
              </w:rPr>
            </w:pPr>
            <w:r>
              <w:rPr>
                <w:b/>
                <w:bCs/>
                <w:sz w:val="24"/>
              </w:rPr>
              <w:t>3、废水污染物自行监测计划</w:t>
            </w:r>
          </w:p>
          <w:p w14:paraId="5BE5827A">
            <w:pPr>
              <w:snapToGrid w:val="0"/>
              <w:spacing w:line="540" w:lineRule="exact"/>
              <w:ind w:firstLine="480" w:firstLineChars="200"/>
              <w:rPr>
                <w:sz w:val="24"/>
              </w:rPr>
            </w:pPr>
            <w:r>
              <w:rPr>
                <w:sz w:val="24"/>
              </w:rPr>
              <w:t>本项目无废水监测计划。</w:t>
            </w:r>
          </w:p>
          <w:p w14:paraId="12359F9C"/>
          <w:p w14:paraId="46A20556">
            <w:pPr>
              <w:adjustRightInd w:val="0"/>
              <w:snapToGrid w:val="0"/>
              <w:spacing w:line="360" w:lineRule="auto"/>
              <w:rPr>
                <w:b/>
                <w:bCs/>
                <w:sz w:val="24"/>
              </w:rPr>
            </w:pPr>
            <w:r>
              <w:rPr>
                <w:b/>
                <w:bCs/>
                <w:sz w:val="24"/>
              </w:rPr>
              <w:t>三、噪声</w:t>
            </w:r>
          </w:p>
          <w:p w14:paraId="1E1E5EFB">
            <w:pPr>
              <w:pStyle w:val="39"/>
              <w:adjustRightInd w:val="0"/>
              <w:snapToGrid w:val="0"/>
              <w:spacing w:line="360" w:lineRule="auto"/>
              <w:ind w:firstLine="482"/>
              <w:rPr>
                <w:rFonts w:ascii="Times New Roman" w:hAnsi="Times New Roman" w:eastAsia="宋体"/>
                <w:b/>
                <w:bCs/>
                <w:szCs w:val="28"/>
                <w:lang w:val="zh-CN"/>
              </w:rPr>
            </w:pPr>
            <w:r>
              <w:rPr>
                <w:rFonts w:ascii="Times New Roman" w:hAnsi="Times New Roman" w:eastAsia="宋体"/>
                <w:b/>
                <w:bCs/>
                <w:szCs w:val="28"/>
                <w:lang w:val="zh-CN"/>
              </w:rPr>
              <w:t>1、噪声源强</w:t>
            </w:r>
          </w:p>
          <w:p w14:paraId="0E2E7FBB">
            <w:pPr>
              <w:pStyle w:val="39"/>
              <w:adjustRightInd w:val="0"/>
              <w:snapToGrid w:val="0"/>
              <w:spacing w:line="360" w:lineRule="auto"/>
              <w:rPr>
                <w:rFonts w:ascii="Times New Roman" w:hAnsi="Times New Roman" w:eastAsia="宋体"/>
              </w:rPr>
            </w:pPr>
            <w:r>
              <w:rPr>
                <w:rFonts w:ascii="Times New Roman" w:hAnsi="Times New Roman" w:eastAsia="宋体"/>
                <w:szCs w:val="28"/>
                <w:lang w:val="zh-CN"/>
              </w:rPr>
              <w:t>本项目所在区域属声环境</w:t>
            </w:r>
            <w:r>
              <w:rPr>
                <w:rFonts w:ascii="Times New Roman" w:hAnsi="Times New Roman" w:eastAsia="宋体"/>
                <w:szCs w:val="28"/>
              </w:rPr>
              <w:t>3</w:t>
            </w:r>
            <w:r>
              <w:rPr>
                <w:rFonts w:ascii="Times New Roman" w:hAnsi="Times New Roman" w:eastAsia="宋体"/>
                <w:szCs w:val="28"/>
                <w:lang w:val="zh-CN"/>
              </w:rPr>
              <w:t>类功能区，执行《工业企业厂界环境噪声排放标准》（GB12348-2008）</w:t>
            </w:r>
            <w:r>
              <w:rPr>
                <w:rFonts w:ascii="Times New Roman" w:hAnsi="Times New Roman" w:eastAsia="宋体"/>
                <w:szCs w:val="28"/>
              </w:rPr>
              <w:t>3</w:t>
            </w:r>
            <w:r>
              <w:rPr>
                <w:rFonts w:ascii="Times New Roman" w:hAnsi="Times New Roman" w:eastAsia="宋体"/>
                <w:szCs w:val="28"/>
                <w:lang w:val="zh-CN"/>
              </w:rPr>
              <w:t>类标准。</w:t>
            </w:r>
            <w:r>
              <w:rPr>
                <w:rFonts w:ascii="Times New Roman" w:hAnsi="Times New Roman" w:eastAsia="宋体"/>
              </w:rPr>
              <w:t>项目运营期噪声源主要为注塑机、气泵、缝纫机、</w:t>
            </w:r>
            <w:r>
              <w:rPr>
                <w:rFonts w:hint="eastAsia" w:ascii="Times New Roman" w:hAnsi="Times New Roman" w:eastAsia="宋体"/>
                <w:lang w:val="en-US" w:eastAsia="zh-CN"/>
              </w:rPr>
              <w:t>雕刻机、切割机</w:t>
            </w:r>
            <w:r>
              <w:rPr>
                <w:rFonts w:ascii="Times New Roman" w:hAnsi="Times New Roman" w:eastAsia="宋体"/>
              </w:rPr>
              <w:t>等设备运行时产生的噪声，噪声级为70～90dB（A）</w:t>
            </w:r>
            <w:r>
              <w:rPr>
                <w:rFonts w:ascii="Times New Roman" w:hAnsi="Times New Roman" w:eastAsia="宋体"/>
                <w:szCs w:val="28"/>
                <w:lang w:val="zh-CN"/>
              </w:rPr>
              <w:t>。</w:t>
            </w:r>
            <w:r>
              <w:rPr>
                <w:rFonts w:ascii="Times New Roman" w:hAnsi="Times New Roman" w:eastAsia="宋体"/>
              </w:rPr>
              <w:t>项目的设备噪声强度见下表。</w:t>
            </w:r>
          </w:p>
          <w:p w14:paraId="28E6D36B">
            <w:pPr>
              <w:pStyle w:val="52"/>
              <w:numPr>
                <w:ilvl w:val="0"/>
                <w:numId w:val="0"/>
              </w:numPr>
              <w:spacing w:line="360" w:lineRule="auto"/>
              <w:ind w:left="420" w:leftChars="0" w:hanging="132" w:firstLineChars="0"/>
              <w:rPr>
                <w:rFonts w:cs="Times New Roman"/>
              </w:rPr>
            </w:pPr>
            <w:r>
              <w:rPr>
                <w:rFonts w:hint="eastAsia" w:ascii="Times New Roman" w:hAnsi="Times New Roman" w:eastAsia="宋体" w:cs="Times New Roman"/>
                <w:b/>
                <w:kern w:val="0"/>
                <w:sz w:val="21"/>
                <w:szCs w:val="21"/>
                <w:lang w:val="en-US" w:eastAsia="zh-CN" w:bidi="ar-SA"/>
              </w:rPr>
              <w:t>表4-</w:t>
            </w:r>
            <w:r>
              <w:rPr>
                <w:rFonts w:hint="eastAsia" w:cs="Times New Roman"/>
                <w:b/>
                <w:kern w:val="0"/>
                <w:sz w:val="21"/>
                <w:szCs w:val="21"/>
                <w:lang w:val="en-US" w:eastAsia="zh-CN" w:bidi="ar-SA"/>
              </w:rPr>
              <w:t>7</w:t>
            </w:r>
            <w:r>
              <w:rPr>
                <w:rFonts w:cs="Times New Roman"/>
              </w:rPr>
              <w:t>项目生产车间噪声源强 单位：dB（A）</w:t>
            </w:r>
          </w:p>
          <w:tbl>
            <w:tblPr>
              <w:tblStyle w:val="75"/>
              <w:tblW w:w="49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9"/>
              <w:gridCol w:w="1627"/>
              <w:gridCol w:w="1289"/>
              <w:gridCol w:w="979"/>
              <w:gridCol w:w="1240"/>
              <w:gridCol w:w="1041"/>
              <w:gridCol w:w="1617"/>
            </w:tblGrid>
            <w:tr w14:paraId="0C3087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14:paraId="1AFA34E0">
                  <w:pPr>
                    <w:jc w:val="center"/>
                    <w:rPr>
                      <w:rFonts w:ascii="Times New Roman" w:hAnsi="Times New Roman"/>
                    </w:rPr>
                  </w:pPr>
                  <w:bookmarkStart w:id="10" w:name="_Hlk80807992"/>
                  <w:r>
                    <w:rPr>
                      <w:rFonts w:ascii="Times New Roman" w:hAnsi="Times New Roman"/>
                    </w:rPr>
                    <w:t>序号</w:t>
                  </w:r>
                </w:p>
              </w:tc>
              <w:tc>
                <w:tcPr>
                  <w:tcW w:w="1600" w:type="dxa"/>
                  <w:vAlign w:val="center"/>
                </w:tcPr>
                <w:p w14:paraId="0BCB3990">
                  <w:pPr>
                    <w:jc w:val="center"/>
                    <w:rPr>
                      <w:rFonts w:ascii="Times New Roman" w:hAnsi="Times New Roman"/>
                    </w:rPr>
                  </w:pPr>
                  <w:r>
                    <w:rPr>
                      <w:rFonts w:ascii="Times New Roman" w:hAnsi="Times New Roman"/>
                    </w:rPr>
                    <w:t>噪声源</w:t>
                  </w:r>
                </w:p>
              </w:tc>
              <w:tc>
                <w:tcPr>
                  <w:tcW w:w="1268" w:type="dxa"/>
                  <w:vAlign w:val="center"/>
                </w:tcPr>
                <w:p w14:paraId="0E6C0808">
                  <w:pPr>
                    <w:jc w:val="center"/>
                    <w:rPr>
                      <w:rFonts w:ascii="Times New Roman" w:hAnsi="Times New Roman"/>
                    </w:rPr>
                  </w:pPr>
                  <w:r>
                    <w:rPr>
                      <w:rFonts w:ascii="Times New Roman" w:hAnsi="Times New Roman"/>
                    </w:rPr>
                    <w:t>数量（台/套）</w:t>
                  </w:r>
                </w:p>
              </w:tc>
              <w:tc>
                <w:tcPr>
                  <w:tcW w:w="963" w:type="dxa"/>
                  <w:vAlign w:val="center"/>
                </w:tcPr>
                <w:p w14:paraId="617CCFA7">
                  <w:pPr>
                    <w:jc w:val="center"/>
                    <w:rPr>
                      <w:rFonts w:ascii="Times New Roman" w:hAnsi="Times New Roman"/>
                    </w:rPr>
                  </w:pPr>
                  <w:r>
                    <w:rPr>
                      <w:rFonts w:ascii="Times New Roman" w:hAnsi="Times New Roman"/>
                    </w:rPr>
                    <w:t>源强</w:t>
                  </w:r>
                </w:p>
              </w:tc>
              <w:tc>
                <w:tcPr>
                  <w:tcW w:w="1220" w:type="dxa"/>
                  <w:vAlign w:val="center"/>
                </w:tcPr>
                <w:p w14:paraId="0C373514">
                  <w:pPr>
                    <w:jc w:val="center"/>
                    <w:rPr>
                      <w:rFonts w:ascii="Times New Roman" w:hAnsi="Times New Roman"/>
                    </w:rPr>
                  </w:pPr>
                  <w:r>
                    <w:rPr>
                      <w:rFonts w:ascii="Times New Roman" w:hAnsi="Times New Roman"/>
                    </w:rPr>
                    <w:t>噪声衰减值</w:t>
                  </w:r>
                </w:p>
              </w:tc>
              <w:tc>
                <w:tcPr>
                  <w:tcW w:w="1024" w:type="dxa"/>
                  <w:vAlign w:val="center"/>
                </w:tcPr>
                <w:p w14:paraId="3CFBF9F6">
                  <w:pPr>
                    <w:jc w:val="center"/>
                    <w:rPr>
                      <w:rFonts w:ascii="Times New Roman" w:hAnsi="Times New Roman"/>
                    </w:rPr>
                  </w:pPr>
                  <w:r>
                    <w:rPr>
                      <w:rFonts w:ascii="Times New Roman" w:hAnsi="Times New Roman"/>
                    </w:rPr>
                    <w:t>治理措施</w:t>
                  </w:r>
                </w:p>
              </w:tc>
              <w:tc>
                <w:tcPr>
                  <w:tcW w:w="1590" w:type="dxa"/>
                  <w:vAlign w:val="center"/>
                </w:tcPr>
                <w:p w14:paraId="29B126F7">
                  <w:pPr>
                    <w:jc w:val="center"/>
                    <w:rPr>
                      <w:rFonts w:ascii="Times New Roman" w:hAnsi="Times New Roman"/>
                    </w:rPr>
                  </w:pPr>
                  <w:r>
                    <w:rPr>
                      <w:rFonts w:ascii="Times New Roman" w:hAnsi="Times New Roman"/>
                    </w:rPr>
                    <w:t>减震降噪后声级</w:t>
                  </w:r>
                </w:p>
              </w:tc>
            </w:tr>
            <w:tr w14:paraId="48CD79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14:paraId="3CDD6F24">
                  <w:pPr>
                    <w:jc w:val="center"/>
                    <w:rPr>
                      <w:rFonts w:ascii="Times New Roman" w:hAnsi="Times New Roman"/>
                    </w:rPr>
                  </w:pPr>
                  <w:r>
                    <w:rPr>
                      <w:rFonts w:ascii="Times New Roman" w:hAnsi="Times New Roman"/>
                    </w:rPr>
                    <w:t>1</w:t>
                  </w:r>
                </w:p>
              </w:tc>
              <w:tc>
                <w:tcPr>
                  <w:tcW w:w="1600" w:type="dxa"/>
                  <w:vAlign w:val="center"/>
                </w:tcPr>
                <w:p w14:paraId="15FD9272">
                  <w:pPr>
                    <w:jc w:val="center"/>
                    <w:rPr>
                      <w:rFonts w:ascii="Times New Roman" w:hAnsi="Times New Roman"/>
                    </w:rPr>
                  </w:pPr>
                  <w:r>
                    <w:rPr>
                      <w:rFonts w:ascii="Times New Roman" w:hAnsi="Times New Roman"/>
                      <w:szCs w:val="21"/>
                    </w:rPr>
                    <w:t>注塑机</w:t>
                  </w:r>
                </w:p>
              </w:tc>
              <w:tc>
                <w:tcPr>
                  <w:tcW w:w="1268" w:type="dxa"/>
                  <w:vAlign w:val="center"/>
                </w:tcPr>
                <w:p w14:paraId="3BE7D523">
                  <w:pPr>
                    <w:jc w:val="center"/>
                    <w:rPr>
                      <w:rFonts w:hint="default" w:ascii="Times New Roman" w:hAnsi="Times New Roman" w:eastAsia="宋体"/>
                      <w:highlight w:val="none"/>
                      <w:lang w:val="en-US" w:eastAsia="zh-CN"/>
                    </w:rPr>
                  </w:pPr>
                  <w:r>
                    <w:rPr>
                      <w:rFonts w:hint="eastAsia"/>
                      <w:szCs w:val="21"/>
                      <w:highlight w:val="none"/>
                      <w:lang w:val="en-US" w:eastAsia="zh-CN"/>
                    </w:rPr>
                    <w:t>15</w:t>
                  </w:r>
                </w:p>
              </w:tc>
              <w:tc>
                <w:tcPr>
                  <w:tcW w:w="963" w:type="dxa"/>
                  <w:vAlign w:val="center"/>
                </w:tcPr>
                <w:p w14:paraId="47E8829F">
                  <w:pPr>
                    <w:jc w:val="center"/>
                    <w:rPr>
                      <w:rFonts w:hint="default" w:ascii="Times New Roman" w:hAnsi="Times New Roman" w:eastAsia="宋体"/>
                      <w:lang w:val="en-US" w:eastAsia="zh-CN"/>
                    </w:rPr>
                  </w:pPr>
                  <w:r>
                    <w:rPr>
                      <w:rFonts w:hint="eastAsia"/>
                      <w:szCs w:val="21"/>
                      <w:lang w:val="en-US" w:eastAsia="zh-CN"/>
                    </w:rPr>
                    <w:t>70~80</w:t>
                  </w:r>
                </w:p>
              </w:tc>
              <w:tc>
                <w:tcPr>
                  <w:tcW w:w="1220" w:type="dxa"/>
                  <w:vAlign w:val="center"/>
                </w:tcPr>
                <w:p w14:paraId="3DE7DE9C">
                  <w:pPr>
                    <w:jc w:val="center"/>
                    <w:rPr>
                      <w:rFonts w:ascii="Times New Roman" w:hAnsi="Times New Roman"/>
                    </w:rPr>
                  </w:pPr>
                  <w:r>
                    <w:rPr>
                      <w:rFonts w:ascii="Times New Roman" w:hAnsi="Times New Roman"/>
                    </w:rPr>
                    <w:t>15～</w:t>
                  </w:r>
                  <w:r>
                    <w:rPr>
                      <w:rFonts w:hint="eastAsia"/>
                      <w:lang w:val="en-US" w:eastAsia="zh-CN"/>
                    </w:rPr>
                    <w:t>2</w:t>
                  </w:r>
                  <w:r>
                    <w:rPr>
                      <w:rFonts w:ascii="Times New Roman" w:hAnsi="Times New Roman"/>
                    </w:rPr>
                    <w:t>0</w:t>
                  </w:r>
                </w:p>
              </w:tc>
              <w:tc>
                <w:tcPr>
                  <w:tcW w:w="1024" w:type="dxa"/>
                  <w:vMerge w:val="restart"/>
                  <w:vAlign w:val="center"/>
                </w:tcPr>
                <w:p w14:paraId="0353E024">
                  <w:pPr>
                    <w:jc w:val="center"/>
                    <w:rPr>
                      <w:rFonts w:ascii="Times New Roman" w:hAnsi="Times New Roman"/>
                    </w:rPr>
                  </w:pPr>
                  <w:r>
                    <w:rPr>
                      <w:rFonts w:ascii="Times New Roman" w:hAnsi="Times New Roman"/>
                    </w:rPr>
                    <w:t>隔声、减振底座</w:t>
                  </w:r>
                </w:p>
              </w:tc>
              <w:tc>
                <w:tcPr>
                  <w:tcW w:w="1590" w:type="dxa"/>
                  <w:vAlign w:val="center"/>
                </w:tcPr>
                <w:p w14:paraId="43CA73E9">
                  <w:pPr>
                    <w:jc w:val="center"/>
                    <w:rPr>
                      <w:rFonts w:ascii="Times New Roman" w:hAnsi="Times New Roman"/>
                    </w:rPr>
                  </w:pPr>
                  <w:r>
                    <w:rPr>
                      <w:rFonts w:ascii="Times New Roman" w:hAnsi="Times New Roman"/>
                    </w:rPr>
                    <w:t>60</w:t>
                  </w:r>
                </w:p>
              </w:tc>
            </w:tr>
            <w:tr w14:paraId="0ABA5B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14:paraId="0DB27C27">
                  <w:pPr>
                    <w:jc w:val="center"/>
                    <w:rPr>
                      <w:rFonts w:ascii="Times New Roman" w:hAnsi="Times New Roman"/>
                    </w:rPr>
                  </w:pPr>
                  <w:r>
                    <w:rPr>
                      <w:rFonts w:ascii="Times New Roman" w:hAnsi="Times New Roman"/>
                    </w:rPr>
                    <w:t>2</w:t>
                  </w:r>
                </w:p>
              </w:tc>
              <w:tc>
                <w:tcPr>
                  <w:tcW w:w="1600" w:type="dxa"/>
                  <w:vAlign w:val="center"/>
                </w:tcPr>
                <w:p w14:paraId="1351921A">
                  <w:pPr>
                    <w:jc w:val="center"/>
                    <w:rPr>
                      <w:rFonts w:hint="eastAsia" w:ascii="Times New Roman" w:hAnsi="Times New Roman" w:eastAsia="宋体"/>
                      <w:lang w:eastAsia="zh-CN"/>
                    </w:rPr>
                  </w:pPr>
                  <w:r>
                    <w:rPr>
                      <w:rFonts w:hint="eastAsia"/>
                      <w:szCs w:val="21"/>
                      <w:lang w:val="en-US" w:eastAsia="zh-CN"/>
                    </w:rPr>
                    <w:t>台钻</w:t>
                  </w:r>
                </w:p>
              </w:tc>
              <w:tc>
                <w:tcPr>
                  <w:tcW w:w="1268" w:type="dxa"/>
                  <w:vAlign w:val="center"/>
                </w:tcPr>
                <w:p w14:paraId="3B5EB02F">
                  <w:pPr>
                    <w:jc w:val="center"/>
                    <w:rPr>
                      <w:rFonts w:ascii="Times New Roman" w:hAnsi="Times New Roman"/>
                      <w:highlight w:val="none"/>
                    </w:rPr>
                  </w:pPr>
                  <w:r>
                    <w:rPr>
                      <w:rFonts w:ascii="Times New Roman" w:hAnsi="Times New Roman"/>
                      <w:szCs w:val="21"/>
                      <w:highlight w:val="none"/>
                    </w:rPr>
                    <w:t>2</w:t>
                  </w:r>
                </w:p>
              </w:tc>
              <w:tc>
                <w:tcPr>
                  <w:tcW w:w="963" w:type="dxa"/>
                  <w:vAlign w:val="center"/>
                </w:tcPr>
                <w:p w14:paraId="3A99D284">
                  <w:pPr>
                    <w:jc w:val="center"/>
                    <w:rPr>
                      <w:rFonts w:ascii="Times New Roman" w:hAnsi="Times New Roman"/>
                    </w:rPr>
                  </w:pPr>
                  <w:r>
                    <w:rPr>
                      <w:rFonts w:ascii="Times New Roman" w:hAnsi="Times New Roman"/>
                      <w:szCs w:val="21"/>
                    </w:rPr>
                    <w:t>85-95</w:t>
                  </w:r>
                </w:p>
              </w:tc>
              <w:tc>
                <w:tcPr>
                  <w:tcW w:w="1220" w:type="dxa"/>
                  <w:vAlign w:val="center"/>
                </w:tcPr>
                <w:p w14:paraId="3A2DEAD2">
                  <w:pPr>
                    <w:jc w:val="center"/>
                    <w:rPr>
                      <w:rFonts w:ascii="Times New Roman" w:hAnsi="Times New Roman"/>
                    </w:rPr>
                  </w:pPr>
                  <w:r>
                    <w:rPr>
                      <w:rFonts w:ascii="Times New Roman" w:hAnsi="Times New Roman"/>
                    </w:rPr>
                    <w:t>15～30</w:t>
                  </w:r>
                </w:p>
              </w:tc>
              <w:tc>
                <w:tcPr>
                  <w:tcW w:w="0" w:type="auto"/>
                  <w:vMerge w:val="continue"/>
                  <w:vAlign w:val="center"/>
                </w:tcPr>
                <w:p w14:paraId="0E963E1A">
                  <w:pPr>
                    <w:pStyle w:val="12"/>
                    <w:rPr>
                      <w:rFonts w:ascii="Times New Roman" w:hAnsi="Times New Roman"/>
                    </w:rPr>
                  </w:pPr>
                </w:p>
              </w:tc>
              <w:tc>
                <w:tcPr>
                  <w:tcW w:w="1590" w:type="dxa"/>
                  <w:vAlign w:val="center"/>
                </w:tcPr>
                <w:p w14:paraId="34D92DAF">
                  <w:pPr>
                    <w:jc w:val="center"/>
                    <w:rPr>
                      <w:rFonts w:ascii="Times New Roman" w:hAnsi="Times New Roman"/>
                    </w:rPr>
                  </w:pPr>
                  <w:r>
                    <w:rPr>
                      <w:rFonts w:ascii="Times New Roman" w:hAnsi="Times New Roman"/>
                    </w:rPr>
                    <w:t>65</w:t>
                  </w:r>
                </w:p>
              </w:tc>
            </w:tr>
            <w:tr w14:paraId="0FC6E7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14:paraId="2A658CA2">
                  <w:pPr>
                    <w:jc w:val="center"/>
                    <w:rPr>
                      <w:rFonts w:ascii="Times New Roman" w:hAnsi="Times New Roman"/>
                    </w:rPr>
                  </w:pPr>
                  <w:r>
                    <w:rPr>
                      <w:rFonts w:ascii="Times New Roman" w:hAnsi="Times New Roman"/>
                    </w:rPr>
                    <w:t>3</w:t>
                  </w:r>
                </w:p>
              </w:tc>
              <w:tc>
                <w:tcPr>
                  <w:tcW w:w="1600" w:type="dxa"/>
                  <w:vAlign w:val="center"/>
                </w:tcPr>
                <w:p w14:paraId="14D0EE28">
                  <w:pPr>
                    <w:jc w:val="center"/>
                    <w:rPr>
                      <w:rFonts w:ascii="Times New Roman" w:hAnsi="Times New Roman"/>
                    </w:rPr>
                  </w:pPr>
                  <w:r>
                    <w:rPr>
                      <w:rFonts w:ascii="Times New Roman" w:hAnsi="Times New Roman"/>
                      <w:szCs w:val="21"/>
                    </w:rPr>
                    <w:t>缝纫机</w:t>
                  </w:r>
                </w:p>
              </w:tc>
              <w:tc>
                <w:tcPr>
                  <w:tcW w:w="1268" w:type="dxa"/>
                  <w:vAlign w:val="center"/>
                </w:tcPr>
                <w:p w14:paraId="2E4D3D10">
                  <w:pPr>
                    <w:jc w:val="center"/>
                    <w:rPr>
                      <w:rFonts w:hint="default" w:ascii="Times New Roman" w:hAnsi="Times New Roman" w:eastAsia="宋体"/>
                      <w:highlight w:val="none"/>
                      <w:lang w:val="en-US" w:eastAsia="zh-CN"/>
                    </w:rPr>
                  </w:pPr>
                  <w:r>
                    <w:rPr>
                      <w:rFonts w:hint="eastAsia"/>
                      <w:szCs w:val="21"/>
                      <w:highlight w:val="none"/>
                      <w:lang w:val="en-US" w:eastAsia="zh-CN"/>
                    </w:rPr>
                    <w:t>10</w:t>
                  </w:r>
                </w:p>
              </w:tc>
              <w:tc>
                <w:tcPr>
                  <w:tcW w:w="963" w:type="dxa"/>
                  <w:vAlign w:val="center"/>
                </w:tcPr>
                <w:p w14:paraId="642C620E">
                  <w:pPr>
                    <w:jc w:val="center"/>
                    <w:rPr>
                      <w:rFonts w:ascii="Times New Roman" w:hAnsi="Times New Roman"/>
                    </w:rPr>
                  </w:pPr>
                  <w:r>
                    <w:rPr>
                      <w:rFonts w:ascii="Times New Roman" w:hAnsi="Times New Roman"/>
                      <w:szCs w:val="21"/>
                    </w:rPr>
                    <w:t>70~80</w:t>
                  </w:r>
                </w:p>
              </w:tc>
              <w:tc>
                <w:tcPr>
                  <w:tcW w:w="1220" w:type="dxa"/>
                  <w:vAlign w:val="center"/>
                </w:tcPr>
                <w:p w14:paraId="15BAABB9">
                  <w:pPr>
                    <w:jc w:val="center"/>
                    <w:rPr>
                      <w:rFonts w:ascii="Times New Roman" w:hAnsi="Times New Roman"/>
                    </w:rPr>
                  </w:pPr>
                  <w:r>
                    <w:rPr>
                      <w:rFonts w:ascii="Times New Roman" w:hAnsi="Times New Roman"/>
                    </w:rPr>
                    <w:t>15～30</w:t>
                  </w:r>
                </w:p>
              </w:tc>
              <w:tc>
                <w:tcPr>
                  <w:tcW w:w="0" w:type="auto"/>
                  <w:vMerge w:val="continue"/>
                  <w:vAlign w:val="center"/>
                </w:tcPr>
                <w:p w14:paraId="355A9C9E">
                  <w:pPr>
                    <w:pStyle w:val="12"/>
                    <w:rPr>
                      <w:rFonts w:ascii="Times New Roman" w:hAnsi="Times New Roman"/>
                    </w:rPr>
                  </w:pPr>
                </w:p>
              </w:tc>
              <w:tc>
                <w:tcPr>
                  <w:tcW w:w="1590" w:type="dxa"/>
                  <w:vAlign w:val="center"/>
                </w:tcPr>
                <w:p w14:paraId="70372D04">
                  <w:pPr>
                    <w:jc w:val="center"/>
                    <w:rPr>
                      <w:rFonts w:ascii="Times New Roman" w:hAnsi="Times New Roman"/>
                    </w:rPr>
                  </w:pPr>
                  <w:r>
                    <w:rPr>
                      <w:rFonts w:ascii="Times New Roman" w:hAnsi="Times New Roman"/>
                    </w:rPr>
                    <w:t>50</w:t>
                  </w:r>
                </w:p>
              </w:tc>
            </w:tr>
            <w:tr w14:paraId="20A9F3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14:paraId="5CAE7BEB">
                  <w:pPr>
                    <w:jc w:val="center"/>
                    <w:rPr>
                      <w:rFonts w:ascii="Times New Roman" w:hAnsi="Times New Roman"/>
                    </w:rPr>
                  </w:pPr>
                  <w:r>
                    <w:rPr>
                      <w:rFonts w:ascii="Times New Roman" w:hAnsi="Times New Roman"/>
                    </w:rPr>
                    <w:t>4</w:t>
                  </w:r>
                </w:p>
              </w:tc>
              <w:tc>
                <w:tcPr>
                  <w:tcW w:w="1600" w:type="dxa"/>
                  <w:vAlign w:val="center"/>
                </w:tcPr>
                <w:p w14:paraId="2CD4C2D6">
                  <w:pPr>
                    <w:jc w:val="center"/>
                    <w:rPr>
                      <w:rFonts w:hint="eastAsia" w:ascii="Times New Roman" w:hAnsi="Times New Roman" w:eastAsia="宋体"/>
                      <w:lang w:eastAsia="zh-CN"/>
                    </w:rPr>
                  </w:pPr>
                  <w:r>
                    <w:rPr>
                      <w:rFonts w:hint="eastAsia"/>
                      <w:szCs w:val="21"/>
                      <w:lang w:val="en-US" w:eastAsia="zh-CN"/>
                    </w:rPr>
                    <w:t>雕刻机</w:t>
                  </w:r>
                </w:p>
              </w:tc>
              <w:tc>
                <w:tcPr>
                  <w:tcW w:w="1268" w:type="dxa"/>
                  <w:vAlign w:val="center"/>
                </w:tcPr>
                <w:p w14:paraId="794344C2">
                  <w:pPr>
                    <w:jc w:val="center"/>
                    <w:rPr>
                      <w:rFonts w:hint="eastAsia" w:ascii="Times New Roman" w:hAnsi="Times New Roman" w:eastAsia="宋体"/>
                      <w:highlight w:val="none"/>
                      <w:lang w:eastAsia="zh-CN"/>
                    </w:rPr>
                  </w:pPr>
                  <w:r>
                    <w:rPr>
                      <w:rFonts w:hint="eastAsia"/>
                      <w:szCs w:val="21"/>
                      <w:highlight w:val="none"/>
                      <w:lang w:val="en-US" w:eastAsia="zh-CN"/>
                    </w:rPr>
                    <w:t>2</w:t>
                  </w:r>
                </w:p>
              </w:tc>
              <w:tc>
                <w:tcPr>
                  <w:tcW w:w="963" w:type="dxa"/>
                  <w:vAlign w:val="center"/>
                </w:tcPr>
                <w:p w14:paraId="24B1CF73">
                  <w:pPr>
                    <w:jc w:val="center"/>
                    <w:rPr>
                      <w:rFonts w:ascii="Times New Roman" w:hAnsi="Times New Roman"/>
                    </w:rPr>
                  </w:pPr>
                  <w:r>
                    <w:rPr>
                      <w:rFonts w:ascii="Times New Roman" w:hAnsi="Times New Roman"/>
                      <w:szCs w:val="21"/>
                    </w:rPr>
                    <w:t>75-85</w:t>
                  </w:r>
                </w:p>
              </w:tc>
              <w:tc>
                <w:tcPr>
                  <w:tcW w:w="1220" w:type="dxa"/>
                  <w:vAlign w:val="center"/>
                </w:tcPr>
                <w:p w14:paraId="547023C0">
                  <w:pPr>
                    <w:jc w:val="center"/>
                    <w:rPr>
                      <w:rFonts w:ascii="Times New Roman" w:hAnsi="Times New Roman"/>
                    </w:rPr>
                  </w:pPr>
                  <w:r>
                    <w:rPr>
                      <w:rFonts w:ascii="Times New Roman" w:hAnsi="Times New Roman"/>
                    </w:rPr>
                    <w:t>15～30</w:t>
                  </w:r>
                </w:p>
              </w:tc>
              <w:tc>
                <w:tcPr>
                  <w:tcW w:w="0" w:type="auto"/>
                  <w:vMerge w:val="continue"/>
                  <w:vAlign w:val="center"/>
                </w:tcPr>
                <w:p w14:paraId="6D1866B2">
                  <w:pPr>
                    <w:pStyle w:val="12"/>
                    <w:rPr>
                      <w:rFonts w:ascii="Times New Roman" w:hAnsi="Times New Roman"/>
                    </w:rPr>
                  </w:pPr>
                </w:p>
              </w:tc>
              <w:tc>
                <w:tcPr>
                  <w:tcW w:w="1590" w:type="dxa"/>
                  <w:vAlign w:val="center"/>
                </w:tcPr>
                <w:p w14:paraId="5C28B4B9">
                  <w:pPr>
                    <w:jc w:val="center"/>
                    <w:rPr>
                      <w:rFonts w:ascii="Times New Roman" w:hAnsi="Times New Roman"/>
                    </w:rPr>
                  </w:pPr>
                  <w:r>
                    <w:rPr>
                      <w:rFonts w:ascii="Times New Roman" w:hAnsi="Times New Roman"/>
                    </w:rPr>
                    <w:t>55</w:t>
                  </w:r>
                </w:p>
              </w:tc>
            </w:tr>
            <w:tr w14:paraId="6DA439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14:paraId="4A847B19">
                  <w:pPr>
                    <w:jc w:val="center"/>
                    <w:rPr>
                      <w:rFonts w:ascii="Times New Roman" w:hAnsi="Times New Roman"/>
                    </w:rPr>
                  </w:pPr>
                  <w:r>
                    <w:rPr>
                      <w:rFonts w:ascii="Times New Roman" w:hAnsi="Times New Roman"/>
                    </w:rPr>
                    <w:t>5</w:t>
                  </w:r>
                </w:p>
              </w:tc>
              <w:tc>
                <w:tcPr>
                  <w:tcW w:w="1600" w:type="dxa"/>
                  <w:vAlign w:val="center"/>
                </w:tcPr>
                <w:p w14:paraId="57734D64">
                  <w:pPr>
                    <w:jc w:val="center"/>
                    <w:rPr>
                      <w:rFonts w:ascii="Times New Roman" w:hAnsi="Times New Roman"/>
                      <w:szCs w:val="21"/>
                    </w:rPr>
                  </w:pPr>
                  <w:r>
                    <w:rPr>
                      <w:rFonts w:ascii="Times New Roman" w:hAnsi="Times New Roman"/>
                      <w:szCs w:val="21"/>
                    </w:rPr>
                    <w:t>风机</w:t>
                  </w:r>
                </w:p>
              </w:tc>
              <w:tc>
                <w:tcPr>
                  <w:tcW w:w="1268" w:type="dxa"/>
                  <w:vAlign w:val="center"/>
                </w:tcPr>
                <w:p w14:paraId="7D6CD0F6">
                  <w:pPr>
                    <w:jc w:val="center"/>
                    <w:rPr>
                      <w:rFonts w:ascii="Times New Roman" w:hAnsi="Times New Roman"/>
                      <w:szCs w:val="21"/>
                      <w:highlight w:val="none"/>
                    </w:rPr>
                  </w:pPr>
                  <w:r>
                    <w:rPr>
                      <w:rFonts w:ascii="Times New Roman" w:hAnsi="Times New Roman"/>
                      <w:szCs w:val="21"/>
                      <w:highlight w:val="none"/>
                    </w:rPr>
                    <w:t>1</w:t>
                  </w:r>
                </w:p>
              </w:tc>
              <w:tc>
                <w:tcPr>
                  <w:tcW w:w="963" w:type="dxa"/>
                  <w:vAlign w:val="center"/>
                </w:tcPr>
                <w:p w14:paraId="52997330">
                  <w:pPr>
                    <w:jc w:val="center"/>
                    <w:rPr>
                      <w:rFonts w:ascii="Times New Roman" w:hAnsi="Times New Roman"/>
                      <w:szCs w:val="21"/>
                    </w:rPr>
                  </w:pPr>
                  <w:r>
                    <w:rPr>
                      <w:rFonts w:ascii="Times New Roman" w:hAnsi="Times New Roman"/>
                    </w:rPr>
                    <w:t>75～80</w:t>
                  </w:r>
                </w:p>
              </w:tc>
              <w:tc>
                <w:tcPr>
                  <w:tcW w:w="1220" w:type="dxa"/>
                  <w:vAlign w:val="center"/>
                </w:tcPr>
                <w:p w14:paraId="63E4E229">
                  <w:pPr>
                    <w:jc w:val="center"/>
                    <w:rPr>
                      <w:rFonts w:ascii="Times New Roman" w:hAnsi="Times New Roman"/>
                    </w:rPr>
                  </w:pPr>
                  <w:r>
                    <w:rPr>
                      <w:rFonts w:ascii="Times New Roman" w:hAnsi="Times New Roman"/>
                    </w:rPr>
                    <w:t>15～20</w:t>
                  </w:r>
                </w:p>
              </w:tc>
              <w:tc>
                <w:tcPr>
                  <w:tcW w:w="0" w:type="auto"/>
                  <w:vMerge w:val="continue"/>
                  <w:vAlign w:val="center"/>
                </w:tcPr>
                <w:p w14:paraId="5EC5240C">
                  <w:pPr>
                    <w:pStyle w:val="12"/>
                    <w:rPr>
                      <w:rFonts w:ascii="Times New Roman" w:hAnsi="Times New Roman"/>
                    </w:rPr>
                  </w:pPr>
                </w:p>
              </w:tc>
              <w:tc>
                <w:tcPr>
                  <w:tcW w:w="1590" w:type="dxa"/>
                  <w:vAlign w:val="center"/>
                </w:tcPr>
                <w:p w14:paraId="4C04C271">
                  <w:pPr>
                    <w:jc w:val="center"/>
                    <w:rPr>
                      <w:rFonts w:ascii="Times New Roman" w:hAnsi="Times New Roman"/>
                    </w:rPr>
                  </w:pPr>
                  <w:r>
                    <w:rPr>
                      <w:rFonts w:ascii="Times New Roman" w:hAnsi="Times New Roman"/>
                    </w:rPr>
                    <w:t>60</w:t>
                  </w:r>
                </w:p>
              </w:tc>
            </w:tr>
            <w:tr w14:paraId="046828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14:paraId="4F73150D">
                  <w:pPr>
                    <w:jc w:val="center"/>
                    <w:rPr>
                      <w:rFonts w:hint="eastAsia" w:ascii="Times New Roman" w:hAnsi="Times New Roman" w:eastAsia="宋体"/>
                      <w:lang w:val="en-US" w:eastAsia="zh-CN"/>
                    </w:rPr>
                  </w:pPr>
                  <w:r>
                    <w:rPr>
                      <w:rFonts w:hint="eastAsia"/>
                      <w:lang w:val="en-US" w:eastAsia="zh-CN"/>
                    </w:rPr>
                    <w:t>6</w:t>
                  </w:r>
                </w:p>
              </w:tc>
              <w:tc>
                <w:tcPr>
                  <w:tcW w:w="1600" w:type="dxa"/>
                  <w:vAlign w:val="center"/>
                </w:tcPr>
                <w:p w14:paraId="7AFA9B6C">
                  <w:pPr>
                    <w:jc w:val="center"/>
                    <w:rPr>
                      <w:rFonts w:hint="eastAsia" w:ascii="Times New Roman" w:hAnsi="Times New Roman" w:eastAsia="宋体"/>
                      <w:szCs w:val="21"/>
                      <w:lang w:val="en-US" w:eastAsia="zh-CN"/>
                    </w:rPr>
                  </w:pPr>
                  <w:r>
                    <w:rPr>
                      <w:rFonts w:hint="eastAsia"/>
                      <w:szCs w:val="21"/>
                      <w:lang w:val="en-US" w:eastAsia="zh-CN"/>
                    </w:rPr>
                    <w:t>切割机</w:t>
                  </w:r>
                </w:p>
              </w:tc>
              <w:tc>
                <w:tcPr>
                  <w:tcW w:w="1268" w:type="dxa"/>
                  <w:vAlign w:val="center"/>
                </w:tcPr>
                <w:p w14:paraId="3E12C7B1">
                  <w:pPr>
                    <w:jc w:val="center"/>
                    <w:rPr>
                      <w:rFonts w:hint="eastAsia" w:ascii="Times New Roman" w:hAnsi="Times New Roman" w:eastAsia="宋体"/>
                      <w:szCs w:val="21"/>
                      <w:highlight w:val="none"/>
                      <w:lang w:val="en-US" w:eastAsia="zh-CN"/>
                    </w:rPr>
                  </w:pPr>
                  <w:r>
                    <w:rPr>
                      <w:rFonts w:hint="eastAsia"/>
                      <w:szCs w:val="21"/>
                      <w:highlight w:val="none"/>
                      <w:lang w:val="en-US" w:eastAsia="zh-CN"/>
                    </w:rPr>
                    <w:t>1</w:t>
                  </w:r>
                </w:p>
              </w:tc>
              <w:tc>
                <w:tcPr>
                  <w:tcW w:w="963" w:type="dxa"/>
                  <w:vAlign w:val="center"/>
                </w:tcPr>
                <w:p w14:paraId="7FD2E87D">
                  <w:pPr>
                    <w:jc w:val="center"/>
                    <w:rPr>
                      <w:rFonts w:hint="default" w:ascii="Times New Roman" w:hAnsi="Times New Roman" w:eastAsia="宋体"/>
                      <w:lang w:val="en-US" w:eastAsia="zh-CN"/>
                    </w:rPr>
                  </w:pPr>
                  <w:r>
                    <w:rPr>
                      <w:rFonts w:hint="eastAsia"/>
                      <w:lang w:val="en-US" w:eastAsia="zh-CN"/>
                    </w:rPr>
                    <w:t>75~80</w:t>
                  </w:r>
                </w:p>
              </w:tc>
              <w:tc>
                <w:tcPr>
                  <w:tcW w:w="1220" w:type="dxa"/>
                  <w:vAlign w:val="center"/>
                </w:tcPr>
                <w:p w14:paraId="6AFB0FB9">
                  <w:pPr>
                    <w:jc w:val="center"/>
                    <w:rPr>
                      <w:rFonts w:ascii="Times New Roman" w:hAnsi="Times New Roman"/>
                    </w:rPr>
                  </w:pPr>
                  <w:r>
                    <w:rPr>
                      <w:rFonts w:ascii="Times New Roman" w:hAnsi="Times New Roman"/>
                    </w:rPr>
                    <w:t>15～20</w:t>
                  </w:r>
                </w:p>
              </w:tc>
              <w:tc>
                <w:tcPr>
                  <w:tcW w:w="0" w:type="auto"/>
                  <w:vMerge w:val="continue"/>
                  <w:vAlign w:val="center"/>
                </w:tcPr>
                <w:p w14:paraId="6F2DF8BC">
                  <w:pPr>
                    <w:pStyle w:val="12"/>
                    <w:rPr>
                      <w:rFonts w:ascii="Times New Roman" w:hAnsi="Times New Roman"/>
                    </w:rPr>
                  </w:pPr>
                </w:p>
              </w:tc>
              <w:tc>
                <w:tcPr>
                  <w:tcW w:w="1590" w:type="dxa"/>
                  <w:vAlign w:val="center"/>
                </w:tcPr>
                <w:p w14:paraId="78187EF7">
                  <w:pPr>
                    <w:jc w:val="center"/>
                    <w:rPr>
                      <w:rFonts w:hint="default" w:ascii="Times New Roman" w:hAnsi="Times New Roman" w:eastAsia="宋体"/>
                      <w:lang w:val="en-US" w:eastAsia="zh-CN"/>
                    </w:rPr>
                  </w:pPr>
                  <w:r>
                    <w:rPr>
                      <w:rFonts w:hint="eastAsia"/>
                      <w:lang w:val="en-US" w:eastAsia="zh-CN"/>
                    </w:rPr>
                    <w:t>60</w:t>
                  </w:r>
                </w:p>
              </w:tc>
            </w:tr>
            <w:tr w14:paraId="22CE9A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14:paraId="23CEAE59">
                  <w:pPr>
                    <w:jc w:val="center"/>
                    <w:rPr>
                      <w:rFonts w:hint="default"/>
                      <w:lang w:val="en-US" w:eastAsia="zh-CN"/>
                    </w:rPr>
                  </w:pPr>
                  <w:r>
                    <w:rPr>
                      <w:rFonts w:hint="eastAsia"/>
                      <w:lang w:val="en-US" w:eastAsia="zh-CN"/>
                    </w:rPr>
                    <w:t>7</w:t>
                  </w:r>
                </w:p>
              </w:tc>
              <w:tc>
                <w:tcPr>
                  <w:tcW w:w="1600" w:type="dxa"/>
                  <w:vAlign w:val="center"/>
                </w:tcPr>
                <w:p w14:paraId="648F6FE6">
                  <w:pPr>
                    <w:jc w:val="center"/>
                    <w:rPr>
                      <w:rFonts w:hint="eastAsia" w:ascii="Times New Roman" w:hAnsi="Times New Roman" w:eastAsia="宋体"/>
                      <w:szCs w:val="21"/>
                      <w:lang w:val="en-US" w:eastAsia="zh-CN"/>
                    </w:rPr>
                  </w:pPr>
                  <w:r>
                    <w:rPr>
                      <w:rFonts w:hint="eastAsia"/>
                      <w:szCs w:val="21"/>
                      <w:lang w:val="en-US" w:eastAsia="zh-CN"/>
                    </w:rPr>
                    <w:t>粉碎机</w:t>
                  </w:r>
                </w:p>
              </w:tc>
              <w:tc>
                <w:tcPr>
                  <w:tcW w:w="1268" w:type="dxa"/>
                  <w:vAlign w:val="center"/>
                </w:tcPr>
                <w:p w14:paraId="6A6A5505">
                  <w:pPr>
                    <w:jc w:val="center"/>
                    <w:rPr>
                      <w:rFonts w:hint="default"/>
                      <w:szCs w:val="21"/>
                      <w:highlight w:val="none"/>
                      <w:lang w:val="en-US" w:eastAsia="zh-CN"/>
                    </w:rPr>
                  </w:pPr>
                  <w:r>
                    <w:rPr>
                      <w:rFonts w:hint="eastAsia"/>
                      <w:szCs w:val="21"/>
                      <w:highlight w:val="none"/>
                      <w:lang w:val="en-US" w:eastAsia="zh-CN"/>
                    </w:rPr>
                    <w:t>2</w:t>
                  </w:r>
                </w:p>
              </w:tc>
              <w:tc>
                <w:tcPr>
                  <w:tcW w:w="963" w:type="dxa"/>
                  <w:vAlign w:val="center"/>
                </w:tcPr>
                <w:p w14:paraId="67C02A71">
                  <w:pPr>
                    <w:jc w:val="center"/>
                    <w:rPr>
                      <w:rFonts w:ascii="Times New Roman" w:hAnsi="Times New Roman"/>
                    </w:rPr>
                  </w:pPr>
                  <w:r>
                    <w:rPr>
                      <w:rFonts w:hint="eastAsia"/>
                      <w:lang w:val="en-US" w:eastAsia="zh-CN"/>
                    </w:rPr>
                    <w:t>75~80</w:t>
                  </w:r>
                </w:p>
              </w:tc>
              <w:tc>
                <w:tcPr>
                  <w:tcW w:w="1220" w:type="dxa"/>
                  <w:vAlign w:val="center"/>
                </w:tcPr>
                <w:p w14:paraId="01AE8753">
                  <w:pPr>
                    <w:jc w:val="center"/>
                    <w:rPr>
                      <w:rFonts w:ascii="Times New Roman" w:hAnsi="Times New Roman"/>
                    </w:rPr>
                  </w:pPr>
                  <w:r>
                    <w:rPr>
                      <w:rFonts w:ascii="Times New Roman" w:hAnsi="Times New Roman"/>
                    </w:rPr>
                    <w:t>15～20</w:t>
                  </w:r>
                </w:p>
              </w:tc>
              <w:tc>
                <w:tcPr>
                  <w:tcW w:w="0" w:type="auto"/>
                  <w:vMerge w:val="continue"/>
                  <w:vAlign w:val="center"/>
                </w:tcPr>
                <w:p w14:paraId="017B4828">
                  <w:pPr>
                    <w:widowControl/>
                    <w:jc w:val="left"/>
                    <w:rPr>
                      <w:rFonts w:ascii="Times New Roman" w:hAnsi="Times New Roman"/>
                    </w:rPr>
                  </w:pPr>
                </w:p>
              </w:tc>
              <w:tc>
                <w:tcPr>
                  <w:tcW w:w="1590" w:type="dxa"/>
                  <w:vAlign w:val="center"/>
                </w:tcPr>
                <w:p w14:paraId="5F38BE12">
                  <w:pPr>
                    <w:jc w:val="center"/>
                    <w:rPr>
                      <w:rFonts w:hint="default" w:ascii="Times New Roman" w:hAnsi="Times New Roman" w:eastAsia="宋体"/>
                      <w:lang w:val="en-US" w:eastAsia="zh-CN"/>
                    </w:rPr>
                  </w:pPr>
                  <w:r>
                    <w:rPr>
                      <w:rFonts w:hint="eastAsia"/>
                      <w:lang w:val="en-US" w:eastAsia="zh-CN"/>
                    </w:rPr>
                    <w:t>60</w:t>
                  </w:r>
                </w:p>
              </w:tc>
            </w:tr>
            <w:tr w14:paraId="66A1E4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14:paraId="7FF32406">
                  <w:pPr>
                    <w:jc w:val="center"/>
                    <w:rPr>
                      <w:rFonts w:hint="eastAsia" w:ascii="Times New Roman" w:hAnsi="Times New Roman" w:eastAsia="宋体"/>
                      <w:lang w:val="en-US" w:eastAsia="zh-CN"/>
                    </w:rPr>
                  </w:pPr>
                  <w:r>
                    <w:rPr>
                      <w:rFonts w:hint="eastAsia"/>
                      <w:lang w:val="en-US" w:eastAsia="zh-CN"/>
                    </w:rPr>
                    <w:t>8</w:t>
                  </w:r>
                </w:p>
              </w:tc>
              <w:tc>
                <w:tcPr>
                  <w:tcW w:w="1600" w:type="dxa"/>
                  <w:vAlign w:val="center"/>
                </w:tcPr>
                <w:p w14:paraId="2DB9FE5B">
                  <w:pPr>
                    <w:jc w:val="center"/>
                    <w:rPr>
                      <w:rFonts w:ascii="Times New Roman" w:hAnsi="Times New Roman"/>
                      <w:szCs w:val="21"/>
                    </w:rPr>
                  </w:pPr>
                  <w:r>
                    <w:rPr>
                      <w:rFonts w:ascii="Times New Roman" w:hAnsi="Times New Roman"/>
                      <w:szCs w:val="21"/>
                    </w:rPr>
                    <w:t>空压机</w:t>
                  </w:r>
                </w:p>
              </w:tc>
              <w:tc>
                <w:tcPr>
                  <w:tcW w:w="1268" w:type="dxa"/>
                  <w:vAlign w:val="center"/>
                </w:tcPr>
                <w:p w14:paraId="535FAC6B">
                  <w:pPr>
                    <w:jc w:val="center"/>
                    <w:rPr>
                      <w:rFonts w:hint="eastAsia" w:ascii="Times New Roman" w:hAnsi="Times New Roman" w:eastAsia="宋体"/>
                      <w:szCs w:val="21"/>
                      <w:highlight w:val="none"/>
                      <w:lang w:eastAsia="zh-CN"/>
                    </w:rPr>
                  </w:pPr>
                  <w:r>
                    <w:rPr>
                      <w:rFonts w:hint="eastAsia"/>
                      <w:szCs w:val="21"/>
                      <w:highlight w:val="none"/>
                      <w:lang w:val="en-US" w:eastAsia="zh-CN"/>
                    </w:rPr>
                    <w:t>3</w:t>
                  </w:r>
                </w:p>
              </w:tc>
              <w:tc>
                <w:tcPr>
                  <w:tcW w:w="963" w:type="dxa"/>
                  <w:vAlign w:val="center"/>
                </w:tcPr>
                <w:p w14:paraId="18666A07">
                  <w:pPr>
                    <w:jc w:val="center"/>
                    <w:rPr>
                      <w:rFonts w:ascii="Times New Roman" w:hAnsi="Times New Roman"/>
                      <w:szCs w:val="21"/>
                    </w:rPr>
                  </w:pPr>
                  <w:r>
                    <w:rPr>
                      <w:rFonts w:ascii="Times New Roman" w:hAnsi="Times New Roman"/>
                    </w:rPr>
                    <w:t>75～80</w:t>
                  </w:r>
                </w:p>
              </w:tc>
              <w:tc>
                <w:tcPr>
                  <w:tcW w:w="1220" w:type="dxa"/>
                  <w:vAlign w:val="center"/>
                </w:tcPr>
                <w:p w14:paraId="2BFE4A43">
                  <w:pPr>
                    <w:jc w:val="center"/>
                    <w:rPr>
                      <w:rFonts w:ascii="Times New Roman" w:hAnsi="Times New Roman"/>
                    </w:rPr>
                  </w:pPr>
                  <w:r>
                    <w:rPr>
                      <w:rFonts w:ascii="Times New Roman" w:hAnsi="Times New Roman"/>
                    </w:rPr>
                    <w:t>15～20</w:t>
                  </w:r>
                </w:p>
              </w:tc>
              <w:tc>
                <w:tcPr>
                  <w:tcW w:w="0" w:type="auto"/>
                  <w:vMerge w:val="continue"/>
                  <w:vAlign w:val="center"/>
                </w:tcPr>
                <w:p w14:paraId="5573BD43">
                  <w:pPr>
                    <w:widowControl/>
                    <w:jc w:val="left"/>
                    <w:rPr>
                      <w:rFonts w:ascii="Times New Roman" w:hAnsi="Times New Roman"/>
                    </w:rPr>
                  </w:pPr>
                </w:p>
              </w:tc>
              <w:tc>
                <w:tcPr>
                  <w:tcW w:w="1590" w:type="dxa"/>
                  <w:vAlign w:val="center"/>
                </w:tcPr>
                <w:p w14:paraId="543093C6">
                  <w:pPr>
                    <w:jc w:val="center"/>
                    <w:rPr>
                      <w:rFonts w:hint="default" w:ascii="Times New Roman" w:hAnsi="Times New Roman" w:eastAsia="宋体"/>
                      <w:lang w:val="en-US" w:eastAsia="zh-CN"/>
                    </w:rPr>
                  </w:pPr>
                  <w:r>
                    <w:rPr>
                      <w:rFonts w:hint="eastAsia"/>
                      <w:lang w:val="en-US" w:eastAsia="zh-CN"/>
                    </w:rPr>
                    <w:t>60</w:t>
                  </w:r>
                </w:p>
              </w:tc>
            </w:tr>
            <w:bookmarkEnd w:id="10"/>
          </w:tbl>
          <w:p w14:paraId="6A2631A2">
            <w:pPr>
              <w:adjustRightInd w:val="0"/>
              <w:snapToGrid w:val="0"/>
              <w:spacing w:before="120" w:beforeLines="50" w:line="360" w:lineRule="auto"/>
              <w:ind w:firstLine="482" w:firstLineChars="200"/>
              <w:rPr>
                <w:b/>
                <w:bCs/>
                <w:sz w:val="24"/>
              </w:rPr>
            </w:pPr>
            <w:r>
              <w:rPr>
                <w:b/>
                <w:bCs/>
                <w:sz w:val="24"/>
              </w:rPr>
              <w:t>2、厂界达标情况分析</w:t>
            </w:r>
          </w:p>
          <w:p w14:paraId="564AF449">
            <w:pPr>
              <w:adjustRightInd w:val="0"/>
              <w:snapToGrid w:val="0"/>
              <w:spacing w:line="360" w:lineRule="auto"/>
              <w:ind w:firstLine="480" w:firstLineChars="200"/>
              <w:rPr>
                <w:sz w:val="24"/>
                <w:lang w:val="zh-CN"/>
              </w:rPr>
            </w:pPr>
            <w:r>
              <w:rPr>
                <w:sz w:val="24"/>
                <w:lang w:val="zh-CN"/>
              </w:rPr>
              <w:t>根据设备噪声强度，采用距离衰减模式分析该项目对声环境的影响。预测模式采用《环境影响评价技术导则—声环境》（HJ2.4</w:t>
            </w:r>
            <w:r>
              <w:rPr>
                <w:sz w:val="24"/>
              </w:rPr>
              <w:t>-</w:t>
            </w:r>
            <w:r>
              <w:rPr>
                <w:sz w:val="24"/>
                <w:lang w:val="zh-CN"/>
              </w:rPr>
              <w:t>2009）中推荐的噪声预测模式，噪声衰减公式：</w:t>
            </w:r>
          </w:p>
          <w:p w14:paraId="148A6598">
            <w:pPr>
              <w:adjustRightInd w:val="0"/>
              <w:snapToGrid w:val="0"/>
              <w:spacing w:line="360" w:lineRule="auto"/>
              <w:ind w:firstLine="480" w:firstLineChars="200"/>
              <w:rPr>
                <w:sz w:val="24"/>
              </w:rPr>
            </w:pPr>
            <w:r>
              <w:rPr>
                <w:rFonts w:hint="eastAsia" w:ascii="宋体" w:hAnsi="宋体" w:cs="宋体"/>
                <w:sz w:val="24"/>
              </w:rPr>
              <w:t>①</w:t>
            </w:r>
            <w:r>
              <w:rPr>
                <w:sz w:val="24"/>
              </w:rPr>
              <w:t xml:space="preserve"> 单个室外的点声源在预测点产生的声级计算基本公式</w:t>
            </w:r>
          </w:p>
          <w:p w14:paraId="1C68403A">
            <w:pPr>
              <w:adjustRightInd w:val="0"/>
              <w:snapToGrid w:val="0"/>
              <w:spacing w:line="360" w:lineRule="auto"/>
              <w:jc w:val="center"/>
              <w:rPr>
                <w:sz w:val="24"/>
              </w:rPr>
            </w:pPr>
            <w:r>
              <w:rPr>
                <w:sz w:val="24"/>
              </w:rPr>
              <w:drawing>
                <wp:inline distT="0" distB="0" distL="0" distR="0">
                  <wp:extent cx="1856105" cy="2743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856105" cy="274320"/>
                          </a:xfrm>
                          <a:prstGeom prst="rect">
                            <a:avLst/>
                          </a:prstGeom>
                          <a:noFill/>
                          <a:ln>
                            <a:noFill/>
                          </a:ln>
                        </pic:spPr>
                      </pic:pic>
                    </a:graphicData>
                  </a:graphic>
                </wp:inline>
              </w:drawing>
            </w:r>
          </w:p>
          <w:p w14:paraId="6674B9E6">
            <w:pPr>
              <w:adjustRightInd w:val="0"/>
              <w:snapToGrid w:val="0"/>
              <w:spacing w:line="360" w:lineRule="auto"/>
              <w:jc w:val="center"/>
              <w:rPr>
                <w:sz w:val="24"/>
                <w:lang w:val="zh-CN"/>
              </w:rPr>
            </w:pPr>
            <w:r>
              <w:rPr>
                <w:sz w:val="24"/>
              </w:rPr>
              <w:drawing>
                <wp:inline distT="0" distB="0" distL="0" distR="0">
                  <wp:extent cx="3026410" cy="283210"/>
                  <wp:effectExtent l="0" t="0" r="254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026410" cy="283210"/>
                          </a:xfrm>
                          <a:prstGeom prst="rect">
                            <a:avLst/>
                          </a:prstGeom>
                          <a:noFill/>
                          <a:ln>
                            <a:noFill/>
                          </a:ln>
                        </pic:spPr>
                      </pic:pic>
                    </a:graphicData>
                  </a:graphic>
                </wp:inline>
              </w:drawing>
            </w:r>
          </w:p>
          <w:p w14:paraId="270C9BAD">
            <w:pPr>
              <w:adjustRightInd w:val="0"/>
              <w:snapToGrid w:val="0"/>
              <w:spacing w:line="360" w:lineRule="auto"/>
              <w:ind w:firstLine="480" w:firstLineChars="200"/>
              <w:rPr>
                <w:sz w:val="24"/>
              </w:rPr>
            </w:pPr>
            <w:r>
              <w:rPr>
                <w:sz w:val="24"/>
              </w:rPr>
              <w:t>式中：L</w:t>
            </w:r>
            <w:r>
              <w:rPr>
                <w:sz w:val="24"/>
                <w:vertAlign w:val="subscript"/>
              </w:rPr>
              <w:t>W</w:t>
            </w:r>
            <w:r>
              <w:rPr>
                <w:sz w:val="24"/>
              </w:rPr>
              <w:t>——倍频带声功率级，dB；</w:t>
            </w:r>
          </w:p>
          <w:p w14:paraId="29BCFDA3">
            <w:pPr>
              <w:adjustRightInd w:val="0"/>
              <w:snapToGrid w:val="0"/>
              <w:spacing w:line="360" w:lineRule="auto"/>
              <w:ind w:firstLine="1200" w:firstLineChars="500"/>
              <w:rPr>
                <w:sz w:val="24"/>
              </w:rPr>
            </w:pPr>
            <w:r>
              <w:rPr>
                <w:sz w:val="24"/>
              </w:rPr>
              <w:t>D</w:t>
            </w:r>
            <w:r>
              <w:rPr>
                <w:sz w:val="24"/>
                <w:vertAlign w:val="subscript"/>
              </w:rPr>
              <w:t>C</w:t>
            </w:r>
            <w:r>
              <w:rPr>
                <w:sz w:val="24"/>
              </w:rPr>
              <w:t>——指向性校正，dB；</w:t>
            </w:r>
          </w:p>
          <w:p w14:paraId="525B1C1F">
            <w:pPr>
              <w:adjustRightInd w:val="0"/>
              <w:snapToGrid w:val="0"/>
              <w:spacing w:line="360" w:lineRule="auto"/>
              <w:ind w:firstLine="1200" w:firstLineChars="500"/>
              <w:rPr>
                <w:sz w:val="24"/>
              </w:rPr>
            </w:pPr>
            <w:r>
              <w:rPr>
                <w:sz w:val="24"/>
              </w:rPr>
              <w:t>A——倍频带衰减，dB；</w:t>
            </w:r>
          </w:p>
          <w:p w14:paraId="0C52BD29">
            <w:pPr>
              <w:adjustRightInd w:val="0"/>
              <w:snapToGrid w:val="0"/>
              <w:spacing w:line="360" w:lineRule="auto"/>
              <w:ind w:firstLine="1200" w:firstLineChars="500"/>
              <w:rPr>
                <w:sz w:val="24"/>
              </w:rPr>
            </w:pPr>
            <w:r>
              <w:rPr>
                <w:sz w:val="24"/>
              </w:rPr>
              <w:t>A</w:t>
            </w:r>
            <w:r>
              <w:rPr>
                <w:sz w:val="24"/>
                <w:vertAlign w:val="subscript"/>
              </w:rPr>
              <w:t>div</w:t>
            </w:r>
            <w:r>
              <w:rPr>
                <w:sz w:val="24"/>
              </w:rPr>
              <w:t>——几何发散引起的倍频带衰减，dB；</w:t>
            </w:r>
          </w:p>
          <w:p w14:paraId="5D2F96F3">
            <w:pPr>
              <w:adjustRightInd w:val="0"/>
              <w:snapToGrid w:val="0"/>
              <w:spacing w:line="360" w:lineRule="auto"/>
              <w:ind w:firstLine="1200" w:firstLineChars="500"/>
              <w:rPr>
                <w:sz w:val="24"/>
              </w:rPr>
            </w:pPr>
            <w:r>
              <w:rPr>
                <w:sz w:val="24"/>
              </w:rPr>
              <w:t>A</w:t>
            </w:r>
            <w:r>
              <w:rPr>
                <w:sz w:val="24"/>
                <w:vertAlign w:val="subscript"/>
              </w:rPr>
              <w:t>atm</w:t>
            </w:r>
            <w:r>
              <w:rPr>
                <w:sz w:val="24"/>
              </w:rPr>
              <w:t>——大气吸收引起的倍频带衰减，dB；</w:t>
            </w:r>
          </w:p>
          <w:p w14:paraId="05BEC5F1">
            <w:pPr>
              <w:adjustRightInd w:val="0"/>
              <w:snapToGrid w:val="0"/>
              <w:spacing w:line="360" w:lineRule="auto"/>
              <w:ind w:firstLine="1200" w:firstLineChars="500"/>
              <w:rPr>
                <w:sz w:val="24"/>
              </w:rPr>
            </w:pPr>
            <w:r>
              <w:rPr>
                <w:sz w:val="24"/>
              </w:rPr>
              <w:t>A</w:t>
            </w:r>
            <w:r>
              <w:rPr>
                <w:sz w:val="24"/>
                <w:vertAlign w:val="subscript"/>
              </w:rPr>
              <w:t>gr</w:t>
            </w:r>
            <w:r>
              <w:rPr>
                <w:sz w:val="24"/>
              </w:rPr>
              <w:t>——地面效应引起的倍频带衰减，dB；</w:t>
            </w:r>
          </w:p>
          <w:p w14:paraId="02BC63FB">
            <w:pPr>
              <w:adjustRightInd w:val="0"/>
              <w:snapToGrid w:val="0"/>
              <w:spacing w:line="360" w:lineRule="auto"/>
              <w:ind w:firstLine="1200" w:firstLineChars="500"/>
              <w:rPr>
                <w:sz w:val="24"/>
              </w:rPr>
            </w:pPr>
            <w:r>
              <w:rPr>
                <w:sz w:val="24"/>
              </w:rPr>
              <w:t>A</w:t>
            </w:r>
            <w:r>
              <w:rPr>
                <w:sz w:val="24"/>
                <w:vertAlign w:val="subscript"/>
              </w:rPr>
              <w:t>bar</w:t>
            </w:r>
            <w:r>
              <w:rPr>
                <w:sz w:val="24"/>
              </w:rPr>
              <w:t>——声屏障引起的倍频带衰减，dB；</w:t>
            </w:r>
          </w:p>
          <w:p w14:paraId="105434DB">
            <w:pPr>
              <w:adjustRightInd w:val="0"/>
              <w:snapToGrid w:val="0"/>
              <w:spacing w:line="360" w:lineRule="auto"/>
              <w:ind w:firstLine="1200" w:firstLineChars="500"/>
              <w:rPr>
                <w:sz w:val="24"/>
              </w:rPr>
            </w:pPr>
            <w:r>
              <w:rPr>
                <w:sz w:val="24"/>
              </w:rPr>
              <w:t>A</w:t>
            </w:r>
            <w:r>
              <w:rPr>
                <w:sz w:val="24"/>
                <w:vertAlign w:val="subscript"/>
              </w:rPr>
              <w:t>misc</w:t>
            </w:r>
            <w:r>
              <w:rPr>
                <w:sz w:val="24"/>
              </w:rPr>
              <w:t>——其他多方面效应引起的倍频带衰减，dB。</w:t>
            </w:r>
          </w:p>
          <w:p w14:paraId="097C7088">
            <w:pPr>
              <w:tabs>
                <w:tab w:val="left" w:pos="900"/>
              </w:tabs>
              <w:adjustRightInd w:val="0"/>
              <w:snapToGrid w:val="0"/>
              <w:spacing w:line="360" w:lineRule="auto"/>
              <w:ind w:firstLine="482"/>
              <w:rPr>
                <w:sz w:val="24"/>
              </w:rPr>
            </w:pPr>
            <w:r>
              <w:rPr>
                <w:rFonts w:hint="eastAsia" w:ascii="宋体" w:hAnsi="宋体" w:cs="宋体"/>
                <w:sz w:val="24"/>
              </w:rPr>
              <w:t>②</w:t>
            </w:r>
            <w:r>
              <w:rPr>
                <w:sz w:val="24"/>
              </w:rPr>
              <w:t xml:space="preserve"> 室内声源等效室外声源声功率级计算方法</w:t>
            </w:r>
          </w:p>
          <w:p w14:paraId="05F5DA04">
            <w:pPr>
              <w:tabs>
                <w:tab w:val="left" w:pos="900"/>
              </w:tabs>
              <w:adjustRightInd w:val="0"/>
              <w:snapToGrid w:val="0"/>
              <w:spacing w:line="360" w:lineRule="auto"/>
              <w:ind w:firstLine="480" w:firstLineChars="200"/>
              <w:rPr>
                <w:sz w:val="24"/>
              </w:rPr>
            </w:pPr>
            <w:r>
              <w:rPr>
                <w:sz w:val="24"/>
              </w:rPr>
              <w:t>声源位于室内，室内声源可采用等效室外声源声功率级法进行计算。设靠近开口处（或窗户）室内、室外某倍频带的声压级分别为L</w:t>
            </w:r>
            <w:r>
              <w:rPr>
                <w:sz w:val="24"/>
                <w:vertAlign w:val="subscript"/>
              </w:rPr>
              <w:t>P1</w:t>
            </w:r>
            <w:r>
              <w:rPr>
                <w:sz w:val="24"/>
              </w:rPr>
              <w:t>和L</w:t>
            </w:r>
            <w:r>
              <w:rPr>
                <w:sz w:val="24"/>
                <w:vertAlign w:val="subscript"/>
              </w:rPr>
              <w:t>P2</w:t>
            </w:r>
            <w:r>
              <w:rPr>
                <w:sz w:val="24"/>
              </w:rPr>
              <w:t>。若声源所在室内声场为近似扩散声场，则室外的倍频带声压级可按以下计算公式如下：</w:t>
            </w:r>
          </w:p>
          <w:p w14:paraId="43B97F4E">
            <w:pPr>
              <w:tabs>
                <w:tab w:val="left" w:pos="900"/>
              </w:tabs>
              <w:adjustRightInd w:val="0"/>
              <w:snapToGrid w:val="0"/>
              <w:spacing w:line="360" w:lineRule="auto"/>
              <w:jc w:val="center"/>
              <w:rPr>
                <w:sz w:val="24"/>
              </w:rPr>
            </w:pPr>
            <w:r>
              <w:rPr>
                <w:sz w:val="24"/>
              </w:rPr>
              <w:drawing>
                <wp:inline distT="0" distB="0" distL="0" distR="0">
                  <wp:extent cx="1700530" cy="29273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700530" cy="292735"/>
                          </a:xfrm>
                          <a:prstGeom prst="rect">
                            <a:avLst/>
                          </a:prstGeom>
                          <a:noFill/>
                          <a:ln>
                            <a:noFill/>
                          </a:ln>
                        </pic:spPr>
                      </pic:pic>
                    </a:graphicData>
                  </a:graphic>
                </wp:inline>
              </w:drawing>
            </w:r>
          </w:p>
          <w:p w14:paraId="3E55A17D">
            <w:pPr>
              <w:pStyle w:val="15"/>
              <w:adjustRightInd w:val="0"/>
              <w:snapToGrid w:val="0"/>
              <w:spacing w:line="360" w:lineRule="auto"/>
              <w:ind w:firstLine="482"/>
              <w:rPr>
                <w:rFonts w:ascii="Times New Roman" w:hAnsi="Times New Roman" w:cs="Times New Roman"/>
                <w:sz w:val="24"/>
                <w:szCs w:val="24"/>
              </w:rPr>
            </w:pPr>
            <w:r>
              <w:rPr>
                <w:rFonts w:ascii="Times New Roman" w:hAnsi="Times New Roman" w:cs="Times New Roman"/>
                <w:sz w:val="24"/>
                <w:szCs w:val="24"/>
              </w:rPr>
              <w:t>式中：TL——隔墙（或窗户）倍频带的隔声量，dB；</w:t>
            </w:r>
          </w:p>
          <w:p w14:paraId="7620FD31">
            <w:pPr>
              <w:pStyle w:val="15"/>
              <w:adjustRightInd w:val="0"/>
              <w:snapToGrid w:val="0"/>
              <w:spacing w:line="360" w:lineRule="auto"/>
              <w:ind w:firstLine="482"/>
              <w:rPr>
                <w:rFonts w:ascii="Times New Roman" w:hAnsi="Times New Roman" w:cs="Times New Roman"/>
                <w:sz w:val="24"/>
                <w:szCs w:val="24"/>
              </w:rPr>
            </w:pPr>
            <w:r>
              <w:rPr>
                <w:rFonts w:ascii="Times New Roman" w:hAnsi="Times New Roman" w:cs="Times New Roman"/>
                <w:sz w:val="24"/>
                <w:szCs w:val="24"/>
              </w:rPr>
              <w:t>按下式计算某一室内声源靠近围护结构处产生的倍频带声压级：</w:t>
            </w:r>
          </w:p>
          <w:p w14:paraId="6A9E3743">
            <w:pPr>
              <w:tabs>
                <w:tab w:val="left" w:pos="900"/>
              </w:tabs>
              <w:adjustRightInd w:val="0"/>
              <w:snapToGrid w:val="0"/>
              <w:spacing w:line="360" w:lineRule="auto"/>
              <w:jc w:val="center"/>
              <w:rPr>
                <w:sz w:val="24"/>
              </w:rPr>
            </w:pPr>
            <w:r>
              <w:rPr>
                <w:sz w:val="24"/>
              </w:rPr>
              <w:drawing>
                <wp:inline distT="0" distB="0" distL="0" distR="0">
                  <wp:extent cx="1865630" cy="438785"/>
                  <wp:effectExtent l="0" t="0" r="127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865630" cy="438785"/>
                          </a:xfrm>
                          <a:prstGeom prst="rect">
                            <a:avLst/>
                          </a:prstGeom>
                          <a:noFill/>
                          <a:ln>
                            <a:noFill/>
                          </a:ln>
                        </pic:spPr>
                      </pic:pic>
                    </a:graphicData>
                  </a:graphic>
                </wp:inline>
              </w:drawing>
            </w:r>
          </w:p>
          <w:p w14:paraId="52BAE5EC">
            <w:pPr>
              <w:tabs>
                <w:tab w:val="left" w:pos="900"/>
              </w:tabs>
              <w:adjustRightInd w:val="0"/>
              <w:snapToGrid w:val="0"/>
              <w:spacing w:line="360" w:lineRule="auto"/>
              <w:ind w:firstLine="480" w:firstLineChars="200"/>
              <w:jc w:val="left"/>
              <w:rPr>
                <w:sz w:val="24"/>
              </w:rPr>
            </w:pPr>
            <w:r>
              <w:rPr>
                <w:sz w:val="24"/>
              </w:rPr>
              <w:t>式中：Q——指向性因数，通常对无指向性声源，当声源放在房间中心时，Q=1；当放在一面墙的中心时，Q=2；当放在两面墙夹角处时，Q=4；当放在三面墙夹角处时，Q=8；</w:t>
            </w:r>
          </w:p>
          <w:p w14:paraId="67136DBE">
            <w:pPr>
              <w:tabs>
                <w:tab w:val="left" w:pos="900"/>
              </w:tabs>
              <w:adjustRightInd w:val="0"/>
              <w:snapToGrid w:val="0"/>
              <w:spacing w:line="360" w:lineRule="auto"/>
              <w:jc w:val="center"/>
              <w:rPr>
                <w:sz w:val="24"/>
              </w:rPr>
            </w:pPr>
            <w:r>
              <w:rPr>
                <w:sz w:val="24"/>
              </w:rPr>
              <w:drawing>
                <wp:inline distT="0" distB="0" distL="0" distR="0">
                  <wp:extent cx="1398905" cy="219710"/>
                  <wp:effectExtent l="0" t="0" r="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398905" cy="219710"/>
                          </a:xfrm>
                          <a:prstGeom prst="rect">
                            <a:avLst/>
                          </a:prstGeom>
                          <a:noFill/>
                          <a:ln>
                            <a:noFill/>
                          </a:ln>
                        </pic:spPr>
                      </pic:pic>
                    </a:graphicData>
                  </a:graphic>
                </wp:inline>
              </w:drawing>
            </w:r>
          </w:p>
          <w:p w14:paraId="6F65F826">
            <w:pPr>
              <w:tabs>
                <w:tab w:val="left" w:pos="900"/>
              </w:tabs>
              <w:adjustRightInd w:val="0"/>
              <w:snapToGrid w:val="0"/>
              <w:spacing w:line="360" w:lineRule="auto"/>
              <w:ind w:firstLine="1200" w:firstLineChars="500"/>
              <w:rPr>
                <w:sz w:val="24"/>
              </w:rPr>
            </w:pPr>
            <w:r>
              <w:rPr>
                <w:sz w:val="24"/>
              </w:rPr>
              <w:t>R——房间常数；</w:t>
            </w:r>
          </w:p>
          <w:p w14:paraId="35EDB9C0">
            <w:pPr>
              <w:tabs>
                <w:tab w:val="left" w:pos="900"/>
              </w:tabs>
              <w:adjustRightInd w:val="0"/>
              <w:snapToGrid w:val="0"/>
              <w:spacing w:line="360" w:lineRule="auto"/>
              <w:ind w:firstLine="1200" w:firstLineChars="500"/>
              <w:rPr>
                <w:sz w:val="24"/>
              </w:rPr>
            </w:pPr>
            <w:r>
              <w:rPr>
                <w:sz w:val="24"/>
              </w:rPr>
              <w:t>S为房间内表面面积，m</w:t>
            </w:r>
            <w:r>
              <w:rPr>
                <w:sz w:val="24"/>
                <w:vertAlign w:val="superscript"/>
              </w:rPr>
              <w:t>2</w:t>
            </w:r>
            <w:r>
              <w:rPr>
                <w:sz w:val="24"/>
              </w:rPr>
              <w:t>，α 为平均吸声系数；</w:t>
            </w:r>
          </w:p>
          <w:p w14:paraId="7BFBBC9C">
            <w:pPr>
              <w:tabs>
                <w:tab w:val="left" w:pos="900"/>
              </w:tabs>
              <w:adjustRightInd w:val="0"/>
              <w:snapToGrid w:val="0"/>
              <w:spacing w:line="360" w:lineRule="auto"/>
              <w:ind w:firstLine="1200" w:firstLineChars="500"/>
              <w:rPr>
                <w:sz w:val="24"/>
              </w:rPr>
            </w:pPr>
            <w:r>
              <w:rPr>
                <w:sz w:val="24"/>
              </w:rPr>
              <w:t>r—声源到靠近围护结构某点处的距离，m。</w:t>
            </w:r>
          </w:p>
          <w:p w14:paraId="037F9FEA">
            <w:pPr>
              <w:pStyle w:val="15"/>
              <w:adjustRightInd w:val="0"/>
              <w:snapToGrid w:val="0"/>
              <w:spacing w:line="360" w:lineRule="auto"/>
              <w:ind w:firstLine="482"/>
              <w:rPr>
                <w:rFonts w:ascii="Times New Roman" w:hAnsi="Times New Roman" w:cs="Times New Roman"/>
                <w:sz w:val="24"/>
                <w:szCs w:val="24"/>
              </w:rPr>
            </w:pPr>
            <w:r>
              <w:rPr>
                <w:rFonts w:ascii="Times New Roman" w:hAnsi="Times New Roman" w:cs="Times New Roman"/>
                <w:sz w:val="24"/>
                <w:szCs w:val="24"/>
              </w:rPr>
              <w:t>然后按下式计算出所有室内声源在围护结构处产生的i倍频带叠加声压级。</w:t>
            </w:r>
          </w:p>
          <w:p w14:paraId="52269592">
            <w:pPr>
              <w:adjustRightInd w:val="0"/>
              <w:snapToGrid w:val="0"/>
              <w:spacing w:line="360" w:lineRule="auto"/>
              <w:jc w:val="center"/>
              <w:rPr>
                <w:sz w:val="24"/>
              </w:rPr>
            </w:pPr>
            <w:r>
              <w:rPr>
                <w:sz w:val="24"/>
              </w:rPr>
              <w:drawing>
                <wp:inline distT="0" distB="0" distL="0" distR="0">
                  <wp:extent cx="1654810" cy="429895"/>
                  <wp:effectExtent l="0" t="0" r="254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654810" cy="429895"/>
                          </a:xfrm>
                          <a:prstGeom prst="rect">
                            <a:avLst/>
                          </a:prstGeom>
                          <a:noFill/>
                          <a:ln>
                            <a:noFill/>
                          </a:ln>
                        </pic:spPr>
                      </pic:pic>
                    </a:graphicData>
                  </a:graphic>
                </wp:inline>
              </w:drawing>
            </w:r>
          </w:p>
          <w:p w14:paraId="2D44D968">
            <w:pPr>
              <w:adjustRightInd w:val="0"/>
              <w:snapToGrid w:val="0"/>
              <w:spacing w:line="360" w:lineRule="auto"/>
              <w:ind w:firstLine="480" w:firstLineChars="200"/>
              <w:rPr>
                <w:sz w:val="24"/>
              </w:rPr>
            </w:pPr>
            <w:r>
              <w:rPr>
                <w:sz w:val="24"/>
              </w:rPr>
              <w:t>式中：L</w:t>
            </w:r>
            <w:r>
              <w:rPr>
                <w:sz w:val="24"/>
                <w:vertAlign w:val="subscript"/>
              </w:rPr>
              <w:t>P1i</w:t>
            </w:r>
            <w:r>
              <w:rPr>
                <w:sz w:val="24"/>
              </w:rPr>
              <w:t>——靠近围护结构处室内N个声源i倍频带的叠加声压级，dB；</w:t>
            </w:r>
          </w:p>
          <w:p w14:paraId="45553CAE">
            <w:pPr>
              <w:adjustRightInd w:val="0"/>
              <w:snapToGrid w:val="0"/>
              <w:spacing w:line="360" w:lineRule="auto"/>
              <w:ind w:firstLine="1200" w:firstLineChars="500"/>
              <w:rPr>
                <w:sz w:val="24"/>
              </w:rPr>
            </w:pPr>
            <w:r>
              <w:rPr>
                <w:sz w:val="24"/>
              </w:rPr>
              <w:t>L</w:t>
            </w:r>
            <w:r>
              <w:rPr>
                <w:sz w:val="24"/>
                <w:vertAlign w:val="subscript"/>
              </w:rPr>
              <w:t>P1ij</w:t>
            </w:r>
            <w:r>
              <w:rPr>
                <w:sz w:val="24"/>
              </w:rPr>
              <w:t>——室内j声源i倍频带的声压级，dB；</w:t>
            </w:r>
          </w:p>
          <w:p w14:paraId="7205A724">
            <w:pPr>
              <w:adjustRightInd w:val="0"/>
              <w:snapToGrid w:val="0"/>
              <w:spacing w:line="360" w:lineRule="auto"/>
              <w:ind w:firstLine="1200" w:firstLineChars="500"/>
              <w:rPr>
                <w:sz w:val="24"/>
              </w:rPr>
            </w:pPr>
            <w:r>
              <w:rPr>
                <w:sz w:val="24"/>
              </w:rPr>
              <w:t>N——室内声源总数。</w:t>
            </w:r>
          </w:p>
          <w:p w14:paraId="5DE9F84D">
            <w:pPr>
              <w:adjustRightInd w:val="0"/>
              <w:snapToGrid w:val="0"/>
              <w:spacing w:line="360" w:lineRule="auto"/>
              <w:ind w:firstLine="480" w:firstLineChars="200"/>
              <w:rPr>
                <w:sz w:val="24"/>
              </w:rPr>
            </w:pPr>
            <w:r>
              <w:rPr>
                <w:sz w:val="24"/>
              </w:rPr>
              <w:t>然后按下式将室外声源的声压级和透过面积换算成等效的室外声源，计算出中心位置位于透声面积（S）处的等效声源的倍频带声功率级。</w:t>
            </w:r>
          </w:p>
          <w:p w14:paraId="73E79549">
            <w:pPr>
              <w:adjustRightInd w:val="0"/>
              <w:snapToGrid w:val="0"/>
              <w:spacing w:line="360" w:lineRule="auto"/>
              <w:jc w:val="center"/>
              <w:rPr>
                <w:sz w:val="24"/>
              </w:rPr>
            </w:pPr>
            <w:r>
              <w:rPr>
                <w:sz w:val="24"/>
              </w:rPr>
              <w:drawing>
                <wp:inline distT="0" distB="0" distL="0" distR="0">
                  <wp:extent cx="1874520" cy="301625"/>
                  <wp:effectExtent l="0" t="0" r="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874520" cy="301625"/>
                          </a:xfrm>
                          <a:prstGeom prst="rect">
                            <a:avLst/>
                          </a:prstGeom>
                          <a:noFill/>
                          <a:ln>
                            <a:noFill/>
                          </a:ln>
                        </pic:spPr>
                      </pic:pic>
                    </a:graphicData>
                  </a:graphic>
                </wp:inline>
              </w:drawing>
            </w:r>
          </w:p>
          <w:p w14:paraId="16570044">
            <w:pPr>
              <w:adjustRightInd w:val="0"/>
              <w:snapToGrid w:val="0"/>
              <w:spacing w:line="360" w:lineRule="auto"/>
              <w:ind w:firstLine="480" w:firstLineChars="200"/>
              <w:rPr>
                <w:sz w:val="24"/>
              </w:rPr>
            </w:pPr>
            <w:r>
              <w:rPr>
                <w:sz w:val="24"/>
              </w:rPr>
              <w:t>然后按室外声源预测方法计算预测点处的 A声级。</w:t>
            </w:r>
          </w:p>
          <w:p w14:paraId="22B1F62A">
            <w:pPr>
              <w:adjustRightInd w:val="0"/>
              <w:snapToGrid w:val="0"/>
              <w:spacing w:line="360" w:lineRule="auto"/>
              <w:ind w:firstLine="480" w:firstLineChars="200"/>
              <w:rPr>
                <w:sz w:val="24"/>
              </w:rPr>
            </w:pPr>
            <w:r>
              <w:rPr>
                <w:rFonts w:hint="eastAsia" w:ascii="宋体" w:hAnsi="宋体" w:cs="宋体"/>
                <w:sz w:val="24"/>
              </w:rPr>
              <w:t>③</w:t>
            </w:r>
            <w:r>
              <w:rPr>
                <w:sz w:val="24"/>
              </w:rPr>
              <w:t xml:space="preserve"> 噪声贡献值计算</w:t>
            </w:r>
          </w:p>
          <w:p w14:paraId="203D6B59">
            <w:pPr>
              <w:adjustRightInd w:val="0"/>
              <w:snapToGrid w:val="0"/>
              <w:spacing w:line="360" w:lineRule="auto"/>
              <w:ind w:firstLine="480" w:firstLineChars="200"/>
              <w:rPr>
                <w:sz w:val="24"/>
              </w:rPr>
            </w:pPr>
            <w:r>
              <w:rPr>
                <w:sz w:val="24"/>
              </w:rPr>
              <w:t>设第i个室外声源在预测点产生的A声级为L</w:t>
            </w:r>
            <w:r>
              <w:rPr>
                <w:sz w:val="24"/>
                <w:vertAlign w:val="subscript"/>
              </w:rPr>
              <w:t>Ai</w:t>
            </w:r>
            <w:r>
              <w:rPr>
                <w:sz w:val="24"/>
              </w:rPr>
              <w:t>，在T时间内该声源工作时间为t</w:t>
            </w:r>
            <w:r>
              <w:rPr>
                <w:sz w:val="24"/>
                <w:vertAlign w:val="subscript"/>
              </w:rPr>
              <w:t>i</w:t>
            </w:r>
            <w:r>
              <w:rPr>
                <w:sz w:val="24"/>
              </w:rPr>
              <w:t>；第j个等效室外声源在预测点产生的A声级为L</w:t>
            </w:r>
            <w:r>
              <w:rPr>
                <w:sz w:val="24"/>
                <w:vertAlign w:val="subscript"/>
              </w:rPr>
              <w:t>Aj</w:t>
            </w:r>
            <w:r>
              <w:rPr>
                <w:sz w:val="24"/>
              </w:rPr>
              <w:t>，在T时间内该声源工作时间为t</w:t>
            </w:r>
            <w:r>
              <w:rPr>
                <w:sz w:val="24"/>
                <w:vertAlign w:val="subscript"/>
              </w:rPr>
              <w:t>j</w:t>
            </w:r>
            <w:r>
              <w:rPr>
                <w:sz w:val="24"/>
              </w:rPr>
              <w:t>，则拟建工程声源对预测点产生的贡献值（L</w:t>
            </w:r>
            <w:r>
              <w:rPr>
                <w:sz w:val="24"/>
                <w:vertAlign w:val="subscript"/>
              </w:rPr>
              <w:t>eqg</w:t>
            </w:r>
            <w:r>
              <w:rPr>
                <w:sz w:val="24"/>
              </w:rPr>
              <w:t>）为：</w:t>
            </w:r>
          </w:p>
          <w:p w14:paraId="6F4BF0BF">
            <w:pPr>
              <w:adjustRightInd w:val="0"/>
              <w:snapToGrid w:val="0"/>
              <w:spacing w:line="360" w:lineRule="auto"/>
              <w:jc w:val="center"/>
              <w:rPr>
                <w:sz w:val="24"/>
              </w:rPr>
            </w:pPr>
            <w:r>
              <w:rPr>
                <w:sz w:val="24"/>
              </w:rPr>
              <w:drawing>
                <wp:inline distT="0" distB="0" distL="0" distR="0">
                  <wp:extent cx="2578735" cy="4572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578735" cy="457200"/>
                          </a:xfrm>
                          <a:prstGeom prst="rect">
                            <a:avLst/>
                          </a:prstGeom>
                          <a:noFill/>
                          <a:ln>
                            <a:noFill/>
                          </a:ln>
                        </pic:spPr>
                      </pic:pic>
                    </a:graphicData>
                  </a:graphic>
                </wp:inline>
              </w:drawing>
            </w:r>
          </w:p>
          <w:p w14:paraId="4F5FD129">
            <w:pPr>
              <w:adjustRightInd w:val="0"/>
              <w:snapToGrid w:val="0"/>
              <w:spacing w:line="360" w:lineRule="auto"/>
              <w:ind w:firstLine="480" w:firstLineChars="200"/>
              <w:rPr>
                <w:sz w:val="24"/>
              </w:rPr>
            </w:pPr>
            <w:r>
              <w:rPr>
                <w:sz w:val="24"/>
              </w:rPr>
              <w:t>式中：t</w:t>
            </w:r>
            <w:r>
              <w:rPr>
                <w:sz w:val="24"/>
                <w:vertAlign w:val="subscript"/>
              </w:rPr>
              <w:t>j</w:t>
            </w:r>
            <w:r>
              <w:rPr>
                <w:sz w:val="24"/>
              </w:rPr>
              <w:t>——在T时间内j声源工作时间，s；</w:t>
            </w:r>
          </w:p>
          <w:p w14:paraId="29E802D0">
            <w:pPr>
              <w:adjustRightInd w:val="0"/>
              <w:snapToGrid w:val="0"/>
              <w:spacing w:line="360" w:lineRule="auto"/>
              <w:ind w:firstLine="1200" w:firstLineChars="500"/>
              <w:rPr>
                <w:sz w:val="24"/>
              </w:rPr>
            </w:pPr>
            <w:r>
              <w:rPr>
                <w:sz w:val="24"/>
              </w:rPr>
              <w:t>t</w:t>
            </w:r>
            <w:r>
              <w:rPr>
                <w:sz w:val="24"/>
                <w:vertAlign w:val="subscript"/>
              </w:rPr>
              <w:t>i</w:t>
            </w:r>
            <w:r>
              <w:rPr>
                <w:sz w:val="24"/>
              </w:rPr>
              <w:t>——在T时间内i声源工作时间，s；</w:t>
            </w:r>
          </w:p>
          <w:p w14:paraId="44C0B523">
            <w:pPr>
              <w:adjustRightInd w:val="0"/>
              <w:snapToGrid w:val="0"/>
              <w:spacing w:line="360" w:lineRule="auto"/>
              <w:ind w:firstLine="1200" w:firstLineChars="500"/>
              <w:rPr>
                <w:sz w:val="24"/>
              </w:rPr>
            </w:pPr>
            <w:r>
              <w:rPr>
                <w:sz w:val="24"/>
              </w:rPr>
              <w:t>T——用于计算等效声级的时间，s；</w:t>
            </w:r>
          </w:p>
          <w:p w14:paraId="2FF1D5CF">
            <w:pPr>
              <w:adjustRightInd w:val="0"/>
              <w:snapToGrid w:val="0"/>
              <w:spacing w:line="360" w:lineRule="auto"/>
              <w:ind w:firstLine="1200" w:firstLineChars="500"/>
              <w:rPr>
                <w:sz w:val="24"/>
              </w:rPr>
            </w:pPr>
            <w:r>
              <w:rPr>
                <w:sz w:val="24"/>
              </w:rPr>
              <w:t>N——室外声源个数；</w:t>
            </w:r>
          </w:p>
          <w:p w14:paraId="6BA434B9">
            <w:pPr>
              <w:adjustRightInd w:val="0"/>
              <w:snapToGrid w:val="0"/>
              <w:spacing w:line="360" w:lineRule="auto"/>
              <w:ind w:firstLine="1200" w:firstLineChars="500"/>
              <w:rPr>
                <w:sz w:val="24"/>
              </w:rPr>
            </w:pPr>
            <w:r>
              <w:rPr>
                <w:sz w:val="24"/>
              </w:rPr>
              <w:t>M——等效室外声源个数。</w:t>
            </w:r>
          </w:p>
          <w:p w14:paraId="158784D6">
            <w:pPr>
              <w:tabs>
                <w:tab w:val="left" w:pos="1219"/>
              </w:tabs>
              <w:autoSpaceDE w:val="0"/>
              <w:autoSpaceDN w:val="0"/>
              <w:adjustRightInd w:val="0"/>
              <w:snapToGrid w:val="0"/>
              <w:spacing w:line="360" w:lineRule="auto"/>
              <w:ind w:right="193" w:firstLine="436" w:firstLineChars="182"/>
              <w:rPr>
                <w:sz w:val="24"/>
              </w:rPr>
            </w:pPr>
            <w:r>
              <w:rPr>
                <w:rFonts w:hint="eastAsia" w:ascii="宋体" w:hAnsi="宋体" w:cs="宋体"/>
                <w:sz w:val="24"/>
              </w:rPr>
              <w:t>④</w:t>
            </w:r>
            <w:r>
              <w:rPr>
                <w:sz w:val="24"/>
              </w:rPr>
              <w:t xml:space="preserve"> 预测结果</w:t>
            </w:r>
          </w:p>
          <w:p w14:paraId="0AFFC150">
            <w:pPr>
              <w:adjustRightInd w:val="0"/>
              <w:snapToGrid w:val="0"/>
              <w:spacing w:line="360" w:lineRule="auto"/>
              <w:ind w:firstLine="480" w:firstLineChars="200"/>
              <w:rPr>
                <w:b/>
                <w:bCs/>
                <w:sz w:val="24"/>
              </w:rPr>
            </w:pPr>
            <w:r>
              <w:rPr>
                <w:sz w:val="24"/>
              </w:rPr>
              <w:t>预测结果详见下表。</w:t>
            </w:r>
          </w:p>
          <w:p w14:paraId="10A7DD0D">
            <w:pPr>
              <w:pStyle w:val="52"/>
              <w:numPr>
                <w:ilvl w:val="0"/>
                <w:numId w:val="0"/>
              </w:numPr>
              <w:spacing w:line="360" w:lineRule="auto"/>
              <w:ind w:left="420" w:leftChars="0" w:hanging="132" w:firstLineChars="0"/>
              <w:rPr>
                <w:rFonts w:cs="Times New Roman"/>
              </w:rPr>
            </w:pPr>
            <w:r>
              <w:rPr>
                <w:rFonts w:hint="eastAsia" w:ascii="Times New Roman" w:hAnsi="Times New Roman" w:eastAsia="宋体" w:cs="Times New Roman"/>
                <w:b/>
                <w:kern w:val="0"/>
                <w:sz w:val="21"/>
                <w:szCs w:val="21"/>
                <w:lang w:val="en-US" w:eastAsia="zh-CN" w:bidi="ar-SA"/>
              </w:rPr>
              <w:t>表4-</w:t>
            </w:r>
            <w:r>
              <w:rPr>
                <w:rFonts w:hint="eastAsia" w:cs="Times New Roman"/>
                <w:b/>
                <w:kern w:val="0"/>
                <w:sz w:val="21"/>
                <w:szCs w:val="21"/>
                <w:lang w:val="en-US" w:eastAsia="zh-CN" w:bidi="ar-SA"/>
              </w:rPr>
              <w:t xml:space="preserve">8 </w:t>
            </w:r>
            <w:r>
              <w:rPr>
                <w:rFonts w:cs="Times New Roman"/>
              </w:rPr>
              <w:t>厂界噪声预测结果一览表</w:t>
            </w:r>
          </w:p>
          <w:tbl>
            <w:tblPr>
              <w:tblStyle w:val="75"/>
              <w:tblW w:w="49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08"/>
              <w:gridCol w:w="1409"/>
              <w:gridCol w:w="1409"/>
              <w:gridCol w:w="1407"/>
              <w:gridCol w:w="1410"/>
              <w:gridCol w:w="1409"/>
            </w:tblGrid>
            <w:tr w14:paraId="4C22C6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3" w:type="pct"/>
                  <w:vMerge w:val="restart"/>
                  <w:vAlign w:val="center"/>
                </w:tcPr>
                <w:p w14:paraId="12D7FE0A">
                  <w:pPr>
                    <w:adjustRightInd w:val="0"/>
                    <w:snapToGrid w:val="0"/>
                    <w:jc w:val="center"/>
                    <w:rPr>
                      <w:rFonts w:ascii="Times New Roman" w:hAnsi="Times New Roman"/>
                      <w:szCs w:val="21"/>
                    </w:rPr>
                  </w:pPr>
                  <w:r>
                    <w:rPr>
                      <w:rFonts w:ascii="Times New Roman" w:hAnsi="Times New Roman"/>
                      <w:szCs w:val="21"/>
                    </w:rPr>
                    <w:t>厂界</w:t>
                  </w:r>
                </w:p>
              </w:tc>
              <w:tc>
                <w:tcPr>
                  <w:tcW w:w="1666" w:type="pct"/>
                  <w:gridSpan w:val="2"/>
                  <w:vAlign w:val="center"/>
                </w:tcPr>
                <w:p w14:paraId="03396F99">
                  <w:pPr>
                    <w:adjustRightInd w:val="0"/>
                    <w:snapToGrid w:val="0"/>
                    <w:jc w:val="center"/>
                    <w:rPr>
                      <w:rFonts w:ascii="Times New Roman" w:hAnsi="Times New Roman"/>
                      <w:szCs w:val="21"/>
                    </w:rPr>
                  </w:pPr>
                  <w:r>
                    <w:rPr>
                      <w:rFonts w:ascii="Times New Roman" w:hAnsi="Times New Roman"/>
                      <w:szCs w:val="21"/>
                    </w:rPr>
                    <w:t>贡献值</w:t>
                  </w:r>
                </w:p>
              </w:tc>
              <w:tc>
                <w:tcPr>
                  <w:tcW w:w="1666" w:type="pct"/>
                  <w:gridSpan w:val="2"/>
                  <w:vAlign w:val="center"/>
                </w:tcPr>
                <w:p w14:paraId="4D7AE945">
                  <w:pPr>
                    <w:adjustRightInd w:val="0"/>
                    <w:snapToGrid w:val="0"/>
                    <w:jc w:val="center"/>
                    <w:rPr>
                      <w:rFonts w:ascii="Times New Roman" w:hAnsi="Times New Roman"/>
                      <w:szCs w:val="21"/>
                    </w:rPr>
                  </w:pPr>
                  <w:r>
                    <w:rPr>
                      <w:rFonts w:ascii="Times New Roman" w:hAnsi="Times New Roman"/>
                      <w:szCs w:val="21"/>
                    </w:rPr>
                    <w:t>评价标准</w:t>
                  </w:r>
                </w:p>
              </w:tc>
              <w:tc>
                <w:tcPr>
                  <w:tcW w:w="833" w:type="pct"/>
                  <w:vMerge w:val="restart"/>
                  <w:vAlign w:val="center"/>
                </w:tcPr>
                <w:p w14:paraId="7F53C7BE">
                  <w:pPr>
                    <w:adjustRightInd w:val="0"/>
                    <w:snapToGrid w:val="0"/>
                    <w:jc w:val="center"/>
                    <w:rPr>
                      <w:rFonts w:ascii="Times New Roman" w:hAnsi="Times New Roman"/>
                      <w:szCs w:val="21"/>
                    </w:rPr>
                  </w:pPr>
                  <w:r>
                    <w:rPr>
                      <w:rFonts w:ascii="Times New Roman" w:hAnsi="Times New Roman"/>
                      <w:szCs w:val="21"/>
                    </w:rPr>
                    <w:t>达标情况</w:t>
                  </w:r>
                </w:p>
              </w:tc>
            </w:tr>
            <w:tr w14:paraId="486071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6D2212FD">
                  <w:pPr>
                    <w:widowControl/>
                    <w:jc w:val="left"/>
                    <w:rPr>
                      <w:rFonts w:ascii="Times New Roman" w:hAnsi="Times New Roman"/>
                      <w:szCs w:val="21"/>
                    </w:rPr>
                  </w:pPr>
                </w:p>
              </w:tc>
              <w:tc>
                <w:tcPr>
                  <w:tcW w:w="833" w:type="pct"/>
                  <w:vAlign w:val="center"/>
                </w:tcPr>
                <w:p w14:paraId="4F3F6F3E">
                  <w:pPr>
                    <w:adjustRightInd w:val="0"/>
                    <w:snapToGrid w:val="0"/>
                    <w:jc w:val="center"/>
                    <w:rPr>
                      <w:rFonts w:ascii="Times New Roman" w:hAnsi="Times New Roman"/>
                      <w:szCs w:val="21"/>
                    </w:rPr>
                  </w:pPr>
                  <w:r>
                    <w:rPr>
                      <w:rFonts w:ascii="Times New Roman" w:hAnsi="Times New Roman"/>
                      <w:szCs w:val="21"/>
                    </w:rPr>
                    <w:t>昼间</w:t>
                  </w:r>
                </w:p>
              </w:tc>
              <w:tc>
                <w:tcPr>
                  <w:tcW w:w="833" w:type="pct"/>
                  <w:vAlign w:val="center"/>
                </w:tcPr>
                <w:p w14:paraId="4F9B76C3">
                  <w:pPr>
                    <w:adjustRightInd w:val="0"/>
                    <w:snapToGrid w:val="0"/>
                    <w:jc w:val="center"/>
                    <w:rPr>
                      <w:rFonts w:ascii="Times New Roman" w:hAnsi="Times New Roman"/>
                      <w:szCs w:val="21"/>
                    </w:rPr>
                  </w:pPr>
                  <w:r>
                    <w:rPr>
                      <w:rFonts w:ascii="Times New Roman" w:hAnsi="Times New Roman"/>
                      <w:szCs w:val="21"/>
                    </w:rPr>
                    <w:t>夜间</w:t>
                  </w:r>
                </w:p>
              </w:tc>
              <w:tc>
                <w:tcPr>
                  <w:tcW w:w="832" w:type="pct"/>
                  <w:vAlign w:val="center"/>
                </w:tcPr>
                <w:p w14:paraId="1A27FD7F">
                  <w:pPr>
                    <w:adjustRightInd w:val="0"/>
                    <w:snapToGrid w:val="0"/>
                    <w:jc w:val="center"/>
                    <w:rPr>
                      <w:rFonts w:ascii="Times New Roman" w:hAnsi="Times New Roman"/>
                      <w:szCs w:val="21"/>
                    </w:rPr>
                  </w:pPr>
                  <w:r>
                    <w:rPr>
                      <w:rFonts w:ascii="Times New Roman" w:hAnsi="Times New Roman"/>
                      <w:szCs w:val="21"/>
                    </w:rPr>
                    <w:t>昼间</w:t>
                  </w:r>
                </w:p>
              </w:tc>
              <w:tc>
                <w:tcPr>
                  <w:tcW w:w="833" w:type="pct"/>
                  <w:vAlign w:val="center"/>
                </w:tcPr>
                <w:p w14:paraId="0B349EC6">
                  <w:pPr>
                    <w:adjustRightInd w:val="0"/>
                    <w:snapToGrid w:val="0"/>
                    <w:jc w:val="center"/>
                    <w:rPr>
                      <w:rFonts w:ascii="Times New Roman" w:hAnsi="Times New Roman"/>
                      <w:szCs w:val="21"/>
                    </w:rPr>
                  </w:pPr>
                  <w:r>
                    <w:rPr>
                      <w:rFonts w:ascii="Times New Roman" w:hAnsi="Times New Roman"/>
                      <w:szCs w:val="21"/>
                    </w:rPr>
                    <w:t>夜间</w:t>
                  </w:r>
                </w:p>
              </w:tc>
              <w:tc>
                <w:tcPr>
                  <w:tcW w:w="0" w:type="auto"/>
                  <w:vMerge w:val="continue"/>
                  <w:vAlign w:val="center"/>
                </w:tcPr>
                <w:p w14:paraId="7CBBB6CB">
                  <w:pPr>
                    <w:widowControl/>
                    <w:jc w:val="left"/>
                    <w:rPr>
                      <w:rFonts w:ascii="Times New Roman" w:hAnsi="Times New Roman"/>
                      <w:szCs w:val="21"/>
                    </w:rPr>
                  </w:pPr>
                </w:p>
              </w:tc>
            </w:tr>
            <w:tr w14:paraId="742B60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3" w:type="pct"/>
                  <w:vAlign w:val="center"/>
                </w:tcPr>
                <w:p w14:paraId="36F5AAED">
                  <w:pPr>
                    <w:adjustRightInd w:val="0"/>
                    <w:snapToGrid w:val="0"/>
                    <w:jc w:val="center"/>
                    <w:rPr>
                      <w:rFonts w:ascii="Times New Roman" w:hAnsi="Times New Roman"/>
                      <w:szCs w:val="21"/>
                    </w:rPr>
                  </w:pPr>
                  <w:r>
                    <w:rPr>
                      <w:rFonts w:ascii="Times New Roman" w:hAnsi="Times New Roman"/>
                      <w:szCs w:val="21"/>
                    </w:rPr>
                    <w:t>厂界东侧</w:t>
                  </w:r>
                </w:p>
              </w:tc>
              <w:tc>
                <w:tcPr>
                  <w:tcW w:w="1396" w:type="dxa"/>
                  <w:vAlign w:val="center"/>
                </w:tcPr>
                <w:p w14:paraId="09AB1EF7">
                  <w:pPr>
                    <w:adjustRightInd w:val="0"/>
                    <w:snapToGrid w:val="0"/>
                    <w:spacing w:before="72" w:beforeLines="30"/>
                    <w:jc w:val="center"/>
                    <w:rPr>
                      <w:rFonts w:ascii="Times New Roman" w:hAnsi="Times New Roman"/>
                      <w:szCs w:val="21"/>
                    </w:rPr>
                  </w:pPr>
                  <w:r>
                    <w:rPr>
                      <w:rFonts w:ascii="Times New Roman" w:hAnsi="Times New Roman"/>
                      <w:szCs w:val="21"/>
                    </w:rPr>
                    <w:t>53.6</w:t>
                  </w:r>
                  <w:r>
                    <w:rPr>
                      <w:rFonts w:ascii="Times New Roman" w:hAnsi="Times New Roman"/>
                      <w:bCs/>
                      <w:szCs w:val="21"/>
                    </w:rPr>
                    <w:t>dB</w:t>
                  </w:r>
                  <w:r>
                    <w:rPr>
                      <w:rFonts w:ascii="Times New Roman" w:hAnsi="Times New Roman"/>
                      <w:szCs w:val="21"/>
                      <w:lang w:val="zh-CN"/>
                    </w:rPr>
                    <w:t>（A）</w:t>
                  </w:r>
                </w:p>
              </w:tc>
              <w:tc>
                <w:tcPr>
                  <w:tcW w:w="1396" w:type="dxa"/>
                  <w:vAlign w:val="center"/>
                </w:tcPr>
                <w:p w14:paraId="04CFAD8B">
                  <w:pPr>
                    <w:adjustRightInd w:val="0"/>
                    <w:snapToGrid w:val="0"/>
                    <w:spacing w:before="72" w:beforeLines="30"/>
                    <w:jc w:val="center"/>
                    <w:rPr>
                      <w:rFonts w:ascii="Times New Roman" w:hAnsi="Times New Roman"/>
                      <w:szCs w:val="21"/>
                    </w:rPr>
                  </w:pPr>
                  <w:r>
                    <w:rPr>
                      <w:rFonts w:ascii="Times New Roman" w:hAnsi="Times New Roman"/>
                      <w:szCs w:val="21"/>
                    </w:rPr>
                    <w:t>/</w:t>
                  </w:r>
                </w:p>
              </w:tc>
              <w:tc>
                <w:tcPr>
                  <w:tcW w:w="1394" w:type="dxa"/>
                  <w:vAlign w:val="center"/>
                </w:tcPr>
                <w:p w14:paraId="2E416FBC">
                  <w:pPr>
                    <w:adjustRightInd w:val="0"/>
                    <w:snapToGrid w:val="0"/>
                    <w:spacing w:before="72" w:beforeLines="30"/>
                    <w:jc w:val="center"/>
                    <w:rPr>
                      <w:rFonts w:ascii="Times New Roman" w:hAnsi="Times New Roman"/>
                      <w:szCs w:val="21"/>
                    </w:rPr>
                  </w:pPr>
                  <w:r>
                    <w:rPr>
                      <w:rFonts w:ascii="Times New Roman" w:hAnsi="Times New Roman"/>
                      <w:szCs w:val="21"/>
                    </w:rPr>
                    <w:t>70</w:t>
                  </w:r>
                  <w:r>
                    <w:rPr>
                      <w:rFonts w:ascii="Times New Roman" w:hAnsi="Times New Roman"/>
                      <w:bCs/>
                      <w:szCs w:val="21"/>
                    </w:rPr>
                    <w:t>dB</w:t>
                  </w:r>
                  <w:r>
                    <w:rPr>
                      <w:rFonts w:ascii="Times New Roman" w:hAnsi="Times New Roman"/>
                      <w:szCs w:val="21"/>
                      <w:lang w:val="zh-CN"/>
                    </w:rPr>
                    <w:t>（A）</w:t>
                  </w:r>
                </w:p>
              </w:tc>
              <w:tc>
                <w:tcPr>
                  <w:tcW w:w="1398" w:type="dxa"/>
                  <w:vAlign w:val="center"/>
                </w:tcPr>
                <w:p w14:paraId="1F6848A7">
                  <w:pPr>
                    <w:adjustRightInd w:val="0"/>
                    <w:snapToGrid w:val="0"/>
                    <w:spacing w:before="72" w:beforeLines="30"/>
                    <w:jc w:val="center"/>
                    <w:rPr>
                      <w:rFonts w:ascii="Times New Roman" w:hAnsi="Times New Roman"/>
                      <w:szCs w:val="21"/>
                    </w:rPr>
                  </w:pPr>
                  <w:r>
                    <w:rPr>
                      <w:rFonts w:ascii="Times New Roman" w:hAnsi="Times New Roman"/>
                      <w:szCs w:val="21"/>
                    </w:rPr>
                    <w:t>/</w:t>
                  </w:r>
                </w:p>
              </w:tc>
              <w:tc>
                <w:tcPr>
                  <w:tcW w:w="833" w:type="pct"/>
                  <w:vAlign w:val="center"/>
                </w:tcPr>
                <w:p w14:paraId="7EB801D6">
                  <w:pPr>
                    <w:adjustRightInd w:val="0"/>
                    <w:snapToGrid w:val="0"/>
                    <w:jc w:val="center"/>
                    <w:rPr>
                      <w:rFonts w:ascii="Times New Roman" w:hAnsi="Times New Roman"/>
                      <w:szCs w:val="21"/>
                    </w:rPr>
                  </w:pPr>
                  <w:r>
                    <w:rPr>
                      <w:rFonts w:ascii="Times New Roman" w:hAnsi="Times New Roman"/>
                      <w:szCs w:val="21"/>
                    </w:rPr>
                    <w:t>达标</w:t>
                  </w:r>
                </w:p>
              </w:tc>
            </w:tr>
            <w:tr w14:paraId="6556ED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3" w:type="pct"/>
                  <w:vAlign w:val="center"/>
                </w:tcPr>
                <w:p w14:paraId="3F1E64C0">
                  <w:pPr>
                    <w:adjustRightInd w:val="0"/>
                    <w:snapToGrid w:val="0"/>
                    <w:jc w:val="center"/>
                    <w:rPr>
                      <w:rFonts w:ascii="Times New Roman" w:hAnsi="Times New Roman"/>
                      <w:szCs w:val="21"/>
                    </w:rPr>
                  </w:pPr>
                  <w:r>
                    <w:rPr>
                      <w:rFonts w:ascii="Times New Roman" w:hAnsi="Times New Roman"/>
                      <w:szCs w:val="21"/>
                    </w:rPr>
                    <w:t>厂界南侧</w:t>
                  </w:r>
                </w:p>
              </w:tc>
              <w:tc>
                <w:tcPr>
                  <w:tcW w:w="1396" w:type="dxa"/>
                  <w:vAlign w:val="center"/>
                </w:tcPr>
                <w:p w14:paraId="0C0BF40B">
                  <w:pPr>
                    <w:adjustRightInd w:val="0"/>
                    <w:snapToGrid w:val="0"/>
                    <w:spacing w:before="72" w:beforeLines="30"/>
                    <w:jc w:val="center"/>
                    <w:rPr>
                      <w:rFonts w:ascii="Times New Roman" w:hAnsi="Times New Roman"/>
                      <w:szCs w:val="21"/>
                    </w:rPr>
                  </w:pPr>
                  <w:r>
                    <w:rPr>
                      <w:rFonts w:ascii="Times New Roman" w:hAnsi="Times New Roman"/>
                      <w:szCs w:val="21"/>
                    </w:rPr>
                    <w:t>56.2</w:t>
                  </w:r>
                  <w:r>
                    <w:rPr>
                      <w:rFonts w:ascii="Times New Roman" w:hAnsi="Times New Roman"/>
                      <w:bCs/>
                      <w:szCs w:val="21"/>
                    </w:rPr>
                    <w:t>dB</w:t>
                  </w:r>
                  <w:r>
                    <w:rPr>
                      <w:rFonts w:ascii="Times New Roman" w:hAnsi="Times New Roman"/>
                      <w:szCs w:val="21"/>
                      <w:lang w:val="zh-CN"/>
                    </w:rPr>
                    <w:t>（A）</w:t>
                  </w:r>
                </w:p>
              </w:tc>
              <w:tc>
                <w:tcPr>
                  <w:tcW w:w="1396" w:type="dxa"/>
                  <w:vAlign w:val="center"/>
                </w:tcPr>
                <w:p w14:paraId="419DF8C0">
                  <w:pPr>
                    <w:adjustRightInd w:val="0"/>
                    <w:snapToGrid w:val="0"/>
                    <w:spacing w:before="72" w:beforeLines="30"/>
                    <w:jc w:val="center"/>
                    <w:rPr>
                      <w:rFonts w:ascii="Times New Roman" w:hAnsi="Times New Roman"/>
                      <w:szCs w:val="21"/>
                    </w:rPr>
                  </w:pPr>
                  <w:r>
                    <w:rPr>
                      <w:rFonts w:ascii="Times New Roman" w:hAnsi="Times New Roman"/>
                      <w:szCs w:val="21"/>
                    </w:rPr>
                    <w:t>/</w:t>
                  </w:r>
                </w:p>
              </w:tc>
              <w:tc>
                <w:tcPr>
                  <w:tcW w:w="2088" w:type="dxa"/>
                  <w:vAlign w:val="center"/>
                </w:tcPr>
                <w:p w14:paraId="645CC4C6">
                  <w:pPr>
                    <w:adjustRightInd w:val="0"/>
                    <w:snapToGrid w:val="0"/>
                    <w:jc w:val="center"/>
                    <w:rPr>
                      <w:rFonts w:ascii="Times New Roman" w:hAnsi="Times New Roman"/>
                      <w:szCs w:val="21"/>
                    </w:rPr>
                  </w:pPr>
                  <w:r>
                    <w:rPr>
                      <w:rFonts w:ascii="Times New Roman" w:hAnsi="Times New Roman"/>
                      <w:szCs w:val="21"/>
                    </w:rPr>
                    <w:t>65</w:t>
                  </w:r>
                  <w:r>
                    <w:rPr>
                      <w:rFonts w:ascii="Times New Roman" w:hAnsi="Times New Roman"/>
                      <w:bCs/>
                      <w:szCs w:val="21"/>
                    </w:rPr>
                    <w:t>dB</w:t>
                  </w:r>
                  <w:r>
                    <w:rPr>
                      <w:rFonts w:ascii="Times New Roman" w:hAnsi="Times New Roman"/>
                      <w:szCs w:val="21"/>
                      <w:lang w:val="zh-CN"/>
                    </w:rPr>
                    <w:t>（A）</w:t>
                  </w:r>
                </w:p>
              </w:tc>
              <w:tc>
                <w:tcPr>
                  <w:tcW w:w="2093" w:type="dxa"/>
                  <w:vAlign w:val="center"/>
                </w:tcPr>
                <w:p w14:paraId="55F5D6C4">
                  <w:pPr>
                    <w:adjustRightInd w:val="0"/>
                    <w:snapToGrid w:val="0"/>
                    <w:spacing w:before="72" w:beforeLines="30"/>
                    <w:jc w:val="center"/>
                    <w:rPr>
                      <w:rFonts w:ascii="Times New Roman" w:hAnsi="Times New Roman"/>
                      <w:szCs w:val="21"/>
                    </w:rPr>
                  </w:pPr>
                  <w:r>
                    <w:rPr>
                      <w:rFonts w:ascii="Times New Roman" w:hAnsi="Times New Roman"/>
                      <w:szCs w:val="21"/>
                    </w:rPr>
                    <w:t>/</w:t>
                  </w:r>
                </w:p>
              </w:tc>
              <w:tc>
                <w:tcPr>
                  <w:tcW w:w="833" w:type="pct"/>
                  <w:vAlign w:val="center"/>
                </w:tcPr>
                <w:p w14:paraId="533CFA30">
                  <w:pPr>
                    <w:adjustRightInd w:val="0"/>
                    <w:snapToGrid w:val="0"/>
                    <w:jc w:val="center"/>
                    <w:rPr>
                      <w:rFonts w:ascii="Times New Roman" w:hAnsi="Times New Roman"/>
                      <w:szCs w:val="21"/>
                    </w:rPr>
                  </w:pPr>
                  <w:r>
                    <w:rPr>
                      <w:rFonts w:ascii="Times New Roman" w:hAnsi="Times New Roman"/>
                      <w:szCs w:val="21"/>
                    </w:rPr>
                    <w:t>达标</w:t>
                  </w:r>
                </w:p>
              </w:tc>
            </w:tr>
            <w:tr w14:paraId="6EE41D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3" w:type="pct"/>
                  <w:vAlign w:val="center"/>
                </w:tcPr>
                <w:p w14:paraId="52D802EB">
                  <w:pPr>
                    <w:adjustRightInd w:val="0"/>
                    <w:snapToGrid w:val="0"/>
                    <w:jc w:val="center"/>
                    <w:rPr>
                      <w:rFonts w:ascii="Times New Roman" w:hAnsi="Times New Roman"/>
                      <w:szCs w:val="21"/>
                    </w:rPr>
                  </w:pPr>
                  <w:r>
                    <w:rPr>
                      <w:rFonts w:ascii="Times New Roman" w:hAnsi="Times New Roman"/>
                      <w:szCs w:val="21"/>
                    </w:rPr>
                    <w:t>厂界西侧</w:t>
                  </w:r>
                </w:p>
              </w:tc>
              <w:tc>
                <w:tcPr>
                  <w:tcW w:w="1396" w:type="dxa"/>
                  <w:vAlign w:val="center"/>
                </w:tcPr>
                <w:p w14:paraId="43F4CF55">
                  <w:pPr>
                    <w:adjustRightInd w:val="0"/>
                    <w:snapToGrid w:val="0"/>
                    <w:spacing w:before="72" w:beforeLines="30"/>
                    <w:jc w:val="center"/>
                    <w:rPr>
                      <w:rFonts w:ascii="Times New Roman" w:hAnsi="Times New Roman"/>
                      <w:szCs w:val="21"/>
                    </w:rPr>
                  </w:pPr>
                  <w:r>
                    <w:rPr>
                      <w:rFonts w:ascii="Times New Roman" w:hAnsi="Times New Roman"/>
                      <w:szCs w:val="21"/>
                    </w:rPr>
                    <w:t>54.5</w:t>
                  </w:r>
                  <w:r>
                    <w:rPr>
                      <w:rFonts w:ascii="Times New Roman" w:hAnsi="Times New Roman"/>
                      <w:bCs/>
                      <w:szCs w:val="21"/>
                    </w:rPr>
                    <w:t>dB</w:t>
                  </w:r>
                  <w:r>
                    <w:rPr>
                      <w:rFonts w:ascii="Times New Roman" w:hAnsi="Times New Roman"/>
                      <w:szCs w:val="21"/>
                      <w:lang w:val="zh-CN"/>
                    </w:rPr>
                    <w:t>（A）</w:t>
                  </w:r>
                </w:p>
              </w:tc>
              <w:tc>
                <w:tcPr>
                  <w:tcW w:w="1396" w:type="dxa"/>
                  <w:vAlign w:val="center"/>
                </w:tcPr>
                <w:p w14:paraId="21C2C12E">
                  <w:pPr>
                    <w:adjustRightInd w:val="0"/>
                    <w:snapToGrid w:val="0"/>
                    <w:spacing w:before="72" w:beforeLines="30"/>
                    <w:jc w:val="center"/>
                    <w:rPr>
                      <w:rFonts w:ascii="Times New Roman" w:hAnsi="Times New Roman"/>
                      <w:szCs w:val="21"/>
                    </w:rPr>
                  </w:pPr>
                  <w:r>
                    <w:rPr>
                      <w:rFonts w:ascii="Times New Roman" w:hAnsi="Times New Roman"/>
                      <w:szCs w:val="21"/>
                    </w:rPr>
                    <w:t>/</w:t>
                  </w:r>
                </w:p>
              </w:tc>
              <w:tc>
                <w:tcPr>
                  <w:tcW w:w="2088" w:type="dxa"/>
                  <w:vAlign w:val="center"/>
                </w:tcPr>
                <w:p w14:paraId="4779B842">
                  <w:pPr>
                    <w:adjustRightInd w:val="0"/>
                    <w:snapToGrid w:val="0"/>
                    <w:jc w:val="center"/>
                    <w:rPr>
                      <w:rFonts w:ascii="Times New Roman" w:hAnsi="Times New Roman"/>
                      <w:szCs w:val="21"/>
                    </w:rPr>
                  </w:pPr>
                  <w:r>
                    <w:rPr>
                      <w:rFonts w:ascii="Times New Roman" w:hAnsi="Times New Roman"/>
                      <w:szCs w:val="21"/>
                    </w:rPr>
                    <w:t>65</w:t>
                  </w:r>
                  <w:r>
                    <w:rPr>
                      <w:rFonts w:ascii="Times New Roman" w:hAnsi="Times New Roman"/>
                      <w:bCs/>
                      <w:szCs w:val="21"/>
                    </w:rPr>
                    <w:t>dB</w:t>
                  </w:r>
                  <w:r>
                    <w:rPr>
                      <w:rFonts w:ascii="Times New Roman" w:hAnsi="Times New Roman"/>
                      <w:szCs w:val="21"/>
                      <w:lang w:val="zh-CN"/>
                    </w:rPr>
                    <w:t>（A）</w:t>
                  </w:r>
                </w:p>
              </w:tc>
              <w:tc>
                <w:tcPr>
                  <w:tcW w:w="2093" w:type="dxa"/>
                  <w:vAlign w:val="center"/>
                </w:tcPr>
                <w:p w14:paraId="239E9ECF">
                  <w:pPr>
                    <w:adjustRightInd w:val="0"/>
                    <w:snapToGrid w:val="0"/>
                    <w:spacing w:before="72" w:beforeLines="30"/>
                    <w:jc w:val="center"/>
                    <w:rPr>
                      <w:rFonts w:ascii="Times New Roman" w:hAnsi="Times New Roman"/>
                      <w:szCs w:val="21"/>
                    </w:rPr>
                  </w:pPr>
                  <w:r>
                    <w:rPr>
                      <w:rFonts w:ascii="Times New Roman" w:hAnsi="Times New Roman"/>
                      <w:szCs w:val="21"/>
                    </w:rPr>
                    <w:t>/</w:t>
                  </w:r>
                </w:p>
              </w:tc>
              <w:tc>
                <w:tcPr>
                  <w:tcW w:w="833" w:type="pct"/>
                  <w:vAlign w:val="center"/>
                </w:tcPr>
                <w:p w14:paraId="173F3515">
                  <w:pPr>
                    <w:adjustRightInd w:val="0"/>
                    <w:snapToGrid w:val="0"/>
                    <w:jc w:val="center"/>
                    <w:rPr>
                      <w:rFonts w:ascii="Times New Roman" w:hAnsi="Times New Roman"/>
                      <w:szCs w:val="21"/>
                    </w:rPr>
                  </w:pPr>
                  <w:r>
                    <w:rPr>
                      <w:rFonts w:ascii="Times New Roman" w:hAnsi="Times New Roman"/>
                      <w:szCs w:val="21"/>
                    </w:rPr>
                    <w:t>达标</w:t>
                  </w:r>
                </w:p>
              </w:tc>
            </w:tr>
            <w:tr w14:paraId="60446C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3" w:type="pct"/>
                  <w:vAlign w:val="center"/>
                </w:tcPr>
                <w:p w14:paraId="405A0904">
                  <w:pPr>
                    <w:adjustRightInd w:val="0"/>
                    <w:snapToGrid w:val="0"/>
                    <w:jc w:val="center"/>
                    <w:rPr>
                      <w:rFonts w:ascii="Times New Roman" w:hAnsi="Times New Roman"/>
                      <w:szCs w:val="21"/>
                    </w:rPr>
                  </w:pPr>
                  <w:r>
                    <w:rPr>
                      <w:rFonts w:ascii="Times New Roman" w:hAnsi="Times New Roman"/>
                      <w:szCs w:val="21"/>
                    </w:rPr>
                    <w:t>厂界北侧</w:t>
                  </w:r>
                </w:p>
              </w:tc>
              <w:tc>
                <w:tcPr>
                  <w:tcW w:w="1396" w:type="dxa"/>
                  <w:vAlign w:val="center"/>
                </w:tcPr>
                <w:p w14:paraId="5918A99B">
                  <w:pPr>
                    <w:adjustRightInd w:val="0"/>
                    <w:snapToGrid w:val="0"/>
                    <w:spacing w:before="72" w:beforeLines="30"/>
                    <w:jc w:val="center"/>
                    <w:rPr>
                      <w:rFonts w:ascii="Times New Roman" w:hAnsi="Times New Roman"/>
                      <w:szCs w:val="21"/>
                    </w:rPr>
                  </w:pPr>
                  <w:r>
                    <w:rPr>
                      <w:rFonts w:ascii="Times New Roman" w:hAnsi="Times New Roman"/>
                      <w:bCs/>
                      <w:szCs w:val="21"/>
                    </w:rPr>
                    <w:t>53.3dB</w:t>
                  </w:r>
                  <w:r>
                    <w:rPr>
                      <w:rFonts w:ascii="Times New Roman" w:hAnsi="Times New Roman"/>
                      <w:szCs w:val="21"/>
                      <w:lang w:val="zh-CN"/>
                    </w:rPr>
                    <w:t>（A）</w:t>
                  </w:r>
                </w:p>
              </w:tc>
              <w:tc>
                <w:tcPr>
                  <w:tcW w:w="1396" w:type="dxa"/>
                  <w:vAlign w:val="center"/>
                </w:tcPr>
                <w:p w14:paraId="222F8045">
                  <w:pPr>
                    <w:adjustRightInd w:val="0"/>
                    <w:snapToGrid w:val="0"/>
                    <w:spacing w:before="72" w:beforeLines="30"/>
                    <w:jc w:val="center"/>
                    <w:rPr>
                      <w:rFonts w:ascii="Times New Roman" w:hAnsi="Times New Roman"/>
                      <w:szCs w:val="21"/>
                    </w:rPr>
                  </w:pPr>
                  <w:r>
                    <w:rPr>
                      <w:rFonts w:ascii="Times New Roman" w:hAnsi="Times New Roman"/>
                      <w:szCs w:val="21"/>
                    </w:rPr>
                    <w:t>/</w:t>
                  </w:r>
                </w:p>
              </w:tc>
              <w:tc>
                <w:tcPr>
                  <w:tcW w:w="2088" w:type="dxa"/>
                  <w:vAlign w:val="center"/>
                </w:tcPr>
                <w:p w14:paraId="13588C32">
                  <w:pPr>
                    <w:adjustRightInd w:val="0"/>
                    <w:snapToGrid w:val="0"/>
                    <w:jc w:val="center"/>
                    <w:rPr>
                      <w:rFonts w:ascii="Times New Roman" w:hAnsi="Times New Roman"/>
                      <w:szCs w:val="21"/>
                    </w:rPr>
                  </w:pPr>
                  <w:r>
                    <w:rPr>
                      <w:rFonts w:ascii="Times New Roman" w:hAnsi="Times New Roman"/>
                      <w:szCs w:val="21"/>
                    </w:rPr>
                    <w:t>65</w:t>
                  </w:r>
                  <w:r>
                    <w:rPr>
                      <w:rFonts w:ascii="Times New Roman" w:hAnsi="Times New Roman"/>
                      <w:bCs/>
                      <w:szCs w:val="21"/>
                    </w:rPr>
                    <w:t>dB</w:t>
                  </w:r>
                  <w:r>
                    <w:rPr>
                      <w:rFonts w:ascii="Times New Roman" w:hAnsi="Times New Roman"/>
                      <w:szCs w:val="21"/>
                      <w:lang w:val="zh-CN"/>
                    </w:rPr>
                    <w:t>（A）</w:t>
                  </w:r>
                </w:p>
              </w:tc>
              <w:tc>
                <w:tcPr>
                  <w:tcW w:w="2093" w:type="dxa"/>
                  <w:vAlign w:val="center"/>
                </w:tcPr>
                <w:p w14:paraId="47070553">
                  <w:pPr>
                    <w:adjustRightInd w:val="0"/>
                    <w:snapToGrid w:val="0"/>
                    <w:spacing w:before="72" w:beforeLines="30"/>
                    <w:jc w:val="center"/>
                    <w:rPr>
                      <w:rFonts w:ascii="Times New Roman" w:hAnsi="Times New Roman"/>
                      <w:szCs w:val="21"/>
                    </w:rPr>
                  </w:pPr>
                  <w:r>
                    <w:rPr>
                      <w:rFonts w:ascii="Times New Roman" w:hAnsi="Times New Roman"/>
                      <w:szCs w:val="21"/>
                    </w:rPr>
                    <w:t>/</w:t>
                  </w:r>
                </w:p>
              </w:tc>
              <w:tc>
                <w:tcPr>
                  <w:tcW w:w="833" w:type="pct"/>
                  <w:vAlign w:val="center"/>
                </w:tcPr>
                <w:p w14:paraId="73640C9A">
                  <w:pPr>
                    <w:adjustRightInd w:val="0"/>
                    <w:snapToGrid w:val="0"/>
                    <w:jc w:val="center"/>
                    <w:rPr>
                      <w:rFonts w:ascii="Times New Roman" w:hAnsi="Times New Roman"/>
                      <w:szCs w:val="21"/>
                    </w:rPr>
                  </w:pPr>
                  <w:r>
                    <w:rPr>
                      <w:rFonts w:ascii="Times New Roman" w:hAnsi="Times New Roman"/>
                      <w:szCs w:val="21"/>
                    </w:rPr>
                    <w:t>达标</w:t>
                  </w:r>
                </w:p>
              </w:tc>
            </w:tr>
          </w:tbl>
          <w:p w14:paraId="3C0DD972">
            <w:pPr>
              <w:tabs>
                <w:tab w:val="left" w:pos="1380"/>
                <w:tab w:val="left" w:pos="1860"/>
                <w:tab w:val="center" w:pos="4535"/>
                <w:tab w:val="left" w:pos="5985"/>
                <w:tab w:val="left" w:pos="7740"/>
              </w:tabs>
              <w:adjustRightInd w:val="0"/>
              <w:snapToGrid w:val="0"/>
              <w:spacing w:before="120" w:beforeLines="50" w:line="360" w:lineRule="auto"/>
              <w:ind w:firstLine="480" w:firstLineChars="200"/>
              <w:rPr>
                <w:sz w:val="24"/>
              </w:rPr>
            </w:pPr>
            <w:r>
              <w:rPr>
                <w:sz w:val="24"/>
              </w:rPr>
              <w:t>由上表可见，南侧、西侧、北侧厂界噪声排放达到《工业企业厂界环境噪声排放标准》（GB12348-2008）中3类标准要求。东侧厂界噪声排放达到《工业企业厂界环境噪声排放标准》（GB12348-2008）中4类标准要求。对外环境的影响不大。因此，本项目噪声源噪声值经厂房隔声和距离减震降噪措施后，可保证厂界噪声达标排放，对区域环境的影响较小。</w:t>
            </w:r>
          </w:p>
          <w:p w14:paraId="3D39513E">
            <w:pPr>
              <w:tabs>
                <w:tab w:val="left" w:pos="1380"/>
                <w:tab w:val="left" w:pos="1860"/>
                <w:tab w:val="center" w:pos="4535"/>
                <w:tab w:val="left" w:pos="5985"/>
                <w:tab w:val="left" w:pos="7740"/>
              </w:tabs>
              <w:adjustRightInd w:val="0"/>
              <w:snapToGrid w:val="0"/>
              <w:spacing w:line="360" w:lineRule="auto"/>
              <w:ind w:firstLine="480" w:firstLineChars="200"/>
              <w:rPr>
                <w:sz w:val="24"/>
              </w:rPr>
            </w:pPr>
            <w:r>
              <w:rPr>
                <w:sz w:val="24"/>
              </w:rPr>
              <w:t>为确保项目运营期，厂界噪声达标排放，建设单位采用以下措施：</w:t>
            </w:r>
          </w:p>
          <w:p w14:paraId="5AEE9D93">
            <w:pPr>
              <w:tabs>
                <w:tab w:val="left" w:pos="1380"/>
                <w:tab w:val="left" w:pos="1860"/>
                <w:tab w:val="center" w:pos="4535"/>
                <w:tab w:val="left" w:pos="5985"/>
                <w:tab w:val="left" w:pos="7740"/>
              </w:tabs>
              <w:adjustRightInd w:val="0"/>
              <w:snapToGrid w:val="0"/>
              <w:spacing w:line="360" w:lineRule="auto"/>
              <w:ind w:firstLine="480" w:firstLineChars="200"/>
              <w:rPr>
                <w:sz w:val="24"/>
              </w:rPr>
            </w:pPr>
            <w:r>
              <w:rPr>
                <w:sz w:val="24"/>
              </w:rPr>
              <w:t>a源头控制：因本项目为新建项目，设备为新增设备，在选用、购买设备时，采用生产效率高且性能好的先进性设备，噪声产生源强小；</w:t>
            </w:r>
          </w:p>
          <w:p w14:paraId="0F1FF961">
            <w:pPr>
              <w:tabs>
                <w:tab w:val="left" w:pos="1380"/>
                <w:tab w:val="left" w:pos="1860"/>
                <w:tab w:val="center" w:pos="4535"/>
                <w:tab w:val="left" w:pos="5985"/>
                <w:tab w:val="left" w:pos="7740"/>
              </w:tabs>
              <w:adjustRightInd w:val="0"/>
              <w:snapToGrid w:val="0"/>
              <w:spacing w:line="360" w:lineRule="auto"/>
              <w:ind w:firstLine="480" w:firstLineChars="200"/>
              <w:rPr>
                <w:sz w:val="24"/>
              </w:rPr>
            </w:pPr>
            <w:r>
              <w:rPr>
                <w:sz w:val="24"/>
              </w:rPr>
              <w:t>b布局：项目的总体布局上，将生产车间和噪声源强较高的设备布置远离厂区边界，加大了噪声的距离衰减，同时生产设备基本安置在室内；</w:t>
            </w:r>
          </w:p>
          <w:p w14:paraId="58AEC412">
            <w:pPr>
              <w:tabs>
                <w:tab w:val="left" w:pos="1380"/>
                <w:tab w:val="left" w:pos="1860"/>
                <w:tab w:val="center" w:pos="4535"/>
                <w:tab w:val="left" w:pos="5985"/>
                <w:tab w:val="left" w:pos="7740"/>
              </w:tabs>
              <w:adjustRightInd w:val="0"/>
              <w:snapToGrid w:val="0"/>
              <w:spacing w:line="360" w:lineRule="auto"/>
              <w:ind w:firstLine="480" w:firstLineChars="200"/>
              <w:rPr>
                <w:sz w:val="24"/>
              </w:rPr>
            </w:pPr>
            <w:r>
              <w:rPr>
                <w:sz w:val="24"/>
              </w:rPr>
              <w:t>c针对不同的高噪声设备，采取针对性较强的措施。对强噪声设备采用安装吸声、消声材料措施。对空气流动噪声采用在气流通道上安装消声器装置以降低噪声。</w:t>
            </w:r>
          </w:p>
          <w:p w14:paraId="6049BCB1">
            <w:pPr>
              <w:tabs>
                <w:tab w:val="left" w:pos="1380"/>
                <w:tab w:val="left" w:pos="1860"/>
                <w:tab w:val="center" w:pos="4535"/>
                <w:tab w:val="left" w:pos="5985"/>
                <w:tab w:val="left" w:pos="7740"/>
              </w:tabs>
              <w:adjustRightInd w:val="0"/>
              <w:snapToGrid w:val="0"/>
              <w:spacing w:line="360" w:lineRule="auto"/>
              <w:ind w:firstLine="480" w:firstLineChars="200"/>
              <w:rPr>
                <w:sz w:val="24"/>
              </w:rPr>
            </w:pPr>
            <w:r>
              <w:rPr>
                <w:sz w:val="24"/>
              </w:rPr>
              <w:t>在上述措施实施的前提下，经过车间墙体隔声、加设减振基础、消声器和距离衰减后，厂界噪声能够确保达到《工业企业厂界环境噪声排放标准》（GB12348-2008）3类区对应的噪声排放限值，因此本环境噪声污染对周围环境影响较小。</w:t>
            </w:r>
          </w:p>
          <w:p w14:paraId="7A5BCB5E">
            <w:pPr>
              <w:spacing w:line="500" w:lineRule="exact"/>
              <w:ind w:firstLine="482" w:firstLineChars="200"/>
              <w:rPr>
                <w:b/>
                <w:bCs/>
                <w:kern w:val="0"/>
                <w:sz w:val="24"/>
              </w:rPr>
            </w:pPr>
            <w:r>
              <w:rPr>
                <w:b/>
                <w:bCs/>
                <w:sz w:val="24"/>
              </w:rPr>
              <w:t>3、</w:t>
            </w:r>
            <w:r>
              <w:rPr>
                <w:b/>
                <w:bCs/>
                <w:kern w:val="0"/>
                <w:sz w:val="24"/>
              </w:rPr>
              <w:t>声环境监测计划</w:t>
            </w:r>
          </w:p>
          <w:p w14:paraId="2E95D700">
            <w:pPr>
              <w:pStyle w:val="52"/>
              <w:numPr>
                <w:ilvl w:val="0"/>
                <w:numId w:val="0"/>
              </w:numPr>
              <w:spacing w:line="360" w:lineRule="auto"/>
              <w:ind w:left="420" w:leftChars="0" w:hanging="132" w:firstLineChars="0"/>
              <w:rPr>
                <w:rFonts w:cs="Times New Roman"/>
              </w:rPr>
            </w:pPr>
            <w:r>
              <w:rPr>
                <w:rFonts w:hint="eastAsia" w:ascii="Times New Roman" w:hAnsi="Times New Roman" w:eastAsia="宋体" w:cs="Times New Roman"/>
                <w:b/>
                <w:kern w:val="0"/>
                <w:sz w:val="21"/>
                <w:szCs w:val="21"/>
                <w:lang w:val="en-US" w:eastAsia="zh-CN" w:bidi="ar-SA"/>
              </w:rPr>
              <w:t>表4-</w:t>
            </w:r>
            <w:r>
              <w:rPr>
                <w:rFonts w:hint="eastAsia" w:cs="Times New Roman"/>
                <w:b/>
                <w:kern w:val="0"/>
                <w:sz w:val="21"/>
                <w:szCs w:val="21"/>
                <w:lang w:val="en-US" w:eastAsia="zh-CN" w:bidi="ar-SA"/>
              </w:rPr>
              <w:t>9</w:t>
            </w:r>
            <w:r>
              <w:rPr>
                <w:rFonts w:cs="Times New Roman"/>
              </w:rPr>
              <w:t>声环境监测计划一览表</w:t>
            </w:r>
          </w:p>
          <w:tbl>
            <w:tblPr>
              <w:tblStyle w:val="75"/>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16"/>
              <w:gridCol w:w="1740"/>
              <w:gridCol w:w="693"/>
              <w:gridCol w:w="606"/>
              <w:gridCol w:w="1044"/>
              <w:gridCol w:w="3863"/>
            </w:tblGrid>
            <w:tr w14:paraId="71CB60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16" w:type="dxa"/>
                  <w:vAlign w:val="center"/>
                </w:tcPr>
                <w:p w14:paraId="4565EC99">
                  <w:pPr>
                    <w:jc w:val="center"/>
                    <w:rPr>
                      <w:rFonts w:ascii="Times New Roman" w:hAnsi="Times New Roman"/>
                      <w:b/>
                      <w:sz w:val="18"/>
                      <w:szCs w:val="18"/>
                    </w:rPr>
                  </w:pPr>
                  <w:r>
                    <w:rPr>
                      <w:rFonts w:ascii="Times New Roman" w:hAnsi="Times New Roman"/>
                      <w:b/>
                      <w:sz w:val="18"/>
                      <w:szCs w:val="18"/>
                    </w:rPr>
                    <w:t>序号</w:t>
                  </w:r>
                </w:p>
              </w:tc>
              <w:tc>
                <w:tcPr>
                  <w:tcW w:w="1740" w:type="dxa"/>
                  <w:vAlign w:val="center"/>
                </w:tcPr>
                <w:p w14:paraId="72327C00">
                  <w:pPr>
                    <w:jc w:val="center"/>
                    <w:rPr>
                      <w:rFonts w:ascii="Times New Roman" w:hAnsi="Times New Roman"/>
                      <w:b/>
                      <w:sz w:val="18"/>
                      <w:szCs w:val="18"/>
                    </w:rPr>
                  </w:pPr>
                  <w:r>
                    <w:rPr>
                      <w:rFonts w:ascii="Times New Roman" w:hAnsi="Times New Roman"/>
                      <w:b/>
                      <w:sz w:val="18"/>
                      <w:szCs w:val="18"/>
                    </w:rPr>
                    <w:t>监测点位</w:t>
                  </w:r>
                </w:p>
              </w:tc>
              <w:tc>
                <w:tcPr>
                  <w:tcW w:w="693" w:type="dxa"/>
                  <w:vAlign w:val="center"/>
                </w:tcPr>
                <w:p w14:paraId="15CC04B6">
                  <w:pPr>
                    <w:jc w:val="center"/>
                    <w:rPr>
                      <w:rFonts w:ascii="Times New Roman" w:hAnsi="Times New Roman"/>
                      <w:b/>
                      <w:sz w:val="18"/>
                      <w:szCs w:val="18"/>
                    </w:rPr>
                  </w:pPr>
                  <w:r>
                    <w:rPr>
                      <w:rFonts w:ascii="Times New Roman" w:hAnsi="Times New Roman"/>
                      <w:b/>
                      <w:sz w:val="18"/>
                      <w:szCs w:val="18"/>
                    </w:rPr>
                    <w:t>监测项目</w:t>
                  </w:r>
                </w:p>
              </w:tc>
              <w:tc>
                <w:tcPr>
                  <w:tcW w:w="606" w:type="dxa"/>
                  <w:vAlign w:val="center"/>
                </w:tcPr>
                <w:p w14:paraId="4EDD8592">
                  <w:pPr>
                    <w:jc w:val="center"/>
                    <w:rPr>
                      <w:rFonts w:ascii="Times New Roman" w:hAnsi="Times New Roman"/>
                      <w:b/>
                      <w:sz w:val="18"/>
                      <w:szCs w:val="18"/>
                    </w:rPr>
                  </w:pPr>
                  <w:r>
                    <w:rPr>
                      <w:rFonts w:ascii="Times New Roman" w:hAnsi="Times New Roman"/>
                      <w:b/>
                      <w:sz w:val="18"/>
                      <w:szCs w:val="18"/>
                    </w:rPr>
                    <w:t>频率</w:t>
                  </w:r>
                </w:p>
              </w:tc>
              <w:tc>
                <w:tcPr>
                  <w:tcW w:w="1044" w:type="dxa"/>
                  <w:vAlign w:val="center"/>
                </w:tcPr>
                <w:p w14:paraId="235A0882">
                  <w:pPr>
                    <w:jc w:val="center"/>
                    <w:rPr>
                      <w:rFonts w:ascii="Times New Roman" w:hAnsi="Times New Roman"/>
                      <w:b/>
                      <w:sz w:val="18"/>
                      <w:szCs w:val="18"/>
                    </w:rPr>
                  </w:pPr>
                  <w:r>
                    <w:rPr>
                      <w:rFonts w:ascii="Times New Roman" w:hAnsi="Times New Roman"/>
                      <w:b/>
                      <w:sz w:val="18"/>
                      <w:szCs w:val="18"/>
                    </w:rPr>
                    <w:t>实施单位</w:t>
                  </w:r>
                </w:p>
              </w:tc>
              <w:tc>
                <w:tcPr>
                  <w:tcW w:w="3863" w:type="dxa"/>
                  <w:vAlign w:val="center"/>
                </w:tcPr>
                <w:p w14:paraId="50052E3B">
                  <w:pPr>
                    <w:jc w:val="center"/>
                    <w:rPr>
                      <w:rFonts w:ascii="Times New Roman" w:hAnsi="Times New Roman"/>
                      <w:b/>
                      <w:sz w:val="18"/>
                      <w:szCs w:val="18"/>
                    </w:rPr>
                  </w:pPr>
                  <w:r>
                    <w:rPr>
                      <w:rFonts w:ascii="Times New Roman" w:hAnsi="Times New Roman"/>
                      <w:b/>
                      <w:sz w:val="18"/>
                      <w:szCs w:val="18"/>
                    </w:rPr>
                    <w:t>执行标准</w:t>
                  </w:r>
                </w:p>
              </w:tc>
            </w:tr>
            <w:tr w14:paraId="67520B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516" w:type="dxa"/>
                  <w:vAlign w:val="center"/>
                </w:tcPr>
                <w:p w14:paraId="224025DF">
                  <w:pPr>
                    <w:jc w:val="center"/>
                    <w:rPr>
                      <w:rFonts w:ascii="Times New Roman" w:hAnsi="Times New Roman"/>
                      <w:bCs/>
                      <w:sz w:val="18"/>
                      <w:szCs w:val="18"/>
                    </w:rPr>
                  </w:pPr>
                  <w:r>
                    <w:rPr>
                      <w:rFonts w:ascii="Times New Roman" w:hAnsi="Times New Roman"/>
                      <w:bCs/>
                      <w:sz w:val="18"/>
                      <w:szCs w:val="18"/>
                    </w:rPr>
                    <w:t>1</w:t>
                  </w:r>
                </w:p>
              </w:tc>
              <w:tc>
                <w:tcPr>
                  <w:tcW w:w="1740" w:type="dxa"/>
                  <w:vAlign w:val="center"/>
                </w:tcPr>
                <w:p w14:paraId="11F9ACDD">
                  <w:pPr>
                    <w:jc w:val="center"/>
                    <w:rPr>
                      <w:rStyle w:val="35"/>
                      <w:rFonts w:ascii="Times New Roman" w:hAnsi="Times New Roman"/>
                      <w:sz w:val="18"/>
                      <w:szCs w:val="18"/>
                    </w:rPr>
                  </w:pPr>
                  <w:r>
                    <w:rPr>
                      <w:rStyle w:val="35"/>
                      <w:rFonts w:ascii="Times New Roman" w:hAnsi="Times New Roman"/>
                      <w:sz w:val="18"/>
                      <w:szCs w:val="18"/>
                    </w:rPr>
                    <w:t>项目东南西北各一个监测点</w:t>
                  </w:r>
                </w:p>
              </w:tc>
              <w:tc>
                <w:tcPr>
                  <w:tcW w:w="693" w:type="dxa"/>
                  <w:vAlign w:val="center"/>
                </w:tcPr>
                <w:p w14:paraId="32694D63">
                  <w:pPr>
                    <w:adjustRightInd w:val="0"/>
                    <w:jc w:val="center"/>
                    <w:rPr>
                      <w:rFonts w:ascii="Times New Roman" w:hAnsi="Times New Roman"/>
                      <w:bCs/>
                      <w:sz w:val="18"/>
                      <w:szCs w:val="18"/>
                    </w:rPr>
                  </w:pPr>
                  <w:r>
                    <w:rPr>
                      <w:rFonts w:ascii="Times New Roman" w:hAnsi="Times New Roman"/>
                      <w:bCs/>
                      <w:sz w:val="18"/>
                      <w:szCs w:val="18"/>
                    </w:rPr>
                    <w:t>噪声</w:t>
                  </w:r>
                </w:p>
              </w:tc>
              <w:tc>
                <w:tcPr>
                  <w:tcW w:w="606" w:type="dxa"/>
                  <w:vAlign w:val="center"/>
                </w:tcPr>
                <w:p w14:paraId="0CCAA429">
                  <w:pPr>
                    <w:jc w:val="center"/>
                    <w:rPr>
                      <w:rFonts w:ascii="Times New Roman" w:hAnsi="Times New Roman"/>
                      <w:bCs/>
                      <w:sz w:val="18"/>
                      <w:szCs w:val="18"/>
                    </w:rPr>
                  </w:pPr>
                  <w:r>
                    <w:rPr>
                      <w:rFonts w:ascii="Times New Roman" w:hAnsi="Times New Roman"/>
                      <w:bCs/>
                      <w:sz w:val="18"/>
                      <w:szCs w:val="18"/>
                    </w:rPr>
                    <w:t>1次/季</w:t>
                  </w:r>
                </w:p>
              </w:tc>
              <w:tc>
                <w:tcPr>
                  <w:tcW w:w="1044" w:type="dxa"/>
                  <w:vAlign w:val="center"/>
                </w:tcPr>
                <w:p w14:paraId="55088086">
                  <w:pPr>
                    <w:jc w:val="center"/>
                    <w:rPr>
                      <w:rFonts w:ascii="Times New Roman" w:hAnsi="Times New Roman"/>
                      <w:bCs/>
                      <w:sz w:val="18"/>
                      <w:szCs w:val="18"/>
                    </w:rPr>
                  </w:pPr>
                  <w:r>
                    <w:rPr>
                      <w:rFonts w:ascii="Times New Roman" w:hAnsi="Times New Roman"/>
                      <w:bCs/>
                      <w:sz w:val="18"/>
                      <w:szCs w:val="18"/>
                    </w:rPr>
                    <w:t>有资质的监测单位</w:t>
                  </w:r>
                </w:p>
              </w:tc>
              <w:tc>
                <w:tcPr>
                  <w:tcW w:w="3863" w:type="dxa"/>
                  <w:vAlign w:val="center"/>
                </w:tcPr>
                <w:p w14:paraId="42378765">
                  <w:pPr>
                    <w:jc w:val="center"/>
                    <w:rPr>
                      <w:rFonts w:ascii="Times New Roman" w:hAnsi="Times New Roman"/>
                      <w:bCs/>
                      <w:sz w:val="18"/>
                      <w:szCs w:val="18"/>
                    </w:rPr>
                  </w:pPr>
                  <w:r>
                    <w:rPr>
                      <w:rFonts w:ascii="Times New Roman" w:hAnsi="Times New Roman"/>
                      <w:sz w:val="18"/>
                      <w:szCs w:val="18"/>
                    </w:rPr>
                    <w:t>《工业企业厂界环境噪声排放标准》（GB12348-2008）</w:t>
                  </w:r>
                </w:p>
              </w:tc>
            </w:tr>
          </w:tbl>
          <w:p w14:paraId="31684CD9">
            <w:pPr>
              <w:pStyle w:val="12"/>
            </w:pPr>
          </w:p>
          <w:p w14:paraId="67697433">
            <w:pPr>
              <w:adjustRightInd w:val="0"/>
              <w:snapToGrid w:val="0"/>
              <w:spacing w:line="360" w:lineRule="auto"/>
              <w:rPr>
                <w:sz w:val="24"/>
              </w:rPr>
            </w:pPr>
            <w:r>
              <w:rPr>
                <w:b/>
                <w:bCs/>
                <w:sz w:val="24"/>
              </w:rPr>
              <w:t>四、固体废物</w:t>
            </w:r>
          </w:p>
          <w:p w14:paraId="58860EBE">
            <w:pPr>
              <w:adjustRightInd w:val="0"/>
              <w:snapToGrid w:val="0"/>
              <w:spacing w:line="360" w:lineRule="auto"/>
              <w:ind w:firstLine="480" w:firstLineChars="200"/>
              <w:rPr>
                <w:sz w:val="24"/>
              </w:rPr>
            </w:pPr>
            <w:r>
              <w:rPr>
                <w:sz w:val="24"/>
              </w:rPr>
              <w:t>本项目运营期间的固体废物主要包括一般工业固废和生活垃圾等。</w:t>
            </w:r>
          </w:p>
          <w:p w14:paraId="0555EB45">
            <w:pPr>
              <w:adjustRightInd w:val="0"/>
              <w:snapToGrid w:val="0"/>
              <w:spacing w:line="360" w:lineRule="auto"/>
              <w:ind w:firstLine="480" w:firstLineChars="200"/>
              <w:rPr>
                <w:sz w:val="24"/>
              </w:rPr>
            </w:pPr>
            <w:r>
              <w:rPr>
                <w:sz w:val="24"/>
              </w:rPr>
              <w:t>a.生活垃圾</w:t>
            </w:r>
          </w:p>
          <w:p w14:paraId="4C2F5AC8">
            <w:pPr>
              <w:adjustRightInd w:val="0"/>
              <w:snapToGrid w:val="0"/>
              <w:spacing w:line="360" w:lineRule="auto"/>
              <w:ind w:firstLine="480" w:firstLineChars="200"/>
              <w:rPr>
                <w:sz w:val="24"/>
              </w:rPr>
            </w:pPr>
            <w:r>
              <w:rPr>
                <w:sz w:val="24"/>
              </w:rPr>
              <w:t>项目拥有职工30人，生活垃圾按0.5kg/人·d计，年工作300天，则生活垃圾产生量为4.5t/a。集中收集后交由环卫部门统一清运处置。</w:t>
            </w:r>
          </w:p>
          <w:p w14:paraId="56B22A27">
            <w:pPr>
              <w:adjustRightInd w:val="0"/>
              <w:snapToGrid w:val="0"/>
              <w:spacing w:line="360" w:lineRule="auto"/>
              <w:ind w:firstLine="480" w:firstLineChars="200"/>
              <w:rPr>
                <w:sz w:val="24"/>
              </w:rPr>
            </w:pPr>
            <w:r>
              <w:rPr>
                <w:sz w:val="24"/>
              </w:rPr>
              <w:t>b.一般工业固废</w:t>
            </w:r>
          </w:p>
          <w:p w14:paraId="0C07FECD">
            <w:pPr>
              <w:pStyle w:val="2"/>
              <w:snapToGrid w:val="0"/>
              <w:spacing w:line="360" w:lineRule="auto"/>
              <w:ind w:firstLine="480" w:firstLineChars="200"/>
              <w:rPr>
                <w:color w:val="auto"/>
              </w:rPr>
            </w:pPr>
            <w:r>
              <w:rPr>
                <w:rFonts w:hint="eastAsia" w:ascii="宋体" w:hAnsi="宋体" w:cs="宋体"/>
                <w:color w:val="auto"/>
              </w:rPr>
              <w:t>①</w:t>
            </w:r>
            <w:r>
              <w:rPr>
                <w:color w:val="auto"/>
              </w:rPr>
              <w:t>废边角料：项目在注塑、裁剪工序会产生废边角料，其产生量约为2.5t/a，属于一般固体废物，</w:t>
            </w:r>
            <w:r>
              <w:t>集中收集后，统一外售</w:t>
            </w:r>
            <w:r>
              <w:rPr>
                <w:color w:val="auto"/>
              </w:rPr>
              <w:t>。</w:t>
            </w:r>
          </w:p>
          <w:p w14:paraId="29C6AFC7">
            <w:pPr>
              <w:adjustRightInd w:val="0"/>
              <w:snapToGrid w:val="0"/>
              <w:spacing w:line="360" w:lineRule="auto"/>
              <w:ind w:firstLine="480" w:firstLineChars="200"/>
              <w:rPr>
                <w:color w:val="0000FF"/>
                <w:sz w:val="24"/>
              </w:rPr>
            </w:pPr>
            <w:r>
              <w:rPr>
                <w:rFonts w:hint="eastAsia" w:ascii="宋体" w:hAnsi="宋体" w:cs="宋体"/>
                <w:sz w:val="24"/>
              </w:rPr>
              <w:t>②</w:t>
            </w:r>
            <w:r>
              <w:rPr>
                <w:sz w:val="24"/>
              </w:rPr>
              <w:t>废包装袋：项目原辅材料采购及产品包装过程在会产生废包装袋，产生量约为1.5t/a，</w:t>
            </w:r>
            <w:r>
              <w:rPr>
                <w:color w:val="000000"/>
                <w:sz w:val="24"/>
              </w:rPr>
              <w:t>集中收集后，统一外售</w:t>
            </w:r>
            <w:r>
              <w:rPr>
                <w:sz w:val="24"/>
              </w:rPr>
              <w:t>。</w:t>
            </w:r>
          </w:p>
          <w:p w14:paraId="6AA15E69">
            <w:pPr>
              <w:pStyle w:val="12"/>
              <w:ind w:firstLine="480" w:firstLineChars="200"/>
              <w:rPr>
                <w:kern w:val="2"/>
                <w:sz w:val="24"/>
                <w:szCs w:val="24"/>
              </w:rPr>
            </w:pPr>
            <w:r>
              <w:rPr>
                <w:kern w:val="2"/>
                <w:sz w:val="24"/>
                <w:szCs w:val="24"/>
              </w:rPr>
              <w:t>c.危险废物</w:t>
            </w:r>
          </w:p>
          <w:p w14:paraId="6F2417CE">
            <w:pPr>
              <w:pStyle w:val="12"/>
              <w:ind w:firstLine="480" w:firstLineChars="200"/>
              <w:rPr>
                <w:sz w:val="24"/>
              </w:rPr>
            </w:pPr>
            <w:r>
              <w:rPr>
                <w:rFonts w:hint="eastAsia" w:ascii="宋体" w:hAnsi="宋体" w:cs="宋体"/>
                <w:kern w:val="2"/>
                <w:sz w:val="24"/>
                <w:szCs w:val="24"/>
              </w:rPr>
              <w:t>①</w:t>
            </w:r>
            <w:r>
              <w:rPr>
                <w:sz w:val="24"/>
              </w:rPr>
              <w:t>废活性炭</w:t>
            </w:r>
          </w:p>
          <w:p w14:paraId="6E7624FC">
            <w:pPr>
              <w:adjustRightInd w:val="0"/>
              <w:snapToGrid w:val="0"/>
              <w:spacing w:line="360" w:lineRule="auto"/>
              <w:ind w:firstLine="480" w:firstLineChars="200"/>
              <w:rPr>
                <w:sz w:val="24"/>
              </w:rPr>
            </w:pPr>
            <w:r>
              <w:rPr>
                <w:sz w:val="24"/>
              </w:rPr>
              <w:t>本项目采取活性炭吸附的方式对废气进行处理，1吨活性碳大约可以吸附0.3吨左右的</w:t>
            </w:r>
            <w:r>
              <w:rPr>
                <w:rFonts w:hint="eastAsia"/>
                <w:sz w:val="24"/>
                <w:lang w:val="en-US" w:eastAsia="zh-CN"/>
              </w:rPr>
              <w:t>有机废气</w:t>
            </w:r>
            <w:r>
              <w:rPr>
                <w:sz w:val="24"/>
              </w:rPr>
              <w:t>，本项目</w:t>
            </w:r>
            <w:r>
              <w:rPr>
                <w:rFonts w:hint="eastAsia"/>
                <w:sz w:val="24"/>
                <w:lang w:val="en-US" w:eastAsia="zh-CN"/>
              </w:rPr>
              <w:t>有机</w:t>
            </w:r>
            <w:r>
              <w:rPr>
                <w:sz w:val="24"/>
              </w:rPr>
              <w:t>废气去除量约为0.</w:t>
            </w:r>
            <w:r>
              <w:rPr>
                <w:rFonts w:hint="eastAsia"/>
                <w:sz w:val="24"/>
                <w:lang w:val="en-US" w:eastAsia="zh-CN"/>
              </w:rPr>
              <w:t>394</w:t>
            </w:r>
            <w:r>
              <w:rPr>
                <w:sz w:val="24"/>
              </w:rPr>
              <w:t>t/a，则活性炭用量为1.</w:t>
            </w:r>
            <w:r>
              <w:rPr>
                <w:rFonts w:hint="eastAsia"/>
                <w:sz w:val="24"/>
                <w:lang w:val="en-US" w:eastAsia="zh-CN"/>
              </w:rPr>
              <w:t>31</w:t>
            </w:r>
            <w:r>
              <w:rPr>
                <w:sz w:val="24"/>
              </w:rPr>
              <w:t>t/a，每年更换一次，废活性炭量约为1.</w:t>
            </w:r>
            <w:r>
              <w:rPr>
                <w:rFonts w:hint="eastAsia"/>
                <w:sz w:val="24"/>
                <w:lang w:val="en-US" w:eastAsia="zh-CN"/>
              </w:rPr>
              <w:t>31</w:t>
            </w:r>
            <w:r>
              <w:rPr>
                <w:sz w:val="24"/>
              </w:rPr>
              <w:t>t/a。根据《国家危险废物名录》（202</w:t>
            </w:r>
            <w:r>
              <w:rPr>
                <w:rFonts w:hint="eastAsia"/>
                <w:sz w:val="24"/>
                <w:lang w:val="en-US" w:eastAsia="zh-CN"/>
              </w:rPr>
              <w:t>5</w:t>
            </w:r>
            <w:r>
              <w:rPr>
                <w:sz w:val="24"/>
              </w:rPr>
              <w:t>年版），废活性炭属于（HW49其他废物，危废代码900-039-49），危废暂存间暂存，委定期交由有资质单位处置。</w:t>
            </w:r>
          </w:p>
          <w:p w14:paraId="6B4A37D3">
            <w:pPr>
              <w:pStyle w:val="12"/>
              <w:ind w:firstLine="480" w:firstLineChars="200"/>
              <w:rPr>
                <w:kern w:val="2"/>
                <w:sz w:val="24"/>
                <w:szCs w:val="24"/>
              </w:rPr>
            </w:pPr>
            <w:r>
              <w:rPr>
                <w:rFonts w:hint="eastAsia" w:ascii="宋体" w:hAnsi="宋体" w:cs="宋体"/>
                <w:kern w:val="2"/>
                <w:sz w:val="24"/>
                <w:szCs w:val="24"/>
              </w:rPr>
              <w:t>②</w:t>
            </w:r>
            <w:r>
              <w:rPr>
                <w:sz w:val="24"/>
              </w:rPr>
              <w:t>废液压油</w:t>
            </w:r>
          </w:p>
          <w:p w14:paraId="29E281E1">
            <w:pPr>
              <w:spacing w:line="360" w:lineRule="auto"/>
              <w:ind w:firstLine="480" w:firstLineChars="200"/>
            </w:pPr>
            <w:r>
              <w:rPr>
                <w:sz w:val="24"/>
              </w:rPr>
              <w:t>本项目液压油每</w:t>
            </w:r>
            <w:r>
              <w:rPr>
                <w:rFonts w:hint="eastAsia"/>
                <w:sz w:val="24"/>
                <w:lang w:val="en-US" w:eastAsia="zh-CN"/>
              </w:rPr>
              <w:t>三</w:t>
            </w:r>
            <w:r>
              <w:rPr>
                <w:sz w:val="24"/>
              </w:rPr>
              <w:t>年更换一次，废液压油约为0.3t/a。根据《国家危险废物名录》（202</w:t>
            </w:r>
            <w:r>
              <w:rPr>
                <w:rFonts w:hint="eastAsia"/>
                <w:sz w:val="24"/>
                <w:lang w:val="en-US" w:eastAsia="zh-CN"/>
              </w:rPr>
              <w:t>5</w:t>
            </w:r>
            <w:r>
              <w:rPr>
                <w:sz w:val="24"/>
              </w:rPr>
              <w:t>年版），废液压油属于（HW08其他废物，危废代码900-218-08），危废暂存间暂存，委定期交由有资质单位处置。</w:t>
            </w:r>
          </w:p>
          <w:p w14:paraId="4FBA84A5">
            <w:pPr>
              <w:pStyle w:val="52"/>
              <w:numPr>
                <w:ilvl w:val="0"/>
                <w:numId w:val="0"/>
              </w:numPr>
              <w:spacing w:line="360" w:lineRule="auto"/>
              <w:ind w:left="420" w:leftChars="0" w:hanging="132" w:firstLineChars="0"/>
              <w:rPr>
                <w:rFonts w:cs="Times New Roman"/>
              </w:rPr>
            </w:pPr>
            <w:bookmarkStart w:id="11" w:name="_Hlk75894133"/>
            <w:r>
              <w:rPr>
                <w:rFonts w:hint="eastAsia" w:ascii="Times New Roman" w:hAnsi="Times New Roman" w:eastAsia="宋体" w:cs="Times New Roman"/>
                <w:b/>
                <w:kern w:val="0"/>
                <w:sz w:val="21"/>
                <w:szCs w:val="21"/>
                <w:lang w:val="en-US" w:eastAsia="zh-CN" w:bidi="ar-SA"/>
              </w:rPr>
              <w:t>表4</w:t>
            </w:r>
            <w:r>
              <w:rPr>
                <w:rFonts w:hint="eastAsia" w:cs="Times New Roman"/>
                <w:b/>
                <w:kern w:val="0"/>
                <w:sz w:val="21"/>
                <w:szCs w:val="21"/>
                <w:lang w:val="en-US" w:eastAsia="zh-CN" w:bidi="ar-SA"/>
              </w:rPr>
              <w:t>-10</w:t>
            </w:r>
            <w:r>
              <w:rPr>
                <w:rFonts w:cs="Times New Roman"/>
              </w:rPr>
              <w:t>项目固体废物产排污情况一览表</w:t>
            </w:r>
          </w:p>
          <w:tbl>
            <w:tblPr>
              <w:tblStyle w:val="75"/>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2"/>
              <w:gridCol w:w="633"/>
              <w:gridCol w:w="633"/>
              <w:gridCol w:w="1113"/>
              <w:gridCol w:w="495"/>
              <w:gridCol w:w="495"/>
              <w:gridCol w:w="846"/>
              <w:gridCol w:w="633"/>
              <w:gridCol w:w="977"/>
              <w:gridCol w:w="1328"/>
              <w:gridCol w:w="839"/>
            </w:tblGrid>
            <w:tr w14:paraId="4C0FD8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Align w:val="center"/>
                </w:tcPr>
                <w:p w14:paraId="55662B5E">
                  <w:pPr>
                    <w:jc w:val="center"/>
                    <w:rPr>
                      <w:rFonts w:ascii="Times New Roman" w:hAnsi="Times New Roman"/>
                      <w:bCs/>
                      <w:szCs w:val="21"/>
                    </w:rPr>
                  </w:pPr>
                  <w:r>
                    <w:rPr>
                      <w:rFonts w:ascii="Times New Roman" w:hAnsi="Times New Roman"/>
                      <w:bCs/>
                      <w:szCs w:val="21"/>
                    </w:rPr>
                    <w:t>产生</w:t>
                  </w:r>
                </w:p>
                <w:p w14:paraId="4B9AAA7C">
                  <w:pPr>
                    <w:jc w:val="center"/>
                    <w:rPr>
                      <w:rFonts w:ascii="Times New Roman" w:hAnsi="Times New Roman"/>
                      <w:bCs/>
                      <w:szCs w:val="21"/>
                    </w:rPr>
                  </w:pPr>
                  <w:r>
                    <w:rPr>
                      <w:rFonts w:ascii="Times New Roman" w:hAnsi="Times New Roman"/>
                      <w:bCs/>
                      <w:szCs w:val="21"/>
                    </w:rPr>
                    <w:t>环节</w:t>
                  </w:r>
                </w:p>
              </w:tc>
              <w:tc>
                <w:tcPr>
                  <w:tcW w:w="0" w:type="auto"/>
                  <w:vAlign w:val="center"/>
                </w:tcPr>
                <w:p w14:paraId="078B4220">
                  <w:pPr>
                    <w:jc w:val="center"/>
                    <w:rPr>
                      <w:rFonts w:ascii="Times New Roman" w:hAnsi="Times New Roman"/>
                      <w:bCs/>
                      <w:szCs w:val="21"/>
                    </w:rPr>
                  </w:pPr>
                  <w:r>
                    <w:rPr>
                      <w:rFonts w:ascii="Times New Roman" w:hAnsi="Times New Roman"/>
                      <w:bCs/>
                      <w:szCs w:val="21"/>
                    </w:rPr>
                    <w:t>固废</w:t>
                  </w:r>
                </w:p>
                <w:p w14:paraId="04746865">
                  <w:pPr>
                    <w:jc w:val="center"/>
                    <w:rPr>
                      <w:rFonts w:ascii="Times New Roman" w:hAnsi="Times New Roman"/>
                      <w:bCs/>
                      <w:szCs w:val="21"/>
                    </w:rPr>
                  </w:pPr>
                  <w:r>
                    <w:rPr>
                      <w:rFonts w:ascii="Times New Roman" w:hAnsi="Times New Roman"/>
                      <w:bCs/>
                      <w:szCs w:val="21"/>
                    </w:rPr>
                    <w:t>名称</w:t>
                  </w:r>
                </w:p>
              </w:tc>
              <w:tc>
                <w:tcPr>
                  <w:tcW w:w="0" w:type="auto"/>
                  <w:vAlign w:val="center"/>
                </w:tcPr>
                <w:p w14:paraId="00D5A8F6">
                  <w:pPr>
                    <w:jc w:val="center"/>
                    <w:rPr>
                      <w:rFonts w:ascii="Times New Roman" w:hAnsi="Times New Roman"/>
                      <w:bCs/>
                      <w:szCs w:val="21"/>
                    </w:rPr>
                  </w:pPr>
                  <w:r>
                    <w:rPr>
                      <w:rFonts w:ascii="Times New Roman" w:hAnsi="Times New Roman"/>
                      <w:bCs/>
                      <w:szCs w:val="21"/>
                    </w:rPr>
                    <w:t>属性</w:t>
                  </w:r>
                </w:p>
              </w:tc>
              <w:tc>
                <w:tcPr>
                  <w:tcW w:w="0" w:type="auto"/>
                  <w:vAlign w:val="center"/>
                </w:tcPr>
                <w:p w14:paraId="1FBF96AC">
                  <w:pPr>
                    <w:jc w:val="center"/>
                    <w:rPr>
                      <w:rFonts w:ascii="Times New Roman" w:hAnsi="Times New Roman"/>
                      <w:bCs/>
                      <w:szCs w:val="21"/>
                    </w:rPr>
                  </w:pPr>
                  <w:r>
                    <w:rPr>
                      <w:rFonts w:ascii="Times New Roman" w:hAnsi="Times New Roman"/>
                      <w:bCs/>
                      <w:szCs w:val="21"/>
                    </w:rPr>
                    <w:t>主要有毒有害物质名称</w:t>
                  </w:r>
                </w:p>
              </w:tc>
              <w:tc>
                <w:tcPr>
                  <w:tcW w:w="0" w:type="auto"/>
                  <w:vAlign w:val="center"/>
                </w:tcPr>
                <w:p w14:paraId="14040BE5">
                  <w:pPr>
                    <w:jc w:val="center"/>
                    <w:rPr>
                      <w:rFonts w:ascii="Times New Roman" w:hAnsi="Times New Roman"/>
                      <w:bCs/>
                      <w:szCs w:val="21"/>
                    </w:rPr>
                  </w:pPr>
                  <w:r>
                    <w:rPr>
                      <w:rFonts w:ascii="Times New Roman" w:hAnsi="Times New Roman"/>
                      <w:bCs/>
                      <w:szCs w:val="21"/>
                    </w:rPr>
                    <w:t>形态</w:t>
                  </w:r>
                </w:p>
              </w:tc>
              <w:tc>
                <w:tcPr>
                  <w:tcW w:w="0" w:type="auto"/>
                  <w:vAlign w:val="center"/>
                </w:tcPr>
                <w:p w14:paraId="7A491323">
                  <w:pPr>
                    <w:jc w:val="center"/>
                    <w:rPr>
                      <w:rFonts w:ascii="Times New Roman" w:hAnsi="Times New Roman"/>
                      <w:bCs/>
                      <w:szCs w:val="21"/>
                    </w:rPr>
                  </w:pPr>
                  <w:r>
                    <w:rPr>
                      <w:rFonts w:ascii="Times New Roman" w:hAnsi="Times New Roman"/>
                      <w:bCs/>
                      <w:szCs w:val="21"/>
                    </w:rPr>
                    <w:t>危险</w:t>
                  </w:r>
                </w:p>
                <w:p w14:paraId="60701E16">
                  <w:pPr>
                    <w:jc w:val="center"/>
                    <w:rPr>
                      <w:rFonts w:ascii="Times New Roman" w:hAnsi="Times New Roman"/>
                      <w:bCs/>
                      <w:szCs w:val="21"/>
                    </w:rPr>
                  </w:pPr>
                  <w:r>
                    <w:rPr>
                      <w:rFonts w:ascii="Times New Roman" w:hAnsi="Times New Roman"/>
                      <w:bCs/>
                      <w:szCs w:val="21"/>
                    </w:rPr>
                    <w:t>特性</w:t>
                  </w:r>
                </w:p>
              </w:tc>
              <w:tc>
                <w:tcPr>
                  <w:tcW w:w="0" w:type="auto"/>
                  <w:vAlign w:val="center"/>
                </w:tcPr>
                <w:p w14:paraId="483F17AB">
                  <w:pPr>
                    <w:jc w:val="center"/>
                    <w:rPr>
                      <w:rFonts w:ascii="Times New Roman" w:hAnsi="Times New Roman"/>
                      <w:bCs/>
                      <w:szCs w:val="21"/>
                    </w:rPr>
                  </w:pPr>
                  <w:r>
                    <w:rPr>
                      <w:rFonts w:ascii="Times New Roman" w:hAnsi="Times New Roman"/>
                      <w:bCs/>
                      <w:szCs w:val="21"/>
                    </w:rPr>
                    <w:t>产生量</w:t>
                  </w:r>
                </w:p>
                <w:p w14:paraId="377BE79E">
                  <w:pPr>
                    <w:jc w:val="center"/>
                    <w:rPr>
                      <w:rFonts w:ascii="Times New Roman" w:hAnsi="Times New Roman"/>
                      <w:bCs/>
                      <w:szCs w:val="21"/>
                    </w:rPr>
                  </w:pPr>
                  <w:r>
                    <w:rPr>
                      <w:rFonts w:ascii="Times New Roman" w:hAnsi="Times New Roman"/>
                      <w:bCs/>
                      <w:szCs w:val="21"/>
                    </w:rPr>
                    <w:t>（t/a）</w:t>
                  </w:r>
                </w:p>
              </w:tc>
              <w:tc>
                <w:tcPr>
                  <w:tcW w:w="0" w:type="auto"/>
                  <w:vAlign w:val="center"/>
                </w:tcPr>
                <w:p w14:paraId="277172D7">
                  <w:pPr>
                    <w:jc w:val="center"/>
                    <w:rPr>
                      <w:rFonts w:ascii="Times New Roman" w:hAnsi="Times New Roman"/>
                      <w:bCs/>
                      <w:szCs w:val="21"/>
                    </w:rPr>
                  </w:pPr>
                  <w:r>
                    <w:rPr>
                      <w:rFonts w:ascii="Times New Roman" w:hAnsi="Times New Roman"/>
                      <w:bCs/>
                      <w:szCs w:val="21"/>
                    </w:rPr>
                    <w:t>贮存方式</w:t>
                  </w:r>
                </w:p>
              </w:tc>
              <w:tc>
                <w:tcPr>
                  <w:tcW w:w="0" w:type="auto"/>
                  <w:vAlign w:val="center"/>
                </w:tcPr>
                <w:p w14:paraId="464F5ECC">
                  <w:pPr>
                    <w:jc w:val="center"/>
                    <w:rPr>
                      <w:rFonts w:ascii="Times New Roman" w:hAnsi="Times New Roman"/>
                      <w:bCs/>
                      <w:szCs w:val="21"/>
                    </w:rPr>
                  </w:pPr>
                  <w:r>
                    <w:rPr>
                      <w:rFonts w:ascii="Times New Roman" w:hAnsi="Times New Roman"/>
                      <w:bCs/>
                      <w:szCs w:val="21"/>
                    </w:rPr>
                    <w:t>利用处置方式和去向</w:t>
                  </w:r>
                </w:p>
              </w:tc>
              <w:tc>
                <w:tcPr>
                  <w:tcW w:w="0" w:type="auto"/>
                  <w:vAlign w:val="center"/>
                </w:tcPr>
                <w:p w14:paraId="6DF496E4">
                  <w:pPr>
                    <w:jc w:val="center"/>
                    <w:rPr>
                      <w:rFonts w:ascii="Times New Roman" w:hAnsi="Times New Roman"/>
                      <w:bCs/>
                      <w:szCs w:val="21"/>
                    </w:rPr>
                  </w:pPr>
                  <w:r>
                    <w:rPr>
                      <w:rFonts w:ascii="Times New Roman" w:hAnsi="Times New Roman"/>
                      <w:bCs/>
                      <w:szCs w:val="21"/>
                    </w:rPr>
                    <w:t>利用量或处置量（t/a）</w:t>
                  </w:r>
                </w:p>
              </w:tc>
              <w:tc>
                <w:tcPr>
                  <w:tcW w:w="0" w:type="auto"/>
                  <w:vAlign w:val="center"/>
                </w:tcPr>
                <w:p w14:paraId="5B4DA06A">
                  <w:pPr>
                    <w:jc w:val="center"/>
                    <w:rPr>
                      <w:rFonts w:ascii="Times New Roman" w:hAnsi="Times New Roman"/>
                      <w:bCs/>
                      <w:szCs w:val="21"/>
                    </w:rPr>
                  </w:pPr>
                  <w:r>
                    <w:rPr>
                      <w:rFonts w:ascii="Times New Roman" w:hAnsi="Times New Roman"/>
                      <w:bCs/>
                      <w:szCs w:val="21"/>
                    </w:rPr>
                    <w:t>环境管理要求</w:t>
                  </w:r>
                </w:p>
              </w:tc>
            </w:tr>
            <w:tr w14:paraId="4688FB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Align w:val="center"/>
                </w:tcPr>
                <w:p w14:paraId="010FC171">
                  <w:pPr>
                    <w:jc w:val="center"/>
                    <w:rPr>
                      <w:rFonts w:ascii="Times New Roman" w:hAnsi="Times New Roman"/>
                      <w:bCs/>
                      <w:szCs w:val="21"/>
                    </w:rPr>
                  </w:pPr>
                  <w:r>
                    <w:rPr>
                      <w:rFonts w:ascii="Times New Roman" w:hAnsi="Times New Roman"/>
                      <w:bCs/>
                      <w:szCs w:val="21"/>
                    </w:rPr>
                    <w:t>职工</w:t>
                  </w:r>
                </w:p>
                <w:p w14:paraId="547CC6CB">
                  <w:pPr>
                    <w:jc w:val="center"/>
                    <w:rPr>
                      <w:rFonts w:ascii="Times New Roman" w:hAnsi="Times New Roman"/>
                      <w:bCs/>
                      <w:szCs w:val="21"/>
                    </w:rPr>
                  </w:pPr>
                  <w:r>
                    <w:rPr>
                      <w:rFonts w:ascii="Times New Roman" w:hAnsi="Times New Roman"/>
                      <w:bCs/>
                      <w:szCs w:val="21"/>
                    </w:rPr>
                    <w:t>生活</w:t>
                  </w:r>
                </w:p>
              </w:tc>
              <w:tc>
                <w:tcPr>
                  <w:tcW w:w="0" w:type="auto"/>
                  <w:vAlign w:val="center"/>
                </w:tcPr>
                <w:p w14:paraId="51E3432C">
                  <w:pPr>
                    <w:jc w:val="center"/>
                    <w:rPr>
                      <w:rFonts w:ascii="Times New Roman" w:hAnsi="Times New Roman"/>
                      <w:bCs/>
                      <w:szCs w:val="21"/>
                    </w:rPr>
                  </w:pPr>
                  <w:r>
                    <w:rPr>
                      <w:rFonts w:ascii="Times New Roman" w:hAnsi="Times New Roman"/>
                      <w:bCs/>
                      <w:szCs w:val="21"/>
                    </w:rPr>
                    <w:t>生活垃圾</w:t>
                  </w:r>
                </w:p>
              </w:tc>
              <w:tc>
                <w:tcPr>
                  <w:tcW w:w="0" w:type="auto"/>
                  <w:vMerge w:val="restart"/>
                  <w:vAlign w:val="center"/>
                </w:tcPr>
                <w:p w14:paraId="1694C3BB">
                  <w:pPr>
                    <w:jc w:val="center"/>
                    <w:rPr>
                      <w:rFonts w:ascii="Times New Roman" w:hAnsi="Times New Roman"/>
                      <w:bCs/>
                      <w:szCs w:val="21"/>
                    </w:rPr>
                  </w:pPr>
                  <w:r>
                    <w:rPr>
                      <w:rFonts w:ascii="Times New Roman" w:hAnsi="Times New Roman"/>
                      <w:bCs/>
                      <w:szCs w:val="21"/>
                    </w:rPr>
                    <w:t>一般固废</w:t>
                  </w:r>
                </w:p>
              </w:tc>
              <w:tc>
                <w:tcPr>
                  <w:tcW w:w="0" w:type="auto"/>
                  <w:vAlign w:val="center"/>
                </w:tcPr>
                <w:p w14:paraId="6425A11E">
                  <w:pPr>
                    <w:jc w:val="center"/>
                    <w:rPr>
                      <w:rFonts w:ascii="Times New Roman" w:hAnsi="Times New Roman"/>
                      <w:bCs/>
                      <w:szCs w:val="21"/>
                    </w:rPr>
                  </w:pPr>
                  <w:r>
                    <w:rPr>
                      <w:rFonts w:ascii="Times New Roman" w:hAnsi="Times New Roman"/>
                      <w:bCs/>
                      <w:szCs w:val="21"/>
                    </w:rPr>
                    <w:t>/</w:t>
                  </w:r>
                </w:p>
              </w:tc>
              <w:tc>
                <w:tcPr>
                  <w:tcW w:w="0" w:type="auto"/>
                  <w:vAlign w:val="center"/>
                </w:tcPr>
                <w:p w14:paraId="12A2E0FB">
                  <w:pPr>
                    <w:jc w:val="center"/>
                    <w:rPr>
                      <w:rFonts w:ascii="Times New Roman" w:hAnsi="Times New Roman"/>
                      <w:bCs/>
                      <w:szCs w:val="21"/>
                    </w:rPr>
                  </w:pPr>
                  <w:r>
                    <w:rPr>
                      <w:rFonts w:ascii="Times New Roman" w:hAnsi="Times New Roman"/>
                      <w:bCs/>
                      <w:szCs w:val="21"/>
                    </w:rPr>
                    <w:t>固态</w:t>
                  </w:r>
                </w:p>
              </w:tc>
              <w:tc>
                <w:tcPr>
                  <w:tcW w:w="0" w:type="auto"/>
                  <w:vAlign w:val="center"/>
                </w:tcPr>
                <w:p w14:paraId="0D9DB1F0">
                  <w:pPr>
                    <w:jc w:val="center"/>
                    <w:rPr>
                      <w:rFonts w:ascii="Times New Roman" w:hAnsi="Times New Roman"/>
                      <w:bCs/>
                      <w:szCs w:val="21"/>
                    </w:rPr>
                  </w:pPr>
                  <w:r>
                    <w:rPr>
                      <w:rFonts w:ascii="Times New Roman" w:hAnsi="Times New Roman"/>
                      <w:bCs/>
                      <w:szCs w:val="21"/>
                    </w:rPr>
                    <w:t>/</w:t>
                  </w:r>
                </w:p>
              </w:tc>
              <w:tc>
                <w:tcPr>
                  <w:tcW w:w="0" w:type="auto"/>
                  <w:vAlign w:val="center"/>
                </w:tcPr>
                <w:p w14:paraId="75BFF2DD">
                  <w:pPr>
                    <w:jc w:val="center"/>
                    <w:rPr>
                      <w:rFonts w:ascii="Times New Roman" w:hAnsi="Times New Roman"/>
                      <w:bCs/>
                      <w:szCs w:val="21"/>
                    </w:rPr>
                  </w:pPr>
                  <w:r>
                    <w:rPr>
                      <w:rFonts w:ascii="Times New Roman" w:hAnsi="Times New Roman"/>
                      <w:bCs/>
                      <w:szCs w:val="21"/>
                    </w:rPr>
                    <w:t>4.5</w:t>
                  </w:r>
                </w:p>
              </w:tc>
              <w:tc>
                <w:tcPr>
                  <w:tcW w:w="0" w:type="auto"/>
                  <w:vAlign w:val="center"/>
                </w:tcPr>
                <w:p w14:paraId="5FD50EB4">
                  <w:pPr>
                    <w:jc w:val="center"/>
                    <w:rPr>
                      <w:rFonts w:ascii="Times New Roman" w:hAnsi="Times New Roman"/>
                      <w:bCs/>
                      <w:szCs w:val="21"/>
                    </w:rPr>
                  </w:pPr>
                  <w:r>
                    <w:rPr>
                      <w:rFonts w:ascii="Times New Roman" w:hAnsi="Times New Roman"/>
                      <w:bCs/>
                      <w:szCs w:val="21"/>
                    </w:rPr>
                    <w:t>袋装</w:t>
                  </w:r>
                </w:p>
              </w:tc>
              <w:tc>
                <w:tcPr>
                  <w:tcW w:w="0" w:type="auto"/>
                  <w:vAlign w:val="center"/>
                </w:tcPr>
                <w:p w14:paraId="0BA20A80">
                  <w:pPr>
                    <w:jc w:val="center"/>
                    <w:rPr>
                      <w:rFonts w:ascii="Times New Roman" w:hAnsi="Times New Roman"/>
                      <w:bCs/>
                      <w:szCs w:val="21"/>
                    </w:rPr>
                  </w:pPr>
                  <w:r>
                    <w:rPr>
                      <w:rFonts w:ascii="Times New Roman" w:hAnsi="Times New Roman"/>
                      <w:bCs/>
                      <w:szCs w:val="21"/>
                    </w:rPr>
                    <w:t>环卫清运</w:t>
                  </w:r>
                </w:p>
              </w:tc>
              <w:tc>
                <w:tcPr>
                  <w:tcW w:w="0" w:type="auto"/>
                  <w:vAlign w:val="center"/>
                </w:tcPr>
                <w:p w14:paraId="627994AF">
                  <w:pPr>
                    <w:jc w:val="center"/>
                    <w:rPr>
                      <w:rFonts w:ascii="Times New Roman" w:hAnsi="Times New Roman"/>
                      <w:bCs/>
                      <w:szCs w:val="21"/>
                    </w:rPr>
                  </w:pPr>
                  <w:r>
                    <w:rPr>
                      <w:rFonts w:ascii="Times New Roman" w:hAnsi="Times New Roman"/>
                      <w:bCs/>
                      <w:szCs w:val="21"/>
                    </w:rPr>
                    <w:t>4.5</w:t>
                  </w:r>
                </w:p>
              </w:tc>
              <w:tc>
                <w:tcPr>
                  <w:tcW w:w="0" w:type="auto"/>
                  <w:vAlign w:val="center"/>
                </w:tcPr>
                <w:p w14:paraId="6D49E2A6">
                  <w:pPr>
                    <w:jc w:val="center"/>
                    <w:rPr>
                      <w:rFonts w:ascii="Times New Roman" w:hAnsi="Times New Roman"/>
                      <w:bCs/>
                      <w:szCs w:val="21"/>
                    </w:rPr>
                  </w:pPr>
                  <w:r>
                    <w:rPr>
                      <w:rFonts w:ascii="Times New Roman" w:hAnsi="Times New Roman"/>
                      <w:bCs/>
                      <w:szCs w:val="21"/>
                    </w:rPr>
                    <w:t>垃圾桶</w:t>
                  </w:r>
                </w:p>
              </w:tc>
            </w:tr>
            <w:tr w14:paraId="7CA296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Align w:val="center"/>
                </w:tcPr>
                <w:p w14:paraId="1BFE3F17">
                  <w:pPr>
                    <w:jc w:val="center"/>
                    <w:rPr>
                      <w:rFonts w:ascii="Times New Roman" w:hAnsi="Times New Roman"/>
                      <w:bCs/>
                      <w:szCs w:val="21"/>
                    </w:rPr>
                  </w:pPr>
                  <w:r>
                    <w:rPr>
                      <w:rFonts w:ascii="Times New Roman" w:hAnsi="Times New Roman"/>
                      <w:bCs/>
                      <w:szCs w:val="21"/>
                    </w:rPr>
                    <w:t>裁剪</w:t>
                  </w:r>
                </w:p>
              </w:tc>
              <w:tc>
                <w:tcPr>
                  <w:tcW w:w="0" w:type="auto"/>
                  <w:vAlign w:val="center"/>
                </w:tcPr>
                <w:p w14:paraId="03C70397">
                  <w:pPr>
                    <w:jc w:val="center"/>
                    <w:rPr>
                      <w:rFonts w:ascii="Times New Roman" w:hAnsi="Times New Roman"/>
                      <w:bCs/>
                      <w:szCs w:val="21"/>
                    </w:rPr>
                  </w:pPr>
                  <w:r>
                    <w:rPr>
                      <w:rFonts w:ascii="Times New Roman" w:hAnsi="Times New Roman"/>
                      <w:bCs/>
                      <w:szCs w:val="21"/>
                    </w:rPr>
                    <w:t>废边角料</w:t>
                  </w:r>
                </w:p>
              </w:tc>
              <w:tc>
                <w:tcPr>
                  <w:tcW w:w="0" w:type="auto"/>
                  <w:vMerge w:val="continue"/>
                  <w:vAlign w:val="center"/>
                </w:tcPr>
                <w:p w14:paraId="04E16E1C">
                  <w:pPr>
                    <w:jc w:val="center"/>
                    <w:rPr>
                      <w:rFonts w:ascii="Times New Roman" w:hAnsi="Times New Roman"/>
                      <w:bCs/>
                      <w:szCs w:val="21"/>
                    </w:rPr>
                  </w:pPr>
                </w:p>
              </w:tc>
              <w:tc>
                <w:tcPr>
                  <w:tcW w:w="0" w:type="auto"/>
                  <w:vAlign w:val="center"/>
                </w:tcPr>
                <w:p w14:paraId="5749C8C4">
                  <w:pPr>
                    <w:jc w:val="center"/>
                    <w:rPr>
                      <w:rFonts w:ascii="Times New Roman" w:hAnsi="Times New Roman"/>
                      <w:bCs/>
                      <w:szCs w:val="21"/>
                    </w:rPr>
                  </w:pPr>
                  <w:r>
                    <w:rPr>
                      <w:rFonts w:ascii="Times New Roman" w:hAnsi="Times New Roman"/>
                      <w:bCs/>
                      <w:szCs w:val="21"/>
                    </w:rPr>
                    <w:t>/</w:t>
                  </w:r>
                </w:p>
              </w:tc>
              <w:tc>
                <w:tcPr>
                  <w:tcW w:w="0" w:type="auto"/>
                  <w:vAlign w:val="center"/>
                </w:tcPr>
                <w:p w14:paraId="44A7E191">
                  <w:pPr>
                    <w:jc w:val="center"/>
                    <w:rPr>
                      <w:rFonts w:ascii="Times New Roman" w:hAnsi="Times New Roman"/>
                      <w:bCs/>
                      <w:szCs w:val="21"/>
                    </w:rPr>
                  </w:pPr>
                  <w:r>
                    <w:rPr>
                      <w:rFonts w:ascii="Times New Roman" w:hAnsi="Times New Roman"/>
                      <w:bCs/>
                      <w:szCs w:val="21"/>
                    </w:rPr>
                    <w:t>固态</w:t>
                  </w:r>
                </w:p>
              </w:tc>
              <w:tc>
                <w:tcPr>
                  <w:tcW w:w="0" w:type="auto"/>
                  <w:vAlign w:val="center"/>
                </w:tcPr>
                <w:p w14:paraId="778553C2">
                  <w:pPr>
                    <w:jc w:val="center"/>
                    <w:rPr>
                      <w:rFonts w:ascii="Times New Roman" w:hAnsi="Times New Roman"/>
                      <w:bCs/>
                      <w:szCs w:val="21"/>
                    </w:rPr>
                  </w:pPr>
                  <w:r>
                    <w:rPr>
                      <w:rFonts w:ascii="Times New Roman" w:hAnsi="Times New Roman"/>
                      <w:bCs/>
                      <w:szCs w:val="21"/>
                    </w:rPr>
                    <w:t>/</w:t>
                  </w:r>
                </w:p>
              </w:tc>
              <w:tc>
                <w:tcPr>
                  <w:tcW w:w="0" w:type="auto"/>
                  <w:vAlign w:val="center"/>
                </w:tcPr>
                <w:p w14:paraId="50EB42BF">
                  <w:pPr>
                    <w:jc w:val="center"/>
                    <w:rPr>
                      <w:rFonts w:ascii="Times New Roman" w:hAnsi="Times New Roman"/>
                      <w:bCs/>
                      <w:szCs w:val="21"/>
                    </w:rPr>
                  </w:pPr>
                  <w:r>
                    <w:rPr>
                      <w:rFonts w:ascii="Times New Roman" w:hAnsi="Times New Roman"/>
                      <w:bCs/>
                      <w:szCs w:val="21"/>
                    </w:rPr>
                    <w:t>2.5</w:t>
                  </w:r>
                </w:p>
              </w:tc>
              <w:tc>
                <w:tcPr>
                  <w:tcW w:w="0" w:type="auto"/>
                  <w:vAlign w:val="center"/>
                </w:tcPr>
                <w:p w14:paraId="6C6C6A3B">
                  <w:pPr>
                    <w:jc w:val="center"/>
                    <w:rPr>
                      <w:rFonts w:ascii="Times New Roman" w:hAnsi="Times New Roman"/>
                      <w:bCs/>
                      <w:szCs w:val="21"/>
                    </w:rPr>
                  </w:pPr>
                  <w:r>
                    <w:rPr>
                      <w:rFonts w:ascii="Times New Roman" w:hAnsi="Times New Roman"/>
                      <w:bCs/>
                      <w:szCs w:val="21"/>
                    </w:rPr>
                    <w:t>/</w:t>
                  </w:r>
                </w:p>
              </w:tc>
              <w:tc>
                <w:tcPr>
                  <w:tcW w:w="0" w:type="auto"/>
                  <w:vMerge w:val="restart"/>
                  <w:vAlign w:val="center"/>
                </w:tcPr>
                <w:p w14:paraId="16345944">
                  <w:pPr>
                    <w:jc w:val="center"/>
                    <w:rPr>
                      <w:rFonts w:ascii="Times New Roman" w:hAnsi="Times New Roman"/>
                      <w:bCs/>
                      <w:szCs w:val="21"/>
                    </w:rPr>
                  </w:pPr>
                  <w:r>
                    <w:rPr>
                      <w:rFonts w:ascii="Times New Roman" w:hAnsi="Times New Roman"/>
                      <w:bCs/>
                      <w:szCs w:val="21"/>
                    </w:rPr>
                    <w:t>外售</w:t>
                  </w:r>
                </w:p>
              </w:tc>
              <w:tc>
                <w:tcPr>
                  <w:tcW w:w="0" w:type="auto"/>
                  <w:vAlign w:val="center"/>
                </w:tcPr>
                <w:p w14:paraId="715134AE">
                  <w:pPr>
                    <w:jc w:val="center"/>
                    <w:rPr>
                      <w:rFonts w:ascii="Times New Roman" w:hAnsi="Times New Roman"/>
                      <w:bCs/>
                      <w:szCs w:val="21"/>
                    </w:rPr>
                  </w:pPr>
                  <w:r>
                    <w:rPr>
                      <w:rFonts w:ascii="Times New Roman" w:hAnsi="Times New Roman"/>
                      <w:bCs/>
                      <w:szCs w:val="21"/>
                    </w:rPr>
                    <w:t>2.5</w:t>
                  </w:r>
                </w:p>
              </w:tc>
              <w:tc>
                <w:tcPr>
                  <w:tcW w:w="0" w:type="auto"/>
                  <w:vMerge w:val="restart"/>
                  <w:vAlign w:val="center"/>
                </w:tcPr>
                <w:p w14:paraId="535EF324">
                  <w:pPr>
                    <w:jc w:val="center"/>
                    <w:rPr>
                      <w:rFonts w:ascii="Times New Roman" w:hAnsi="Times New Roman"/>
                      <w:bCs/>
                      <w:szCs w:val="21"/>
                    </w:rPr>
                  </w:pPr>
                  <w:r>
                    <w:rPr>
                      <w:rFonts w:ascii="Times New Roman" w:hAnsi="Times New Roman"/>
                      <w:bCs/>
                      <w:szCs w:val="21"/>
                    </w:rPr>
                    <w:t>一般固废暂存间</w:t>
                  </w:r>
                </w:p>
              </w:tc>
            </w:tr>
            <w:tr w14:paraId="75742F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Align w:val="center"/>
                </w:tcPr>
                <w:p w14:paraId="05765E5B">
                  <w:pPr>
                    <w:jc w:val="center"/>
                    <w:rPr>
                      <w:rFonts w:ascii="Times New Roman" w:hAnsi="Times New Roman"/>
                      <w:bCs/>
                      <w:szCs w:val="21"/>
                    </w:rPr>
                  </w:pPr>
                  <w:r>
                    <w:rPr>
                      <w:rFonts w:ascii="Times New Roman" w:hAnsi="Times New Roman"/>
                      <w:bCs/>
                      <w:szCs w:val="21"/>
                    </w:rPr>
                    <w:t>包装</w:t>
                  </w:r>
                </w:p>
              </w:tc>
              <w:tc>
                <w:tcPr>
                  <w:tcW w:w="0" w:type="auto"/>
                  <w:vAlign w:val="center"/>
                </w:tcPr>
                <w:p w14:paraId="290E76FE">
                  <w:pPr>
                    <w:jc w:val="center"/>
                    <w:rPr>
                      <w:rFonts w:ascii="Times New Roman" w:hAnsi="Times New Roman"/>
                      <w:bCs/>
                      <w:szCs w:val="21"/>
                    </w:rPr>
                  </w:pPr>
                  <w:r>
                    <w:rPr>
                      <w:rFonts w:ascii="Times New Roman" w:hAnsi="Times New Roman"/>
                      <w:bCs/>
                      <w:szCs w:val="21"/>
                    </w:rPr>
                    <w:t>废包装袋</w:t>
                  </w:r>
                </w:p>
              </w:tc>
              <w:tc>
                <w:tcPr>
                  <w:tcW w:w="0" w:type="auto"/>
                  <w:vMerge w:val="continue"/>
                  <w:vAlign w:val="center"/>
                </w:tcPr>
                <w:p w14:paraId="2AF7AF03">
                  <w:pPr>
                    <w:jc w:val="center"/>
                    <w:rPr>
                      <w:rFonts w:ascii="Times New Roman" w:hAnsi="Times New Roman"/>
                      <w:bCs/>
                      <w:szCs w:val="21"/>
                    </w:rPr>
                  </w:pPr>
                </w:p>
              </w:tc>
              <w:tc>
                <w:tcPr>
                  <w:tcW w:w="0" w:type="auto"/>
                  <w:vAlign w:val="center"/>
                </w:tcPr>
                <w:p w14:paraId="7B01DD87">
                  <w:pPr>
                    <w:jc w:val="center"/>
                    <w:rPr>
                      <w:rFonts w:ascii="Times New Roman" w:hAnsi="Times New Roman"/>
                      <w:bCs/>
                      <w:szCs w:val="21"/>
                    </w:rPr>
                  </w:pPr>
                  <w:r>
                    <w:rPr>
                      <w:rFonts w:ascii="Times New Roman" w:hAnsi="Times New Roman"/>
                      <w:bCs/>
                      <w:szCs w:val="21"/>
                    </w:rPr>
                    <w:t>/</w:t>
                  </w:r>
                </w:p>
              </w:tc>
              <w:tc>
                <w:tcPr>
                  <w:tcW w:w="0" w:type="auto"/>
                  <w:vAlign w:val="center"/>
                </w:tcPr>
                <w:p w14:paraId="119C8346">
                  <w:pPr>
                    <w:jc w:val="center"/>
                    <w:rPr>
                      <w:rFonts w:ascii="Times New Roman" w:hAnsi="Times New Roman"/>
                      <w:bCs/>
                      <w:szCs w:val="21"/>
                    </w:rPr>
                  </w:pPr>
                  <w:r>
                    <w:rPr>
                      <w:rFonts w:ascii="Times New Roman" w:hAnsi="Times New Roman"/>
                      <w:bCs/>
                      <w:szCs w:val="21"/>
                    </w:rPr>
                    <w:t>固态</w:t>
                  </w:r>
                </w:p>
              </w:tc>
              <w:tc>
                <w:tcPr>
                  <w:tcW w:w="0" w:type="auto"/>
                  <w:vAlign w:val="center"/>
                </w:tcPr>
                <w:p w14:paraId="3C64D864">
                  <w:pPr>
                    <w:jc w:val="center"/>
                    <w:rPr>
                      <w:rFonts w:ascii="Times New Roman" w:hAnsi="Times New Roman"/>
                      <w:bCs/>
                      <w:szCs w:val="21"/>
                    </w:rPr>
                  </w:pPr>
                  <w:r>
                    <w:rPr>
                      <w:rFonts w:ascii="Times New Roman" w:hAnsi="Times New Roman"/>
                      <w:bCs/>
                      <w:szCs w:val="21"/>
                    </w:rPr>
                    <w:t>/</w:t>
                  </w:r>
                </w:p>
              </w:tc>
              <w:tc>
                <w:tcPr>
                  <w:tcW w:w="0" w:type="auto"/>
                  <w:vAlign w:val="center"/>
                </w:tcPr>
                <w:p w14:paraId="03CE4481">
                  <w:pPr>
                    <w:jc w:val="center"/>
                    <w:rPr>
                      <w:rFonts w:ascii="Times New Roman" w:hAnsi="Times New Roman"/>
                      <w:bCs/>
                      <w:szCs w:val="21"/>
                      <w:highlight w:val="yellow"/>
                    </w:rPr>
                  </w:pPr>
                  <w:r>
                    <w:rPr>
                      <w:rFonts w:ascii="Times New Roman" w:hAnsi="Times New Roman"/>
                      <w:bCs/>
                      <w:szCs w:val="21"/>
                    </w:rPr>
                    <w:t>1.5</w:t>
                  </w:r>
                </w:p>
              </w:tc>
              <w:tc>
                <w:tcPr>
                  <w:tcW w:w="0" w:type="auto"/>
                  <w:vAlign w:val="center"/>
                </w:tcPr>
                <w:p w14:paraId="1B26C9FB">
                  <w:pPr>
                    <w:jc w:val="center"/>
                    <w:rPr>
                      <w:rFonts w:ascii="Times New Roman" w:hAnsi="Times New Roman"/>
                      <w:bCs/>
                      <w:szCs w:val="21"/>
                    </w:rPr>
                  </w:pPr>
                  <w:r>
                    <w:rPr>
                      <w:rFonts w:ascii="Times New Roman" w:hAnsi="Times New Roman"/>
                      <w:bCs/>
                      <w:szCs w:val="21"/>
                    </w:rPr>
                    <w:t>袋装</w:t>
                  </w:r>
                </w:p>
              </w:tc>
              <w:tc>
                <w:tcPr>
                  <w:tcW w:w="0" w:type="auto"/>
                  <w:vMerge w:val="continue"/>
                  <w:vAlign w:val="center"/>
                </w:tcPr>
                <w:p w14:paraId="3A1F4FBE">
                  <w:pPr>
                    <w:jc w:val="center"/>
                    <w:rPr>
                      <w:rFonts w:ascii="Times New Roman" w:hAnsi="Times New Roman"/>
                      <w:bCs/>
                      <w:szCs w:val="21"/>
                    </w:rPr>
                  </w:pPr>
                </w:p>
              </w:tc>
              <w:tc>
                <w:tcPr>
                  <w:tcW w:w="0" w:type="auto"/>
                  <w:vAlign w:val="center"/>
                </w:tcPr>
                <w:p w14:paraId="5E42F048">
                  <w:pPr>
                    <w:jc w:val="center"/>
                    <w:rPr>
                      <w:rFonts w:ascii="Times New Roman" w:hAnsi="Times New Roman"/>
                      <w:bCs/>
                      <w:szCs w:val="21"/>
                      <w:highlight w:val="yellow"/>
                    </w:rPr>
                  </w:pPr>
                  <w:r>
                    <w:rPr>
                      <w:rFonts w:ascii="Times New Roman" w:hAnsi="Times New Roman"/>
                      <w:bCs/>
                      <w:szCs w:val="21"/>
                    </w:rPr>
                    <w:t>1.5</w:t>
                  </w:r>
                </w:p>
              </w:tc>
              <w:tc>
                <w:tcPr>
                  <w:tcW w:w="0" w:type="auto"/>
                  <w:vMerge w:val="continue"/>
                  <w:vAlign w:val="center"/>
                </w:tcPr>
                <w:p w14:paraId="4908E634">
                  <w:pPr>
                    <w:jc w:val="center"/>
                    <w:rPr>
                      <w:rFonts w:ascii="Times New Roman" w:hAnsi="Times New Roman"/>
                      <w:bCs/>
                      <w:szCs w:val="21"/>
                    </w:rPr>
                  </w:pPr>
                </w:p>
              </w:tc>
            </w:tr>
            <w:tr w14:paraId="0B33EC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Align w:val="center"/>
                </w:tcPr>
                <w:p w14:paraId="565B5426">
                  <w:pPr>
                    <w:jc w:val="center"/>
                    <w:rPr>
                      <w:rFonts w:ascii="Times New Roman" w:hAnsi="Times New Roman"/>
                      <w:bCs/>
                      <w:szCs w:val="21"/>
                    </w:rPr>
                  </w:pPr>
                  <w:r>
                    <w:rPr>
                      <w:rFonts w:ascii="Times New Roman" w:hAnsi="Times New Roman"/>
                      <w:bCs/>
                      <w:szCs w:val="21"/>
                    </w:rPr>
                    <w:t>废气处理</w:t>
                  </w:r>
                </w:p>
              </w:tc>
              <w:tc>
                <w:tcPr>
                  <w:tcW w:w="0" w:type="auto"/>
                  <w:vAlign w:val="center"/>
                </w:tcPr>
                <w:p w14:paraId="08B81112">
                  <w:pPr>
                    <w:jc w:val="center"/>
                    <w:rPr>
                      <w:rFonts w:ascii="Times New Roman" w:hAnsi="Times New Roman"/>
                      <w:bCs/>
                      <w:szCs w:val="21"/>
                    </w:rPr>
                  </w:pPr>
                  <w:r>
                    <w:rPr>
                      <w:rFonts w:ascii="Times New Roman" w:hAnsi="Times New Roman"/>
                      <w:spacing w:val="-9"/>
                      <w:szCs w:val="21"/>
                    </w:rPr>
                    <w:t>废活性炭</w:t>
                  </w:r>
                </w:p>
              </w:tc>
              <w:tc>
                <w:tcPr>
                  <w:tcW w:w="0" w:type="auto"/>
                  <w:vMerge w:val="restart"/>
                  <w:vAlign w:val="center"/>
                </w:tcPr>
                <w:p w14:paraId="18739C29">
                  <w:pPr>
                    <w:jc w:val="center"/>
                    <w:rPr>
                      <w:rFonts w:ascii="Times New Roman" w:hAnsi="Times New Roman"/>
                      <w:bCs/>
                      <w:szCs w:val="21"/>
                    </w:rPr>
                  </w:pPr>
                  <w:r>
                    <w:rPr>
                      <w:rFonts w:ascii="Times New Roman" w:hAnsi="Times New Roman"/>
                      <w:bCs/>
                      <w:szCs w:val="21"/>
                    </w:rPr>
                    <w:t>危险废物</w:t>
                  </w:r>
                </w:p>
              </w:tc>
              <w:tc>
                <w:tcPr>
                  <w:tcW w:w="0" w:type="auto"/>
                  <w:vAlign w:val="center"/>
                </w:tcPr>
                <w:p w14:paraId="263A8259">
                  <w:pPr>
                    <w:jc w:val="center"/>
                    <w:rPr>
                      <w:rFonts w:ascii="Times New Roman" w:hAnsi="Times New Roman"/>
                      <w:bCs/>
                      <w:szCs w:val="21"/>
                    </w:rPr>
                  </w:pPr>
                  <w:r>
                    <w:rPr>
                      <w:rFonts w:ascii="Times New Roman" w:hAnsi="Times New Roman"/>
                      <w:spacing w:val="-9"/>
                      <w:szCs w:val="21"/>
                    </w:rPr>
                    <w:t>沾染了危险废物的废活性炭</w:t>
                  </w:r>
                </w:p>
              </w:tc>
              <w:tc>
                <w:tcPr>
                  <w:tcW w:w="0" w:type="auto"/>
                  <w:vAlign w:val="center"/>
                </w:tcPr>
                <w:p w14:paraId="2DA765AD">
                  <w:pPr>
                    <w:jc w:val="center"/>
                    <w:rPr>
                      <w:rFonts w:ascii="Times New Roman" w:hAnsi="Times New Roman"/>
                      <w:bCs/>
                      <w:szCs w:val="21"/>
                    </w:rPr>
                  </w:pPr>
                  <w:r>
                    <w:rPr>
                      <w:rFonts w:ascii="Times New Roman" w:hAnsi="Times New Roman"/>
                      <w:bCs/>
                      <w:szCs w:val="21"/>
                    </w:rPr>
                    <w:t>固态</w:t>
                  </w:r>
                </w:p>
              </w:tc>
              <w:tc>
                <w:tcPr>
                  <w:tcW w:w="0" w:type="auto"/>
                  <w:vAlign w:val="center"/>
                </w:tcPr>
                <w:p w14:paraId="09F4736B">
                  <w:pPr>
                    <w:jc w:val="center"/>
                    <w:rPr>
                      <w:rFonts w:ascii="Times New Roman" w:hAnsi="Times New Roman"/>
                      <w:bCs/>
                      <w:szCs w:val="21"/>
                    </w:rPr>
                  </w:pPr>
                  <w:r>
                    <w:rPr>
                      <w:rFonts w:ascii="Times New Roman" w:hAnsi="Times New Roman"/>
                      <w:bCs/>
                      <w:szCs w:val="21"/>
                    </w:rPr>
                    <w:t>T</w:t>
                  </w:r>
                </w:p>
              </w:tc>
              <w:tc>
                <w:tcPr>
                  <w:tcW w:w="0" w:type="auto"/>
                  <w:vAlign w:val="center"/>
                </w:tcPr>
                <w:p w14:paraId="01FC93FC">
                  <w:pPr>
                    <w:jc w:val="center"/>
                    <w:rPr>
                      <w:rFonts w:hint="default" w:ascii="Times New Roman" w:hAnsi="Times New Roman" w:eastAsia="宋体"/>
                      <w:bCs/>
                      <w:szCs w:val="21"/>
                      <w:lang w:val="en-US" w:eastAsia="zh-CN"/>
                    </w:rPr>
                  </w:pPr>
                  <w:r>
                    <w:rPr>
                      <w:rFonts w:hint="eastAsia"/>
                      <w:spacing w:val="-9"/>
                      <w:szCs w:val="21"/>
                      <w:lang w:val="en-US" w:eastAsia="zh-CN"/>
                    </w:rPr>
                    <w:t>1.31</w:t>
                  </w:r>
                </w:p>
              </w:tc>
              <w:tc>
                <w:tcPr>
                  <w:tcW w:w="0" w:type="auto"/>
                  <w:vAlign w:val="center"/>
                </w:tcPr>
                <w:p w14:paraId="51C5E24B">
                  <w:pPr>
                    <w:jc w:val="center"/>
                    <w:rPr>
                      <w:rFonts w:ascii="Times New Roman" w:hAnsi="Times New Roman"/>
                      <w:bCs/>
                      <w:szCs w:val="21"/>
                    </w:rPr>
                  </w:pPr>
                  <w:r>
                    <w:rPr>
                      <w:rFonts w:ascii="Times New Roman" w:hAnsi="Times New Roman"/>
                      <w:bCs/>
                      <w:szCs w:val="21"/>
                    </w:rPr>
                    <w:t>袋装</w:t>
                  </w:r>
                </w:p>
              </w:tc>
              <w:tc>
                <w:tcPr>
                  <w:tcW w:w="0" w:type="auto"/>
                  <w:vMerge w:val="restart"/>
                  <w:vAlign w:val="center"/>
                </w:tcPr>
                <w:p w14:paraId="2F87367C">
                  <w:pPr>
                    <w:jc w:val="center"/>
                    <w:rPr>
                      <w:rFonts w:ascii="Times New Roman" w:hAnsi="Times New Roman"/>
                      <w:bCs/>
                      <w:szCs w:val="21"/>
                    </w:rPr>
                  </w:pPr>
                  <w:r>
                    <w:rPr>
                      <w:rFonts w:ascii="Times New Roman" w:hAnsi="Times New Roman"/>
                      <w:spacing w:val="-9"/>
                      <w:szCs w:val="21"/>
                    </w:rPr>
                    <w:t>有资质单位处理</w:t>
                  </w:r>
                </w:p>
              </w:tc>
              <w:tc>
                <w:tcPr>
                  <w:tcW w:w="0" w:type="auto"/>
                  <w:vAlign w:val="center"/>
                </w:tcPr>
                <w:p w14:paraId="7141F85A">
                  <w:pPr>
                    <w:jc w:val="center"/>
                    <w:rPr>
                      <w:rFonts w:hint="default" w:ascii="Times New Roman" w:hAnsi="Times New Roman" w:eastAsia="宋体"/>
                      <w:bCs/>
                      <w:szCs w:val="21"/>
                      <w:lang w:val="en-US" w:eastAsia="zh-CN"/>
                    </w:rPr>
                  </w:pPr>
                  <w:r>
                    <w:rPr>
                      <w:rFonts w:hint="eastAsia"/>
                      <w:spacing w:val="-9"/>
                      <w:szCs w:val="21"/>
                      <w:lang w:val="en-US" w:eastAsia="zh-CN"/>
                    </w:rPr>
                    <w:t>1.31</w:t>
                  </w:r>
                </w:p>
              </w:tc>
              <w:tc>
                <w:tcPr>
                  <w:tcW w:w="0" w:type="auto"/>
                  <w:vMerge w:val="restart"/>
                  <w:vAlign w:val="center"/>
                </w:tcPr>
                <w:p w14:paraId="0AE19593">
                  <w:pPr>
                    <w:jc w:val="center"/>
                    <w:rPr>
                      <w:rFonts w:ascii="Times New Roman" w:hAnsi="Times New Roman"/>
                      <w:bCs/>
                      <w:szCs w:val="21"/>
                    </w:rPr>
                  </w:pPr>
                  <w:r>
                    <w:rPr>
                      <w:rFonts w:ascii="Times New Roman" w:hAnsi="Times New Roman"/>
                      <w:bCs/>
                      <w:szCs w:val="21"/>
                    </w:rPr>
                    <w:t>危废间</w:t>
                  </w:r>
                </w:p>
              </w:tc>
            </w:tr>
            <w:tr w14:paraId="6ABAA3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Align w:val="center"/>
                </w:tcPr>
                <w:p w14:paraId="0CAD15A7">
                  <w:pPr>
                    <w:jc w:val="center"/>
                    <w:rPr>
                      <w:rFonts w:ascii="Times New Roman" w:hAnsi="Times New Roman"/>
                      <w:bCs/>
                      <w:szCs w:val="21"/>
                    </w:rPr>
                  </w:pPr>
                  <w:r>
                    <w:rPr>
                      <w:rFonts w:ascii="Times New Roman" w:hAnsi="Times New Roman"/>
                      <w:bCs/>
                      <w:szCs w:val="21"/>
                    </w:rPr>
                    <w:t>设备维修</w:t>
                  </w:r>
                </w:p>
              </w:tc>
              <w:tc>
                <w:tcPr>
                  <w:tcW w:w="0" w:type="auto"/>
                  <w:vAlign w:val="center"/>
                </w:tcPr>
                <w:p w14:paraId="67245F7D">
                  <w:pPr>
                    <w:jc w:val="center"/>
                    <w:rPr>
                      <w:rFonts w:ascii="Times New Roman" w:hAnsi="Times New Roman"/>
                      <w:bCs/>
                      <w:szCs w:val="21"/>
                    </w:rPr>
                  </w:pPr>
                  <w:r>
                    <w:rPr>
                      <w:rFonts w:ascii="Times New Roman" w:hAnsi="Times New Roman"/>
                      <w:spacing w:val="-9"/>
                      <w:szCs w:val="21"/>
                    </w:rPr>
                    <w:t>废液压油</w:t>
                  </w:r>
                </w:p>
              </w:tc>
              <w:tc>
                <w:tcPr>
                  <w:tcW w:w="0" w:type="auto"/>
                  <w:vMerge w:val="continue"/>
                  <w:vAlign w:val="center"/>
                </w:tcPr>
                <w:p w14:paraId="7970249C">
                  <w:pPr>
                    <w:jc w:val="center"/>
                    <w:rPr>
                      <w:rFonts w:ascii="Times New Roman" w:hAnsi="Times New Roman"/>
                      <w:bCs/>
                      <w:szCs w:val="21"/>
                    </w:rPr>
                  </w:pPr>
                </w:p>
              </w:tc>
              <w:tc>
                <w:tcPr>
                  <w:tcW w:w="0" w:type="auto"/>
                  <w:vAlign w:val="center"/>
                </w:tcPr>
                <w:p w14:paraId="5E396B95">
                  <w:pPr>
                    <w:jc w:val="center"/>
                    <w:rPr>
                      <w:rFonts w:ascii="Times New Roman" w:hAnsi="Times New Roman"/>
                      <w:bCs/>
                      <w:szCs w:val="21"/>
                    </w:rPr>
                  </w:pPr>
                  <w:r>
                    <w:rPr>
                      <w:rFonts w:ascii="Times New Roman" w:hAnsi="Times New Roman"/>
                      <w:spacing w:val="-9"/>
                      <w:szCs w:val="21"/>
                    </w:rPr>
                    <w:t>废液压油</w:t>
                  </w:r>
                </w:p>
              </w:tc>
              <w:tc>
                <w:tcPr>
                  <w:tcW w:w="0" w:type="auto"/>
                  <w:vAlign w:val="center"/>
                </w:tcPr>
                <w:p w14:paraId="5BE11728">
                  <w:pPr>
                    <w:jc w:val="center"/>
                    <w:rPr>
                      <w:rFonts w:ascii="Times New Roman" w:hAnsi="Times New Roman"/>
                      <w:bCs/>
                      <w:szCs w:val="21"/>
                    </w:rPr>
                  </w:pPr>
                  <w:r>
                    <w:rPr>
                      <w:rFonts w:ascii="Times New Roman" w:hAnsi="Times New Roman"/>
                      <w:bCs/>
                      <w:szCs w:val="21"/>
                    </w:rPr>
                    <w:t>液体</w:t>
                  </w:r>
                </w:p>
              </w:tc>
              <w:tc>
                <w:tcPr>
                  <w:tcW w:w="0" w:type="auto"/>
                  <w:vAlign w:val="center"/>
                </w:tcPr>
                <w:p w14:paraId="6542462D">
                  <w:pPr>
                    <w:jc w:val="center"/>
                    <w:rPr>
                      <w:rFonts w:ascii="Times New Roman" w:hAnsi="Times New Roman"/>
                      <w:bCs/>
                      <w:szCs w:val="21"/>
                    </w:rPr>
                  </w:pPr>
                  <w:r>
                    <w:rPr>
                      <w:rFonts w:ascii="Times New Roman" w:hAnsi="Times New Roman"/>
                      <w:bCs/>
                      <w:szCs w:val="21"/>
                    </w:rPr>
                    <w:t>T</w:t>
                  </w:r>
                </w:p>
              </w:tc>
              <w:tc>
                <w:tcPr>
                  <w:tcW w:w="0" w:type="auto"/>
                  <w:vAlign w:val="center"/>
                </w:tcPr>
                <w:p w14:paraId="3A8B14B9">
                  <w:pPr>
                    <w:jc w:val="center"/>
                    <w:rPr>
                      <w:rFonts w:ascii="Times New Roman" w:hAnsi="Times New Roman"/>
                      <w:bCs/>
                      <w:szCs w:val="21"/>
                    </w:rPr>
                  </w:pPr>
                  <w:r>
                    <w:rPr>
                      <w:rFonts w:ascii="Times New Roman" w:hAnsi="Times New Roman"/>
                      <w:spacing w:val="-9"/>
                      <w:szCs w:val="21"/>
                    </w:rPr>
                    <w:t>0.3</w:t>
                  </w:r>
                </w:p>
              </w:tc>
              <w:tc>
                <w:tcPr>
                  <w:tcW w:w="0" w:type="auto"/>
                  <w:vAlign w:val="center"/>
                </w:tcPr>
                <w:p w14:paraId="04A6D806">
                  <w:pPr>
                    <w:jc w:val="center"/>
                    <w:rPr>
                      <w:rFonts w:ascii="Times New Roman" w:hAnsi="Times New Roman"/>
                      <w:bCs/>
                      <w:szCs w:val="21"/>
                    </w:rPr>
                  </w:pPr>
                  <w:r>
                    <w:rPr>
                      <w:rFonts w:ascii="Times New Roman" w:hAnsi="Times New Roman"/>
                      <w:bCs/>
                      <w:szCs w:val="21"/>
                    </w:rPr>
                    <w:t>桶装</w:t>
                  </w:r>
                </w:p>
              </w:tc>
              <w:tc>
                <w:tcPr>
                  <w:tcW w:w="0" w:type="auto"/>
                  <w:vMerge w:val="continue"/>
                  <w:vAlign w:val="center"/>
                </w:tcPr>
                <w:p w14:paraId="0FBA175A">
                  <w:pPr>
                    <w:jc w:val="center"/>
                    <w:rPr>
                      <w:rFonts w:ascii="Times New Roman" w:hAnsi="Times New Roman"/>
                      <w:bCs/>
                      <w:szCs w:val="21"/>
                    </w:rPr>
                  </w:pPr>
                </w:p>
              </w:tc>
              <w:tc>
                <w:tcPr>
                  <w:tcW w:w="0" w:type="auto"/>
                  <w:vAlign w:val="center"/>
                </w:tcPr>
                <w:p w14:paraId="711EA1DF">
                  <w:pPr>
                    <w:jc w:val="center"/>
                    <w:rPr>
                      <w:rFonts w:ascii="Times New Roman" w:hAnsi="Times New Roman"/>
                      <w:bCs/>
                      <w:szCs w:val="21"/>
                    </w:rPr>
                  </w:pPr>
                  <w:r>
                    <w:rPr>
                      <w:rFonts w:ascii="Times New Roman" w:hAnsi="Times New Roman"/>
                      <w:spacing w:val="-9"/>
                      <w:szCs w:val="21"/>
                    </w:rPr>
                    <w:t>0.3</w:t>
                  </w:r>
                </w:p>
              </w:tc>
              <w:tc>
                <w:tcPr>
                  <w:tcW w:w="0" w:type="auto"/>
                  <w:vMerge w:val="continue"/>
                  <w:vAlign w:val="center"/>
                </w:tcPr>
                <w:p w14:paraId="3F34E179">
                  <w:pPr>
                    <w:jc w:val="center"/>
                    <w:rPr>
                      <w:rFonts w:ascii="Times New Roman" w:hAnsi="Times New Roman"/>
                      <w:bCs/>
                      <w:szCs w:val="21"/>
                    </w:rPr>
                  </w:pPr>
                </w:p>
              </w:tc>
            </w:tr>
            <w:bookmarkEnd w:id="11"/>
          </w:tbl>
          <w:p w14:paraId="58A166AA">
            <w:pPr>
              <w:pStyle w:val="52"/>
              <w:numPr>
                <w:ilvl w:val="0"/>
                <w:numId w:val="0"/>
              </w:numPr>
              <w:spacing w:line="360" w:lineRule="auto"/>
              <w:ind w:left="420" w:leftChars="0" w:hanging="132" w:firstLineChars="0"/>
              <w:rPr>
                <w:rFonts w:hint="eastAsia" w:ascii="Times New Roman" w:hAnsi="Times New Roman" w:eastAsia="宋体" w:cs="Times New Roman"/>
                <w:b/>
                <w:kern w:val="0"/>
                <w:sz w:val="21"/>
                <w:szCs w:val="21"/>
                <w:lang w:val="en-US" w:eastAsia="zh-CN" w:bidi="ar-SA"/>
              </w:rPr>
            </w:pPr>
          </w:p>
          <w:p w14:paraId="5141BAFF">
            <w:pPr>
              <w:pStyle w:val="52"/>
              <w:numPr>
                <w:ilvl w:val="0"/>
                <w:numId w:val="0"/>
              </w:numPr>
              <w:spacing w:line="360" w:lineRule="auto"/>
              <w:ind w:left="420" w:leftChars="0" w:hanging="132" w:firstLineChars="0"/>
              <w:rPr>
                <w:rFonts w:hint="eastAsia" w:ascii="Times New Roman" w:hAnsi="Times New Roman" w:eastAsia="宋体" w:cs="Times New Roman"/>
                <w:b/>
                <w:kern w:val="0"/>
                <w:sz w:val="21"/>
                <w:szCs w:val="21"/>
                <w:lang w:val="en-US" w:eastAsia="zh-CN" w:bidi="ar-SA"/>
              </w:rPr>
            </w:pPr>
          </w:p>
          <w:p w14:paraId="010C8091">
            <w:pPr>
              <w:pStyle w:val="52"/>
              <w:numPr>
                <w:ilvl w:val="0"/>
                <w:numId w:val="0"/>
              </w:numPr>
              <w:spacing w:line="360" w:lineRule="auto"/>
              <w:ind w:left="420" w:leftChars="0" w:hanging="132" w:firstLineChars="0"/>
              <w:rPr>
                <w:rFonts w:hint="eastAsia" w:ascii="Times New Roman" w:hAnsi="Times New Roman" w:eastAsia="宋体" w:cs="Times New Roman"/>
                <w:b/>
                <w:kern w:val="0"/>
                <w:sz w:val="21"/>
                <w:szCs w:val="21"/>
                <w:lang w:val="en-US" w:eastAsia="zh-CN" w:bidi="ar-SA"/>
              </w:rPr>
            </w:pPr>
          </w:p>
          <w:p w14:paraId="2AB7BC9B">
            <w:pPr>
              <w:pStyle w:val="52"/>
              <w:numPr>
                <w:ilvl w:val="0"/>
                <w:numId w:val="0"/>
              </w:numPr>
              <w:spacing w:line="360" w:lineRule="auto"/>
              <w:ind w:left="420" w:leftChars="0" w:hanging="132" w:firstLineChars="0"/>
              <w:rPr>
                <w:rFonts w:hint="eastAsia" w:ascii="Times New Roman" w:hAnsi="Times New Roman" w:eastAsia="宋体" w:cs="Times New Roman"/>
                <w:b/>
                <w:kern w:val="0"/>
                <w:sz w:val="21"/>
                <w:szCs w:val="21"/>
                <w:lang w:val="en-US" w:eastAsia="zh-CN" w:bidi="ar-SA"/>
              </w:rPr>
            </w:pPr>
          </w:p>
          <w:p w14:paraId="43B7C730">
            <w:pPr>
              <w:pStyle w:val="52"/>
              <w:numPr>
                <w:ilvl w:val="0"/>
                <w:numId w:val="0"/>
              </w:numPr>
              <w:spacing w:line="360" w:lineRule="auto"/>
              <w:ind w:left="420" w:leftChars="0" w:hanging="132" w:firstLineChars="0"/>
              <w:rPr>
                <w:rFonts w:cs="Times New Roman"/>
              </w:rPr>
            </w:pPr>
            <w:r>
              <w:rPr>
                <w:rFonts w:hint="eastAsia" w:ascii="Times New Roman" w:hAnsi="Times New Roman" w:eastAsia="宋体" w:cs="Times New Roman"/>
                <w:b/>
                <w:kern w:val="0"/>
                <w:sz w:val="21"/>
                <w:szCs w:val="21"/>
                <w:lang w:val="en-US" w:eastAsia="zh-CN" w:bidi="ar-SA"/>
              </w:rPr>
              <w:t>表4-</w:t>
            </w:r>
            <w:r>
              <w:rPr>
                <w:rFonts w:hint="eastAsia" w:cs="Times New Roman"/>
                <w:b/>
                <w:kern w:val="0"/>
                <w:sz w:val="21"/>
                <w:szCs w:val="21"/>
                <w:lang w:val="en-US" w:eastAsia="zh-CN" w:bidi="ar-SA"/>
              </w:rPr>
              <w:t>11</w:t>
            </w:r>
            <w:r>
              <w:rPr>
                <w:rFonts w:cs="Times New Roman"/>
              </w:rPr>
              <w:t>项目危险废物产生及处置统计一览表</w:t>
            </w:r>
          </w:p>
          <w:tbl>
            <w:tblPr>
              <w:tblStyle w:val="75"/>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6"/>
              <w:gridCol w:w="521"/>
              <w:gridCol w:w="731"/>
              <w:gridCol w:w="980"/>
              <w:gridCol w:w="576"/>
              <w:gridCol w:w="582"/>
              <w:gridCol w:w="276"/>
              <w:gridCol w:w="889"/>
              <w:gridCol w:w="889"/>
              <w:gridCol w:w="398"/>
              <w:gridCol w:w="398"/>
              <w:gridCol w:w="2108"/>
            </w:tblGrid>
            <w:tr w14:paraId="6AC587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14:paraId="1D692A33">
                  <w:pPr>
                    <w:ind w:left="-105" w:leftChars="-50" w:right="-105" w:rightChars="-50"/>
                    <w:jc w:val="center"/>
                    <w:rPr>
                      <w:rFonts w:ascii="Times New Roman" w:hAnsi="Times New Roman"/>
                      <w:spacing w:val="-9"/>
                      <w:szCs w:val="21"/>
                    </w:rPr>
                  </w:pPr>
                  <w:r>
                    <w:rPr>
                      <w:rFonts w:ascii="Times New Roman" w:hAnsi="Times New Roman"/>
                      <w:spacing w:val="-9"/>
                      <w:szCs w:val="21"/>
                    </w:rPr>
                    <w:t>序号</w:t>
                  </w:r>
                </w:p>
              </w:tc>
              <w:tc>
                <w:tcPr>
                  <w:tcW w:w="0" w:type="auto"/>
                  <w:vAlign w:val="center"/>
                </w:tcPr>
                <w:p w14:paraId="6684AE02">
                  <w:pPr>
                    <w:ind w:left="-105" w:leftChars="-50" w:right="-105" w:rightChars="-50"/>
                    <w:jc w:val="center"/>
                    <w:rPr>
                      <w:rFonts w:ascii="Times New Roman" w:hAnsi="Times New Roman"/>
                      <w:spacing w:val="-9"/>
                      <w:szCs w:val="21"/>
                    </w:rPr>
                  </w:pPr>
                  <w:r>
                    <w:rPr>
                      <w:rFonts w:ascii="Times New Roman" w:hAnsi="Times New Roman"/>
                      <w:spacing w:val="-9"/>
                      <w:szCs w:val="21"/>
                    </w:rPr>
                    <w:t>危险废物名称</w:t>
                  </w:r>
                </w:p>
              </w:tc>
              <w:tc>
                <w:tcPr>
                  <w:tcW w:w="0" w:type="auto"/>
                  <w:vAlign w:val="center"/>
                </w:tcPr>
                <w:p w14:paraId="0B146782">
                  <w:pPr>
                    <w:ind w:left="-105" w:leftChars="-50" w:right="-105" w:rightChars="-50"/>
                    <w:jc w:val="center"/>
                    <w:rPr>
                      <w:rFonts w:ascii="Times New Roman" w:hAnsi="Times New Roman"/>
                      <w:spacing w:val="-9"/>
                      <w:szCs w:val="21"/>
                    </w:rPr>
                  </w:pPr>
                  <w:r>
                    <w:rPr>
                      <w:rFonts w:ascii="Times New Roman" w:hAnsi="Times New Roman"/>
                      <w:spacing w:val="-9"/>
                      <w:szCs w:val="21"/>
                    </w:rPr>
                    <w:t>危险废物类别</w:t>
                  </w:r>
                </w:p>
              </w:tc>
              <w:tc>
                <w:tcPr>
                  <w:tcW w:w="0" w:type="auto"/>
                  <w:vAlign w:val="center"/>
                </w:tcPr>
                <w:p w14:paraId="28D3A578">
                  <w:pPr>
                    <w:ind w:left="-105" w:leftChars="-50" w:right="-105" w:rightChars="-50"/>
                    <w:jc w:val="center"/>
                    <w:rPr>
                      <w:rFonts w:ascii="Times New Roman" w:hAnsi="Times New Roman"/>
                      <w:spacing w:val="-9"/>
                      <w:szCs w:val="21"/>
                    </w:rPr>
                  </w:pPr>
                  <w:r>
                    <w:rPr>
                      <w:rFonts w:ascii="Times New Roman" w:hAnsi="Times New Roman"/>
                      <w:spacing w:val="-9"/>
                      <w:szCs w:val="21"/>
                    </w:rPr>
                    <w:t>危险危废代码</w:t>
                  </w:r>
                </w:p>
              </w:tc>
              <w:tc>
                <w:tcPr>
                  <w:tcW w:w="0" w:type="auto"/>
                  <w:vAlign w:val="center"/>
                </w:tcPr>
                <w:p w14:paraId="5A7FABC2">
                  <w:pPr>
                    <w:ind w:left="-105" w:leftChars="-50" w:right="-105" w:rightChars="-50"/>
                    <w:jc w:val="center"/>
                    <w:rPr>
                      <w:rFonts w:ascii="Times New Roman" w:hAnsi="Times New Roman"/>
                      <w:spacing w:val="-9"/>
                      <w:szCs w:val="21"/>
                    </w:rPr>
                  </w:pPr>
                  <w:r>
                    <w:rPr>
                      <w:rFonts w:ascii="Times New Roman" w:hAnsi="Times New Roman"/>
                      <w:spacing w:val="-9"/>
                      <w:szCs w:val="21"/>
                    </w:rPr>
                    <w:t>产生量</w:t>
                  </w:r>
                </w:p>
                <w:p w14:paraId="6EED1009">
                  <w:pPr>
                    <w:ind w:left="-105" w:leftChars="-50" w:right="-105" w:rightChars="-50"/>
                    <w:jc w:val="center"/>
                    <w:rPr>
                      <w:rFonts w:ascii="Times New Roman" w:hAnsi="Times New Roman"/>
                      <w:spacing w:val="-9"/>
                      <w:szCs w:val="21"/>
                    </w:rPr>
                  </w:pPr>
                  <w:r>
                    <w:rPr>
                      <w:rFonts w:ascii="Times New Roman" w:hAnsi="Times New Roman"/>
                      <w:spacing w:val="-9"/>
                      <w:szCs w:val="21"/>
                    </w:rPr>
                    <w:t>（t/a）</w:t>
                  </w:r>
                </w:p>
              </w:tc>
              <w:tc>
                <w:tcPr>
                  <w:tcW w:w="0" w:type="auto"/>
                  <w:vAlign w:val="center"/>
                </w:tcPr>
                <w:p w14:paraId="178D0BF4">
                  <w:pPr>
                    <w:ind w:left="-105" w:leftChars="-50" w:right="-105" w:rightChars="-50"/>
                    <w:jc w:val="center"/>
                    <w:rPr>
                      <w:rFonts w:ascii="Times New Roman" w:hAnsi="Times New Roman"/>
                      <w:spacing w:val="-9"/>
                      <w:szCs w:val="21"/>
                    </w:rPr>
                  </w:pPr>
                  <w:r>
                    <w:rPr>
                      <w:rFonts w:ascii="Times New Roman" w:hAnsi="Times New Roman"/>
                      <w:spacing w:val="-9"/>
                      <w:szCs w:val="21"/>
                    </w:rPr>
                    <w:t>产生工序及装置</w:t>
                  </w:r>
                </w:p>
              </w:tc>
              <w:tc>
                <w:tcPr>
                  <w:tcW w:w="0" w:type="auto"/>
                  <w:vAlign w:val="center"/>
                </w:tcPr>
                <w:p w14:paraId="19104BA9">
                  <w:pPr>
                    <w:ind w:left="-105" w:leftChars="-50" w:right="-105" w:rightChars="-50"/>
                    <w:jc w:val="center"/>
                    <w:rPr>
                      <w:rFonts w:ascii="Times New Roman" w:hAnsi="Times New Roman"/>
                      <w:spacing w:val="-9"/>
                      <w:szCs w:val="21"/>
                    </w:rPr>
                  </w:pPr>
                  <w:r>
                    <w:rPr>
                      <w:rFonts w:ascii="Times New Roman" w:hAnsi="Times New Roman"/>
                      <w:spacing w:val="-9"/>
                      <w:szCs w:val="21"/>
                    </w:rPr>
                    <w:t>形态</w:t>
                  </w:r>
                </w:p>
              </w:tc>
              <w:tc>
                <w:tcPr>
                  <w:tcW w:w="0" w:type="auto"/>
                  <w:vAlign w:val="center"/>
                </w:tcPr>
                <w:p w14:paraId="213358D4">
                  <w:pPr>
                    <w:ind w:left="-105" w:leftChars="-50" w:right="-105" w:rightChars="-50"/>
                    <w:jc w:val="center"/>
                    <w:rPr>
                      <w:rFonts w:ascii="Times New Roman" w:hAnsi="Times New Roman"/>
                      <w:spacing w:val="-9"/>
                      <w:szCs w:val="21"/>
                    </w:rPr>
                  </w:pPr>
                  <w:r>
                    <w:rPr>
                      <w:rFonts w:ascii="Times New Roman" w:hAnsi="Times New Roman"/>
                      <w:spacing w:val="-9"/>
                      <w:szCs w:val="21"/>
                    </w:rPr>
                    <w:t>主要成分</w:t>
                  </w:r>
                </w:p>
              </w:tc>
              <w:tc>
                <w:tcPr>
                  <w:tcW w:w="0" w:type="auto"/>
                  <w:vAlign w:val="center"/>
                </w:tcPr>
                <w:p w14:paraId="49E38CF7">
                  <w:pPr>
                    <w:ind w:left="-105" w:leftChars="-50" w:right="-105" w:rightChars="-50"/>
                    <w:jc w:val="center"/>
                    <w:rPr>
                      <w:rFonts w:ascii="Times New Roman" w:hAnsi="Times New Roman"/>
                      <w:spacing w:val="-9"/>
                      <w:szCs w:val="21"/>
                    </w:rPr>
                  </w:pPr>
                  <w:r>
                    <w:rPr>
                      <w:rFonts w:ascii="Times New Roman" w:hAnsi="Times New Roman"/>
                      <w:spacing w:val="-9"/>
                      <w:szCs w:val="21"/>
                    </w:rPr>
                    <w:t>有害成分</w:t>
                  </w:r>
                </w:p>
              </w:tc>
              <w:tc>
                <w:tcPr>
                  <w:tcW w:w="0" w:type="auto"/>
                  <w:vAlign w:val="center"/>
                </w:tcPr>
                <w:p w14:paraId="39A3B24D">
                  <w:pPr>
                    <w:ind w:left="-105" w:leftChars="-50" w:right="-105" w:rightChars="-50"/>
                    <w:jc w:val="center"/>
                    <w:rPr>
                      <w:rFonts w:ascii="Times New Roman" w:hAnsi="Times New Roman"/>
                      <w:spacing w:val="-9"/>
                      <w:szCs w:val="21"/>
                    </w:rPr>
                  </w:pPr>
                  <w:r>
                    <w:rPr>
                      <w:rFonts w:ascii="Times New Roman" w:hAnsi="Times New Roman"/>
                      <w:spacing w:val="-9"/>
                      <w:szCs w:val="21"/>
                    </w:rPr>
                    <w:t>产废周期</w:t>
                  </w:r>
                </w:p>
              </w:tc>
              <w:tc>
                <w:tcPr>
                  <w:tcW w:w="0" w:type="auto"/>
                  <w:vAlign w:val="center"/>
                </w:tcPr>
                <w:p w14:paraId="57FC1441">
                  <w:pPr>
                    <w:ind w:left="-105" w:leftChars="-50" w:right="-105" w:rightChars="-50"/>
                    <w:jc w:val="center"/>
                    <w:rPr>
                      <w:rFonts w:ascii="Times New Roman" w:hAnsi="Times New Roman"/>
                      <w:spacing w:val="-9"/>
                      <w:szCs w:val="21"/>
                    </w:rPr>
                  </w:pPr>
                  <w:r>
                    <w:rPr>
                      <w:rFonts w:ascii="Times New Roman" w:hAnsi="Times New Roman"/>
                      <w:spacing w:val="-9"/>
                      <w:szCs w:val="21"/>
                    </w:rPr>
                    <w:t>危险特性</w:t>
                  </w:r>
                </w:p>
              </w:tc>
              <w:tc>
                <w:tcPr>
                  <w:tcW w:w="0" w:type="auto"/>
                  <w:vAlign w:val="center"/>
                </w:tcPr>
                <w:p w14:paraId="7CA1EB1C">
                  <w:pPr>
                    <w:ind w:left="-105" w:leftChars="-50" w:right="-105" w:rightChars="-50"/>
                    <w:jc w:val="center"/>
                    <w:rPr>
                      <w:rFonts w:ascii="Times New Roman" w:hAnsi="Times New Roman"/>
                      <w:spacing w:val="-9"/>
                      <w:szCs w:val="21"/>
                    </w:rPr>
                  </w:pPr>
                  <w:r>
                    <w:rPr>
                      <w:rFonts w:ascii="Times New Roman" w:hAnsi="Times New Roman"/>
                      <w:spacing w:val="-9"/>
                      <w:szCs w:val="21"/>
                    </w:rPr>
                    <w:t>污染防治措施</w:t>
                  </w:r>
                </w:p>
              </w:tc>
            </w:tr>
            <w:tr w14:paraId="3EFE7F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14:paraId="36F6F22D">
                  <w:pPr>
                    <w:ind w:left="-105" w:leftChars="-50" w:right="-105" w:rightChars="-50"/>
                    <w:jc w:val="center"/>
                    <w:rPr>
                      <w:rFonts w:ascii="Times New Roman" w:hAnsi="Times New Roman"/>
                      <w:spacing w:val="-9"/>
                      <w:szCs w:val="21"/>
                    </w:rPr>
                  </w:pPr>
                  <w:r>
                    <w:rPr>
                      <w:rFonts w:ascii="Times New Roman" w:hAnsi="Times New Roman"/>
                      <w:spacing w:val="-9"/>
                      <w:szCs w:val="21"/>
                    </w:rPr>
                    <w:t>1</w:t>
                  </w:r>
                </w:p>
              </w:tc>
              <w:tc>
                <w:tcPr>
                  <w:tcW w:w="0" w:type="auto"/>
                  <w:vAlign w:val="center"/>
                </w:tcPr>
                <w:p w14:paraId="3AB57F31">
                  <w:pPr>
                    <w:ind w:left="-105" w:leftChars="-50" w:right="-105" w:rightChars="-50"/>
                    <w:jc w:val="center"/>
                    <w:rPr>
                      <w:rFonts w:ascii="Times New Roman" w:hAnsi="Times New Roman"/>
                      <w:spacing w:val="-9"/>
                      <w:szCs w:val="21"/>
                    </w:rPr>
                  </w:pPr>
                  <w:r>
                    <w:rPr>
                      <w:rFonts w:ascii="Times New Roman" w:hAnsi="Times New Roman"/>
                      <w:spacing w:val="-9"/>
                      <w:szCs w:val="21"/>
                    </w:rPr>
                    <w:t>废活性炭</w:t>
                  </w:r>
                </w:p>
              </w:tc>
              <w:tc>
                <w:tcPr>
                  <w:tcW w:w="0" w:type="auto"/>
                  <w:vAlign w:val="center"/>
                </w:tcPr>
                <w:p w14:paraId="5FDD4248">
                  <w:pPr>
                    <w:ind w:left="-105" w:leftChars="-50" w:right="-105" w:rightChars="-50"/>
                    <w:jc w:val="center"/>
                    <w:rPr>
                      <w:rFonts w:ascii="Times New Roman" w:hAnsi="Times New Roman"/>
                      <w:spacing w:val="-9"/>
                      <w:szCs w:val="21"/>
                    </w:rPr>
                  </w:pPr>
                  <w:r>
                    <w:rPr>
                      <w:rFonts w:ascii="Times New Roman" w:hAnsi="Times New Roman"/>
                      <w:spacing w:val="-9"/>
                      <w:szCs w:val="21"/>
                    </w:rPr>
                    <w:t>HW49</w:t>
                  </w:r>
                </w:p>
              </w:tc>
              <w:tc>
                <w:tcPr>
                  <w:tcW w:w="0" w:type="auto"/>
                  <w:vAlign w:val="center"/>
                </w:tcPr>
                <w:p w14:paraId="4644A8EF">
                  <w:pPr>
                    <w:ind w:left="-105" w:leftChars="-50" w:right="-105" w:rightChars="-50"/>
                    <w:jc w:val="center"/>
                    <w:rPr>
                      <w:rFonts w:ascii="Times New Roman" w:hAnsi="Times New Roman"/>
                      <w:spacing w:val="-9"/>
                      <w:szCs w:val="21"/>
                    </w:rPr>
                  </w:pPr>
                  <w:r>
                    <w:rPr>
                      <w:rFonts w:ascii="Times New Roman" w:hAnsi="Times New Roman"/>
                      <w:spacing w:val="-9"/>
                      <w:szCs w:val="21"/>
                    </w:rPr>
                    <w:t>900-039-49</w:t>
                  </w:r>
                </w:p>
              </w:tc>
              <w:tc>
                <w:tcPr>
                  <w:tcW w:w="0" w:type="auto"/>
                  <w:vAlign w:val="center"/>
                </w:tcPr>
                <w:p w14:paraId="5311BE6D">
                  <w:pPr>
                    <w:ind w:left="-105" w:leftChars="-50" w:right="-105" w:rightChars="-50"/>
                    <w:jc w:val="center"/>
                    <w:rPr>
                      <w:rFonts w:hint="default" w:ascii="Times New Roman" w:hAnsi="Times New Roman" w:eastAsia="宋体"/>
                      <w:spacing w:val="-9"/>
                      <w:szCs w:val="21"/>
                      <w:lang w:val="en-US" w:eastAsia="zh-CN"/>
                    </w:rPr>
                  </w:pPr>
                  <w:r>
                    <w:rPr>
                      <w:rFonts w:ascii="Times New Roman" w:hAnsi="Times New Roman"/>
                      <w:spacing w:val="-9"/>
                      <w:szCs w:val="21"/>
                    </w:rPr>
                    <w:t>1.</w:t>
                  </w:r>
                  <w:r>
                    <w:rPr>
                      <w:rFonts w:hint="eastAsia"/>
                      <w:spacing w:val="-9"/>
                      <w:szCs w:val="21"/>
                      <w:lang w:val="en-US" w:eastAsia="zh-CN"/>
                    </w:rPr>
                    <w:t>31</w:t>
                  </w:r>
                </w:p>
              </w:tc>
              <w:tc>
                <w:tcPr>
                  <w:tcW w:w="0" w:type="auto"/>
                  <w:vAlign w:val="center"/>
                </w:tcPr>
                <w:p w14:paraId="6AC34120">
                  <w:pPr>
                    <w:ind w:left="-105" w:leftChars="-50" w:right="-105" w:rightChars="-50"/>
                    <w:jc w:val="center"/>
                    <w:rPr>
                      <w:rFonts w:ascii="Times New Roman" w:hAnsi="Times New Roman"/>
                      <w:spacing w:val="-9"/>
                      <w:szCs w:val="21"/>
                    </w:rPr>
                  </w:pPr>
                  <w:r>
                    <w:rPr>
                      <w:rFonts w:ascii="Times New Roman" w:hAnsi="Times New Roman"/>
                      <w:spacing w:val="-9"/>
                      <w:szCs w:val="21"/>
                    </w:rPr>
                    <w:t>生产过程</w:t>
                  </w:r>
                </w:p>
              </w:tc>
              <w:tc>
                <w:tcPr>
                  <w:tcW w:w="0" w:type="auto"/>
                  <w:vAlign w:val="center"/>
                </w:tcPr>
                <w:p w14:paraId="5FA6472F">
                  <w:pPr>
                    <w:ind w:left="-105" w:leftChars="-50" w:right="-105" w:rightChars="-50"/>
                    <w:jc w:val="center"/>
                    <w:rPr>
                      <w:rFonts w:ascii="Times New Roman" w:hAnsi="Times New Roman"/>
                      <w:spacing w:val="-9"/>
                      <w:szCs w:val="21"/>
                    </w:rPr>
                  </w:pPr>
                  <w:r>
                    <w:rPr>
                      <w:rFonts w:ascii="Times New Roman" w:hAnsi="Times New Roman"/>
                      <w:spacing w:val="-9"/>
                      <w:szCs w:val="21"/>
                    </w:rPr>
                    <w:t>固态</w:t>
                  </w:r>
                </w:p>
              </w:tc>
              <w:tc>
                <w:tcPr>
                  <w:tcW w:w="0" w:type="auto"/>
                  <w:vAlign w:val="center"/>
                </w:tcPr>
                <w:p w14:paraId="0905B8C2">
                  <w:pPr>
                    <w:ind w:left="-105" w:leftChars="-50" w:right="-105" w:rightChars="-50"/>
                    <w:jc w:val="center"/>
                    <w:rPr>
                      <w:rFonts w:ascii="Times New Roman" w:hAnsi="Times New Roman"/>
                      <w:spacing w:val="-9"/>
                      <w:szCs w:val="21"/>
                    </w:rPr>
                  </w:pPr>
                  <w:r>
                    <w:rPr>
                      <w:rFonts w:ascii="Times New Roman" w:hAnsi="Times New Roman"/>
                      <w:spacing w:val="-9"/>
                      <w:szCs w:val="21"/>
                    </w:rPr>
                    <w:t>沾染了危险废物的废活性炭</w:t>
                  </w:r>
                </w:p>
              </w:tc>
              <w:tc>
                <w:tcPr>
                  <w:tcW w:w="0" w:type="auto"/>
                  <w:vAlign w:val="center"/>
                </w:tcPr>
                <w:p w14:paraId="3B8DA66B">
                  <w:pPr>
                    <w:ind w:left="-105" w:leftChars="-50" w:right="-105" w:rightChars="-50"/>
                    <w:jc w:val="center"/>
                    <w:rPr>
                      <w:rFonts w:ascii="Times New Roman" w:hAnsi="Times New Roman"/>
                      <w:spacing w:val="-9"/>
                      <w:szCs w:val="21"/>
                    </w:rPr>
                  </w:pPr>
                  <w:r>
                    <w:rPr>
                      <w:rFonts w:ascii="Times New Roman" w:hAnsi="Times New Roman"/>
                      <w:spacing w:val="-9"/>
                      <w:szCs w:val="21"/>
                    </w:rPr>
                    <w:t>沾染了危险废物的废活性炭</w:t>
                  </w:r>
                </w:p>
              </w:tc>
              <w:tc>
                <w:tcPr>
                  <w:tcW w:w="0" w:type="auto"/>
                  <w:vAlign w:val="center"/>
                </w:tcPr>
                <w:p w14:paraId="44363CB3">
                  <w:pPr>
                    <w:ind w:left="-105" w:leftChars="-50" w:right="-105" w:rightChars="-50"/>
                    <w:jc w:val="center"/>
                    <w:rPr>
                      <w:rFonts w:ascii="Times New Roman" w:hAnsi="Times New Roman"/>
                      <w:spacing w:val="-9"/>
                      <w:szCs w:val="21"/>
                    </w:rPr>
                  </w:pPr>
                  <w:r>
                    <w:rPr>
                      <w:rFonts w:ascii="Times New Roman" w:hAnsi="Times New Roman"/>
                      <w:spacing w:val="-9"/>
                      <w:szCs w:val="21"/>
                    </w:rPr>
                    <w:t>每年</w:t>
                  </w:r>
                </w:p>
              </w:tc>
              <w:tc>
                <w:tcPr>
                  <w:tcW w:w="0" w:type="auto"/>
                  <w:vAlign w:val="center"/>
                </w:tcPr>
                <w:p w14:paraId="6FC37318">
                  <w:pPr>
                    <w:ind w:left="-105" w:leftChars="-50" w:right="-105" w:rightChars="-50"/>
                    <w:jc w:val="center"/>
                    <w:rPr>
                      <w:rFonts w:ascii="Times New Roman" w:hAnsi="Times New Roman"/>
                      <w:spacing w:val="-9"/>
                      <w:szCs w:val="21"/>
                    </w:rPr>
                  </w:pPr>
                  <w:r>
                    <w:rPr>
                      <w:rFonts w:ascii="Times New Roman" w:hAnsi="Times New Roman"/>
                      <w:spacing w:val="-9"/>
                      <w:szCs w:val="21"/>
                    </w:rPr>
                    <w:t>毒性</w:t>
                  </w:r>
                </w:p>
              </w:tc>
              <w:tc>
                <w:tcPr>
                  <w:tcW w:w="0" w:type="auto"/>
                  <w:vMerge w:val="restart"/>
                  <w:vAlign w:val="center"/>
                </w:tcPr>
                <w:p w14:paraId="38235847">
                  <w:pPr>
                    <w:ind w:left="-105" w:leftChars="-50" w:right="-105" w:rightChars="-50"/>
                    <w:jc w:val="center"/>
                    <w:rPr>
                      <w:rFonts w:ascii="Times New Roman" w:hAnsi="Times New Roman"/>
                      <w:spacing w:val="-9"/>
                      <w:szCs w:val="21"/>
                    </w:rPr>
                  </w:pPr>
                  <w:r>
                    <w:rPr>
                      <w:rFonts w:ascii="Times New Roman" w:hAnsi="Times New Roman"/>
                      <w:spacing w:val="-9"/>
                      <w:szCs w:val="21"/>
                    </w:rPr>
                    <w:t>统一收集，暂存于厂区危险废物暂存场所，定期交由有资质单位处理</w:t>
                  </w:r>
                </w:p>
              </w:tc>
            </w:tr>
            <w:tr w14:paraId="35ACC0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14:paraId="4474C832">
                  <w:pPr>
                    <w:ind w:left="-105" w:leftChars="-50" w:right="-105" w:rightChars="-50"/>
                    <w:jc w:val="center"/>
                    <w:rPr>
                      <w:rFonts w:ascii="Times New Roman" w:hAnsi="Times New Roman"/>
                      <w:spacing w:val="-9"/>
                      <w:szCs w:val="21"/>
                    </w:rPr>
                  </w:pPr>
                  <w:r>
                    <w:rPr>
                      <w:rFonts w:ascii="Times New Roman" w:hAnsi="Times New Roman"/>
                      <w:spacing w:val="-9"/>
                      <w:szCs w:val="21"/>
                    </w:rPr>
                    <w:t>2</w:t>
                  </w:r>
                </w:p>
              </w:tc>
              <w:tc>
                <w:tcPr>
                  <w:tcW w:w="0" w:type="auto"/>
                  <w:vAlign w:val="center"/>
                </w:tcPr>
                <w:p w14:paraId="4F30F06B">
                  <w:pPr>
                    <w:ind w:left="-105" w:leftChars="-50" w:right="-105" w:rightChars="-50"/>
                    <w:jc w:val="center"/>
                    <w:rPr>
                      <w:rFonts w:ascii="Times New Roman" w:hAnsi="Times New Roman"/>
                      <w:spacing w:val="-9"/>
                      <w:szCs w:val="21"/>
                    </w:rPr>
                  </w:pPr>
                  <w:r>
                    <w:rPr>
                      <w:rFonts w:ascii="Times New Roman" w:hAnsi="Times New Roman"/>
                      <w:spacing w:val="-9"/>
                      <w:szCs w:val="21"/>
                    </w:rPr>
                    <w:t>废液压油</w:t>
                  </w:r>
                </w:p>
              </w:tc>
              <w:tc>
                <w:tcPr>
                  <w:tcW w:w="0" w:type="auto"/>
                  <w:vAlign w:val="center"/>
                </w:tcPr>
                <w:p w14:paraId="238412F0">
                  <w:pPr>
                    <w:ind w:left="-105" w:leftChars="-50" w:right="-105" w:rightChars="-50"/>
                    <w:jc w:val="center"/>
                    <w:rPr>
                      <w:rFonts w:ascii="Times New Roman" w:hAnsi="Times New Roman"/>
                      <w:spacing w:val="-9"/>
                      <w:szCs w:val="21"/>
                    </w:rPr>
                  </w:pPr>
                  <w:r>
                    <w:rPr>
                      <w:rFonts w:ascii="Times New Roman" w:hAnsi="Times New Roman"/>
                      <w:spacing w:val="-9"/>
                      <w:szCs w:val="21"/>
                    </w:rPr>
                    <w:t>HW08</w:t>
                  </w:r>
                </w:p>
              </w:tc>
              <w:tc>
                <w:tcPr>
                  <w:tcW w:w="0" w:type="auto"/>
                  <w:vAlign w:val="center"/>
                </w:tcPr>
                <w:p w14:paraId="1CD74167">
                  <w:pPr>
                    <w:ind w:left="-105" w:leftChars="-50" w:right="-105" w:rightChars="-50"/>
                    <w:jc w:val="center"/>
                    <w:rPr>
                      <w:rFonts w:ascii="Times New Roman" w:hAnsi="Times New Roman"/>
                      <w:spacing w:val="-9"/>
                      <w:szCs w:val="21"/>
                    </w:rPr>
                  </w:pPr>
                  <w:r>
                    <w:rPr>
                      <w:rFonts w:ascii="Times New Roman" w:hAnsi="Times New Roman"/>
                      <w:spacing w:val="-9"/>
                      <w:szCs w:val="21"/>
                    </w:rPr>
                    <w:t>900-218-08</w:t>
                  </w:r>
                </w:p>
              </w:tc>
              <w:tc>
                <w:tcPr>
                  <w:tcW w:w="0" w:type="auto"/>
                  <w:vAlign w:val="center"/>
                </w:tcPr>
                <w:p w14:paraId="08F4D973">
                  <w:pPr>
                    <w:ind w:left="-105" w:leftChars="-50" w:right="-105" w:rightChars="-50"/>
                    <w:jc w:val="center"/>
                    <w:rPr>
                      <w:rFonts w:ascii="Times New Roman" w:hAnsi="Times New Roman"/>
                      <w:spacing w:val="-9"/>
                      <w:szCs w:val="21"/>
                    </w:rPr>
                  </w:pPr>
                  <w:r>
                    <w:rPr>
                      <w:rFonts w:ascii="Times New Roman" w:hAnsi="Times New Roman"/>
                      <w:spacing w:val="-9"/>
                      <w:szCs w:val="21"/>
                    </w:rPr>
                    <w:t>0.3</w:t>
                  </w:r>
                </w:p>
              </w:tc>
              <w:tc>
                <w:tcPr>
                  <w:tcW w:w="0" w:type="auto"/>
                  <w:vAlign w:val="center"/>
                </w:tcPr>
                <w:p w14:paraId="3446B9C4">
                  <w:pPr>
                    <w:ind w:left="-105" w:leftChars="-50" w:right="-105" w:rightChars="-50"/>
                    <w:jc w:val="center"/>
                    <w:rPr>
                      <w:rFonts w:ascii="Times New Roman" w:hAnsi="Times New Roman"/>
                      <w:spacing w:val="-9"/>
                      <w:szCs w:val="21"/>
                    </w:rPr>
                  </w:pPr>
                  <w:r>
                    <w:rPr>
                      <w:rFonts w:ascii="Times New Roman" w:hAnsi="Times New Roman"/>
                      <w:spacing w:val="-9"/>
                      <w:szCs w:val="21"/>
                    </w:rPr>
                    <w:t>生产过程</w:t>
                  </w:r>
                </w:p>
              </w:tc>
              <w:tc>
                <w:tcPr>
                  <w:tcW w:w="0" w:type="auto"/>
                  <w:vAlign w:val="center"/>
                </w:tcPr>
                <w:p w14:paraId="18515565">
                  <w:pPr>
                    <w:ind w:left="-105" w:leftChars="-50" w:right="-105" w:rightChars="-50"/>
                    <w:jc w:val="center"/>
                    <w:rPr>
                      <w:rFonts w:ascii="Times New Roman" w:hAnsi="Times New Roman"/>
                      <w:spacing w:val="-9"/>
                      <w:szCs w:val="21"/>
                    </w:rPr>
                  </w:pPr>
                  <w:r>
                    <w:rPr>
                      <w:rFonts w:ascii="Times New Roman" w:hAnsi="Times New Roman"/>
                      <w:spacing w:val="-9"/>
                      <w:szCs w:val="21"/>
                    </w:rPr>
                    <w:t>液态</w:t>
                  </w:r>
                </w:p>
              </w:tc>
              <w:tc>
                <w:tcPr>
                  <w:tcW w:w="0" w:type="auto"/>
                  <w:vAlign w:val="center"/>
                </w:tcPr>
                <w:p w14:paraId="0345B838">
                  <w:pPr>
                    <w:ind w:left="-105" w:leftChars="-50" w:right="-105" w:rightChars="-50"/>
                    <w:jc w:val="center"/>
                    <w:rPr>
                      <w:rFonts w:ascii="Times New Roman" w:hAnsi="Times New Roman"/>
                      <w:spacing w:val="-9"/>
                      <w:szCs w:val="21"/>
                    </w:rPr>
                  </w:pPr>
                  <w:r>
                    <w:rPr>
                      <w:rFonts w:ascii="Times New Roman" w:hAnsi="Times New Roman"/>
                      <w:spacing w:val="-9"/>
                      <w:szCs w:val="21"/>
                    </w:rPr>
                    <w:t>废液压油</w:t>
                  </w:r>
                </w:p>
              </w:tc>
              <w:tc>
                <w:tcPr>
                  <w:tcW w:w="0" w:type="auto"/>
                  <w:vAlign w:val="center"/>
                </w:tcPr>
                <w:p w14:paraId="24B8FC7C">
                  <w:pPr>
                    <w:ind w:left="-105" w:leftChars="-50" w:right="-105" w:rightChars="-50"/>
                    <w:jc w:val="center"/>
                    <w:rPr>
                      <w:rFonts w:ascii="Times New Roman" w:hAnsi="Times New Roman"/>
                      <w:spacing w:val="-9"/>
                      <w:szCs w:val="21"/>
                    </w:rPr>
                  </w:pPr>
                  <w:r>
                    <w:rPr>
                      <w:rFonts w:ascii="Times New Roman" w:hAnsi="Times New Roman"/>
                      <w:spacing w:val="-9"/>
                      <w:szCs w:val="21"/>
                    </w:rPr>
                    <w:t>废液压油</w:t>
                  </w:r>
                </w:p>
              </w:tc>
              <w:tc>
                <w:tcPr>
                  <w:tcW w:w="0" w:type="auto"/>
                  <w:vAlign w:val="center"/>
                </w:tcPr>
                <w:p w14:paraId="67BAE71B">
                  <w:pPr>
                    <w:ind w:left="-105" w:leftChars="-50" w:right="-105" w:rightChars="-50"/>
                    <w:jc w:val="center"/>
                    <w:rPr>
                      <w:rFonts w:ascii="Times New Roman" w:hAnsi="Times New Roman"/>
                      <w:spacing w:val="-9"/>
                      <w:szCs w:val="21"/>
                    </w:rPr>
                  </w:pPr>
                  <w:r>
                    <w:rPr>
                      <w:rFonts w:hint="eastAsia"/>
                      <w:spacing w:val="-9"/>
                      <w:szCs w:val="21"/>
                      <w:lang w:val="en-US" w:eastAsia="zh-CN"/>
                    </w:rPr>
                    <w:t>三</w:t>
                  </w:r>
                  <w:r>
                    <w:rPr>
                      <w:rFonts w:ascii="Times New Roman" w:hAnsi="Times New Roman"/>
                      <w:spacing w:val="-9"/>
                      <w:szCs w:val="21"/>
                    </w:rPr>
                    <w:t>年</w:t>
                  </w:r>
                </w:p>
              </w:tc>
              <w:tc>
                <w:tcPr>
                  <w:tcW w:w="0" w:type="auto"/>
                  <w:vAlign w:val="center"/>
                </w:tcPr>
                <w:p w14:paraId="0840E149">
                  <w:pPr>
                    <w:ind w:left="-105" w:leftChars="-50" w:right="-105" w:rightChars="-50"/>
                    <w:jc w:val="center"/>
                    <w:rPr>
                      <w:rFonts w:ascii="Times New Roman" w:hAnsi="Times New Roman"/>
                      <w:spacing w:val="-9"/>
                      <w:szCs w:val="21"/>
                    </w:rPr>
                  </w:pPr>
                  <w:r>
                    <w:rPr>
                      <w:rFonts w:ascii="Times New Roman" w:hAnsi="Times New Roman"/>
                      <w:spacing w:val="-9"/>
                      <w:szCs w:val="21"/>
                    </w:rPr>
                    <w:t>毒性</w:t>
                  </w:r>
                </w:p>
              </w:tc>
              <w:tc>
                <w:tcPr>
                  <w:tcW w:w="0" w:type="auto"/>
                  <w:vMerge w:val="continue"/>
                  <w:vAlign w:val="center"/>
                </w:tcPr>
                <w:p w14:paraId="3C0F6544">
                  <w:pPr>
                    <w:ind w:left="-105" w:leftChars="-50" w:right="-105" w:rightChars="-50"/>
                    <w:jc w:val="center"/>
                    <w:rPr>
                      <w:rFonts w:ascii="Times New Roman" w:hAnsi="Times New Roman"/>
                      <w:spacing w:val="-9"/>
                      <w:szCs w:val="21"/>
                    </w:rPr>
                  </w:pPr>
                </w:p>
              </w:tc>
            </w:tr>
          </w:tbl>
          <w:p w14:paraId="5AEE1343">
            <w:pPr>
              <w:adjustRightInd w:val="0"/>
              <w:snapToGrid w:val="0"/>
              <w:spacing w:line="360" w:lineRule="auto"/>
              <w:ind w:firstLine="480" w:firstLineChars="200"/>
              <w:rPr>
                <w:sz w:val="24"/>
              </w:rPr>
            </w:pPr>
            <w:r>
              <w:rPr>
                <w:sz w:val="24"/>
              </w:rPr>
              <w:t>（1）一般固废暂存场所建设要求</w:t>
            </w:r>
          </w:p>
          <w:p w14:paraId="645A68CC">
            <w:pPr>
              <w:pStyle w:val="40"/>
              <w:ind w:firstLine="480"/>
              <w:rPr>
                <w:rFonts w:ascii="Times New Roman" w:hAnsi="Times New Roman"/>
              </w:rPr>
            </w:pPr>
            <w:r>
              <w:rPr>
                <w:rFonts w:ascii="Times New Roman" w:hAnsi="Times New Roman"/>
              </w:rPr>
              <w:t>项目一般工业固废的暂存场所需按照《一般工业固体废物贮存、处置场污染控制标准》（GB18599-2020）要求建设，具体要求如下：</w:t>
            </w:r>
          </w:p>
          <w:p w14:paraId="7B7352D1">
            <w:pPr>
              <w:pStyle w:val="40"/>
              <w:ind w:firstLine="480"/>
              <w:rPr>
                <w:rFonts w:ascii="Times New Roman" w:hAnsi="Times New Roman"/>
              </w:rPr>
            </w:pPr>
            <w:r>
              <w:rPr>
                <w:rFonts w:hint="eastAsia" w:cs="宋体"/>
              </w:rPr>
              <w:t>①</w:t>
            </w:r>
            <w:r>
              <w:rPr>
                <w:rFonts w:ascii="Times New Roman" w:hAnsi="Times New Roman"/>
              </w:rPr>
              <w:t>贮存、处置场的建设类型，必须将要堆放的一般工业固体废物的类别相一致。</w:t>
            </w:r>
          </w:p>
          <w:p w14:paraId="123D0DAC">
            <w:pPr>
              <w:pStyle w:val="40"/>
              <w:ind w:firstLine="480"/>
              <w:rPr>
                <w:rFonts w:ascii="Times New Roman" w:hAnsi="Times New Roman"/>
              </w:rPr>
            </w:pPr>
            <w:r>
              <w:rPr>
                <w:rFonts w:hint="eastAsia" w:cs="宋体"/>
              </w:rPr>
              <w:t>②</w:t>
            </w:r>
            <w:r>
              <w:rPr>
                <w:rFonts w:ascii="Times New Roman" w:hAnsi="Times New Roman"/>
              </w:rPr>
              <w:t>贮存、处置场应采取防止粉尘污染的措施。</w:t>
            </w:r>
          </w:p>
          <w:p w14:paraId="4B4228C5">
            <w:pPr>
              <w:pStyle w:val="40"/>
              <w:ind w:firstLine="480"/>
              <w:rPr>
                <w:rFonts w:ascii="Times New Roman" w:hAnsi="Times New Roman"/>
              </w:rPr>
            </w:pPr>
            <w:r>
              <w:rPr>
                <w:rFonts w:hint="eastAsia" w:cs="宋体"/>
              </w:rPr>
              <w:t>③</w:t>
            </w:r>
            <w:r>
              <w:rPr>
                <w:rFonts w:ascii="Times New Roman" w:hAnsi="Times New Roman"/>
              </w:rPr>
              <w:t>为防止雨水径流进入贮存、处置场内，贮存、处置场周边应设置导流渠。</w:t>
            </w:r>
          </w:p>
          <w:p w14:paraId="4422EAA1">
            <w:pPr>
              <w:pStyle w:val="40"/>
              <w:ind w:firstLine="480"/>
              <w:rPr>
                <w:rFonts w:ascii="Times New Roman" w:hAnsi="Times New Roman"/>
              </w:rPr>
            </w:pPr>
            <w:r>
              <w:rPr>
                <w:rFonts w:hint="eastAsia" w:cs="宋体"/>
              </w:rPr>
              <w:t>④</w:t>
            </w:r>
            <w:r>
              <w:rPr>
                <w:rFonts w:ascii="Times New Roman" w:hAnsi="Times New Roman"/>
              </w:rPr>
              <w:t>应设计渗滤液集排水设施。</w:t>
            </w:r>
          </w:p>
          <w:p w14:paraId="0A8FECE5">
            <w:pPr>
              <w:pStyle w:val="40"/>
              <w:ind w:firstLine="480"/>
              <w:rPr>
                <w:rFonts w:ascii="Times New Roman" w:hAnsi="Times New Roman"/>
              </w:rPr>
            </w:pPr>
            <w:r>
              <w:rPr>
                <w:rFonts w:hint="eastAsia" w:cs="宋体"/>
              </w:rPr>
              <w:t>⑤</w:t>
            </w:r>
            <w:r>
              <w:rPr>
                <w:rFonts w:ascii="Times New Roman" w:hAnsi="Times New Roman"/>
              </w:rPr>
              <w:t>为防止一般工业固体废物和渗滤液的流失，应构筑堤、坝、挡土墙等设施。</w:t>
            </w:r>
          </w:p>
          <w:p w14:paraId="4E7FCED4">
            <w:pPr>
              <w:pStyle w:val="40"/>
              <w:ind w:firstLine="480"/>
              <w:rPr>
                <w:rFonts w:ascii="Times New Roman" w:hAnsi="Times New Roman"/>
              </w:rPr>
            </w:pPr>
            <w:r>
              <w:rPr>
                <w:rFonts w:hint="eastAsia" w:cs="宋体"/>
              </w:rPr>
              <w:t>⑥</w:t>
            </w:r>
            <w:r>
              <w:rPr>
                <w:rFonts w:ascii="Times New Roman" w:hAnsi="Times New Roman"/>
              </w:rPr>
              <w:t>为保障设施、设备正常运营，必要时应采取措施防止地基下沉，尤其是防止不均匀或局部下沉。</w:t>
            </w:r>
          </w:p>
          <w:p w14:paraId="2CBA98BD">
            <w:pPr>
              <w:pStyle w:val="40"/>
              <w:ind w:firstLine="480"/>
              <w:rPr>
                <w:rFonts w:ascii="Times New Roman" w:hAnsi="Times New Roman"/>
              </w:rPr>
            </w:pPr>
            <w:r>
              <w:rPr>
                <w:rFonts w:hint="eastAsia" w:cs="宋体"/>
              </w:rPr>
              <w:t>⑦</w:t>
            </w:r>
            <w:r>
              <w:rPr>
                <w:rFonts w:ascii="Times New Roman" w:hAnsi="Times New Roman"/>
              </w:rPr>
              <w:t>加强监督管理，固废贮存、处置场应按GB15562.2设置环境保护图形标志。</w:t>
            </w:r>
          </w:p>
          <w:p w14:paraId="748CF669">
            <w:pPr>
              <w:adjustRightInd w:val="0"/>
              <w:snapToGrid w:val="0"/>
              <w:spacing w:line="360" w:lineRule="auto"/>
              <w:ind w:firstLine="480" w:firstLineChars="200"/>
              <w:rPr>
                <w:sz w:val="24"/>
              </w:rPr>
            </w:pPr>
            <w:r>
              <w:rPr>
                <w:sz w:val="24"/>
              </w:rPr>
              <w:t>（2）危险废物收集、暂存、运输污染防治措施分析</w:t>
            </w:r>
          </w:p>
          <w:p w14:paraId="7A6A5BC4">
            <w:pPr>
              <w:adjustRightInd w:val="0"/>
              <w:snapToGrid w:val="0"/>
              <w:spacing w:line="360" w:lineRule="auto"/>
              <w:ind w:firstLine="480" w:firstLineChars="200"/>
              <w:rPr>
                <w:sz w:val="24"/>
              </w:rPr>
            </w:pPr>
            <w:r>
              <w:rPr>
                <w:rFonts w:hint="eastAsia" w:ascii="宋体" w:hAnsi="宋体" w:cs="宋体"/>
                <w:sz w:val="24"/>
              </w:rPr>
              <w:t>①</w:t>
            </w:r>
            <w:r>
              <w:rPr>
                <w:sz w:val="24"/>
              </w:rPr>
              <w:t>危险废物收集措施</w:t>
            </w:r>
          </w:p>
          <w:p w14:paraId="5D4F79DE">
            <w:pPr>
              <w:adjustRightInd w:val="0"/>
              <w:snapToGrid w:val="0"/>
              <w:spacing w:line="360" w:lineRule="auto"/>
              <w:ind w:firstLine="480" w:firstLineChars="200"/>
              <w:rPr>
                <w:sz w:val="24"/>
              </w:rPr>
            </w:pPr>
            <w:r>
              <w:rPr>
                <w:sz w:val="24"/>
              </w:rPr>
              <w:t>危险废物的收集措施：废液压采用桶装收集暂存，废活性炭采用密封编织袋进行收集暂存。</w:t>
            </w:r>
          </w:p>
          <w:p w14:paraId="4D0329AA">
            <w:pPr>
              <w:adjustRightInd w:val="0"/>
              <w:snapToGrid w:val="0"/>
              <w:spacing w:line="360" w:lineRule="auto"/>
              <w:ind w:firstLine="480" w:firstLineChars="200"/>
              <w:rPr>
                <w:sz w:val="24"/>
              </w:rPr>
            </w:pPr>
            <w:r>
              <w:rPr>
                <w:rFonts w:hint="eastAsia" w:ascii="宋体" w:hAnsi="宋体" w:cs="宋体"/>
                <w:sz w:val="24"/>
              </w:rPr>
              <w:t>②</w:t>
            </w:r>
            <w:r>
              <w:rPr>
                <w:sz w:val="24"/>
              </w:rPr>
              <w:t>危险废物暂存、处置要求</w:t>
            </w:r>
          </w:p>
          <w:p w14:paraId="0D624DCE">
            <w:pPr>
              <w:adjustRightInd w:val="0"/>
              <w:snapToGrid w:val="0"/>
              <w:spacing w:line="360" w:lineRule="auto"/>
              <w:ind w:firstLine="480" w:firstLineChars="200"/>
              <w:rPr>
                <w:sz w:val="24"/>
              </w:rPr>
            </w:pPr>
            <w:r>
              <w:rPr>
                <w:sz w:val="24"/>
              </w:rPr>
              <w:t>本项目拟建设危废暂存库1座，占地面积</w:t>
            </w:r>
            <w:r>
              <w:rPr>
                <w:rFonts w:hint="eastAsia"/>
                <w:sz w:val="24"/>
                <w:lang w:val="en-US" w:eastAsia="zh-CN"/>
              </w:rPr>
              <w:t>6</w:t>
            </w:r>
            <w:r>
              <w:rPr>
                <w:sz w:val="24"/>
              </w:rPr>
              <w:t>m</w:t>
            </w:r>
            <w:r>
              <w:rPr>
                <w:sz w:val="24"/>
                <w:vertAlign w:val="superscript"/>
              </w:rPr>
              <w:t>2</w:t>
            </w:r>
            <w:r>
              <w:rPr>
                <w:sz w:val="24"/>
              </w:rPr>
              <w:t>，危险废物拟12个月委托处置一次。项目危废于暂存间密封暂存后，定期送具有危险废物处置资质单位进行处理，危废库设有防腐、防渗、防雨等措施。</w:t>
            </w:r>
          </w:p>
          <w:p w14:paraId="0F4F92A8">
            <w:pPr>
              <w:adjustRightInd w:val="0"/>
              <w:snapToGrid w:val="0"/>
              <w:spacing w:line="360" w:lineRule="auto"/>
              <w:ind w:firstLine="480" w:firstLineChars="200"/>
              <w:rPr>
                <w:sz w:val="24"/>
              </w:rPr>
            </w:pPr>
            <w:r>
              <w:rPr>
                <w:sz w:val="24"/>
              </w:rPr>
              <w:t>危险废物的贮存设施应满足以下要求：</w:t>
            </w:r>
          </w:p>
          <w:p w14:paraId="7ABA010F">
            <w:pPr>
              <w:adjustRightInd w:val="0"/>
              <w:snapToGrid w:val="0"/>
              <w:spacing w:line="360" w:lineRule="auto"/>
              <w:ind w:firstLine="480" w:firstLineChars="200"/>
              <w:rPr>
                <w:sz w:val="24"/>
              </w:rPr>
            </w:pPr>
            <w:r>
              <w:rPr>
                <w:sz w:val="24"/>
              </w:rPr>
              <w:t>a、应建有堵截泄漏的裙脚，地面与裙脚要用坚固防渗的材料建造。应有隔离设施、报警装置和防风、防晒、防雨设施；</w:t>
            </w:r>
          </w:p>
          <w:p w14:paraId="4CC787F9">
            <w:pPr>
              <w:adjustRightInd w:val="0"/>
              <w:snapToGrid w:val="0"/>
              <w:spacing w:line="360" w:lineRule="auto"/>
              <w:ind w:firstLine="480" w:firstLineChars="200"/>
              <w:rPr>
                <w:sz w:val="24"/>
              </w:rPr>
            </w:pPr>
            <w:r>
              <w:rPr>
                <w:sz w:val="24"/>
              </w:rPr>
              <w:t>b、基础必须防渗，防渗层为至少1m厚粘土层，渗透系数≤1.0×10</w:t>
            </w:r>
            <w:r>
              <w:rPr>
                <w:sz w:val="24"/>
                <w:vertAlign w:val="superscript"/>
              </w:rPr>
              <w:t>-7</w:t>
            </w:r>
            <w:r>
              <w:rPr>
                <w:sz w:val="24"/>
              </w:rPr>
              <w:t>cm/s，或2mm厚高密度聚乙烯，或至少2mm厚的其它人工材料，渗透系数≤1.0×10</w:t>
            </w:r>
            <w:r>
              <w:rPr>
                <w:sz w:val="24"/>
                <w:vertAlign w:val="superscript"/>
              </w:rPr>
              <w:t>-10</w:t>
            </w:r>
            <w:r>
              <w:rPr>
                <w:sz w:val="24"/>
              </w:rPr>
              <w:t>cm/s；</w:t>
            </w:r>
          </w:p>
          <w:p w14:paraId="1DB8281C">
            <w:pPr>
              <w:adjustRightInd w:val="0"/>
              <w:snapToGrid w:val="0"/>
              <w:spacing w:line="360" w:lineRule="auto"/>
              <w:ind w:firstLine="480" w:firstLineChars="200"/>
              <w:rPr>
                <w:sz w:val="24"/>
              </w:rPr>
            </w:pPr>
            <w:r>
              <w:rPr>
                <w:sz w:val="24"/>
              </w:rPr>
              <w:t>c、须有泄漏液体收集装置及气体导出口和气体净化装置；</w:t>
            </w:r>
          </w:p>
          <w:p w14:paraId="3CE78D0B">
            <w:pPr>
              <w:adjustRightInd w:val="0"/>
              <w:snapToGrid w:val="0"/>
              <w:spacing w:line="360" w:lineRule="auto"/>
              <w:ind w:firstLine="480" w:firstLineChars="200"/>
              <w:rPr>
                <w:sz w:val="24"/>
              </w:rPr>
            </w:pPr>
            <w:r>
              <w:rPr>
                <w:sz w:val="24"/>
              </w:rPr>
              <w:t>d、用于存放液体、半固体危险废物的地方，还须有耐腐蚀的硬化地面，地面无裂隙；</w:t>
            </w:r>
          </w:p>
          <w:p w14:paraId="1A1AB4CB">
            <w:pPr>
              <w:adjustRightInd w:val="0"/>
              <w:snapToGrid w:val="0"/>
              <w:spacing w:line="360" w:lineRule="auto"/>
              <w:ind w:firstLine="480" w:firstLineChars="200"/>
              <w:rPr>
                <w:sz w:val="24"/>
              </w:rPr>
            </w:pPr>
            <w:r>
              <w:rPr>
                <w:sz w:val="24"/>
              </w:rPr>
              <w:t>e、危险废物的贮存场所需设置警示牌，对不相容的危险废物堆放区必须有隔离间隔断；</w:t>
            </w:r>
          </w:p>
          <w:p w14:paraId="0D968267">
            <w:pPr>
              <w:adjustRightInd w:val="0"/>
              <w:snapToGrid w:val="0"/>
              <w:spacing w:line="360" w:lineRule="auto"/>
              <w:ind w:firstLine="480" w:firstLineChars="200"/>
              <w:rPr>
                <w:sz w:val="24"/>
              </w:rPr>
            </w:pPr>
            <w:r>
              <w:rPr>
                <w:sz w:val="24"/>
              </w:rPr>
              <w:t>f、危险废物的贮存设施的选址与设计、运行与管理、安全防护、环境监测及应急措施、以及关闭等须遵循《危险废物贮存污染控制标准》的规定。</w:t>
            </w:r>
          </w:p>
          <w:p w14:paraId="6F96191C">
            <w:pPr>
              <w:adjustRightInd w:val="0"/>
              <w:snapToGrid w:val="0"/>
              <w:spacing w:line="360" w:lineRule="auto"/>
              <w:ind w:firstLine="480" w:firstLineChars="200"/>
              <w:rPr>
                <w:sz w:val="24"/>
              </w:rPr>
            </w:pPr>
            <w:r>
              <w:rPr>
                <w:rFonts w:hint="eastAsia" w:ascii="宋体" w:hAnsi="宋体" w:cs="宋体"/>
                <w:sz w:val="24"/>
              </w:rPr>
              <w:t>③</w:t>
            </w:r>
            <w:r>
              <w:rPr>
                <w:sz w:val="24"/>
              </w:rPr>
              <w:t>危险废物包装、运输要求</w:t>
            </w:r>
          </w:p>
          <w:p w14:paraId="1065D306">
            <w:pPr>
              <w:adjustRightInd w:val="0"/>
              <w:snapToGrid w:val="0"/>
              <w:spacing w:line="360" w:lineRule="auto"/>
              <w:ind w:firstLine="480" w:firstLineChars="200"/>
              <w:rPr>
                <w:sz w:val="24"/>
              </w:rPr>
            </w:pPr>
            <w:r>
              <w:rPr>
                <w:sz w:val="24"/>
              </w:rPr>
              <w:t>项目各固废均按照相应的包装要求进行包装，经本次固废论证后，企业将危废委托有资质单位进行处置。企业危废外运委托有资质的单位进行运输，严格执行《危险废物收集贮存运输技术规范》（HJ 2025-2012）和《危险废物转移联单管理办法》，并制定好危险废物转移运输途中的污染防范及事故应急措施，严格按照要求办理有关手续。运输单位在运输本项目危险废物过程中应严格做好相应的防范措施，防止危险废物的泄露，或发生重大交通事故，具体措施如下：</w:t>
            </w:r>
          </w:p>
          <w:p w14:paraId="2D5D4B99">
            <w:pPr>
              <w:adjustRightInd w:val="0"/>
              <w:snapToGrid w:val="0"/>
              <w:spacing w:line="360" w:lineRule="auto"/>
              <w:ind w:firstLine="480" w:firstLineChars="200"/>
              <w:rPr>
                <w:sz w:val="24"/>
              </w:rPr>
            </w:pPr>
            <w:r>
              <w:rPr>
                <w:sz w:val="24"/>
              </w:rPr>
              <w:t>A、采用专用车辆直接从企业将危险废物运送至处理处置单位厂内，运输过程严格遵守《中华人民共和国固体废物污染环境防治法》、《危险废物收集、贮存、运输技术规范》（HJ2025-2012）等相关规定。</w:t>
            </w:r>
          </w:p>
          <w:p w14:paraId="6F29EBD2">
            <w:pPr>
              <w:adjustRightInd w:val="0"/>
              <w:snapToGrid w:val="0"/>
              <w:spacing w:line="360" w:lineRule="auto"/>
              <w:ind w:firstLine="480" w:firstLineChars="200"/>
              <w:rPr>
                <w:sz w:val="24"/>
              </w:rPr>
            </w:pPr>
            <w:r>
              <w:rPr>
                <w:sz w:val="24"/>
              </w:rPr>
              <w:t>B、运输途中不设中转站临时贮存，避免危险废物在中转站卸载和装载时发生二次污染的风险，及时由危险废物的产生地直接运送到处理处置单位厂内。</w:t>
            </w:r>
          </w:p>
          <w:p w14:paraId="3648BCD1">
            <w:pPr>
              <w:adjustRightInd w:val="0"/>
              <w:snapToGrid w:val="0"/>
              <w:spacing w:line="360" w:lineRule="auto"/>
              <w:ind w:firstLine="480" w:firstLineChars="200"/>
              <w:rPr>
                <w:sz w:val="24"/>
              </w:rPr>
            </w:pPr>
            <w:r>
              <w:rPr>
                <w:sz w:val="24"/>
              </w:rPr>
              <w:t>C、危险废物运输车辆必须在车辆前部和后部、车厢两侧设置专用警示标识。</w:t>
            </w:r>
          </w:p>
          <w:p w14:paraId="1F807C90">
            <w:pPr>
              <w:adjustRightInd w:val="0"/>
              <w:snapToGrid w:val="0"/>
              <w:spacing w:line="360" w:lineRule="auto"/>
              <w:ind w:firstLine="480" w:firstLineChars="200"/>
              <w:rPr>
                <w:sz w:val="24"/>
              </w:rPr>
            </w:pPr>
            <w:r>
              <w:rPr>
                <w:sz w:val="24"/>
              </w:rPr>
              <w:t>D、应当根据危险废物总体处置方案，配备足够数量的运输车辆，合理地备用应急车辆。</w:t>
            </w:r>
          </w:p>
          <w:p w14:paraId="1F37639A">
            <w:pPr>
              <w:adjustRightInd w:val="0"/>
              <w:snapToGrid w:val="0"/>
              <w:spacing w:line="360" w:lineRule="auto"/>
              <w:ind w:firstLine="480" w:firstLineChars="200"/>
              <w:rPr>
                <w:sz w:val="24"/>
              </w:rPr>
            </w:pPr>
            <w:r>
              <w:rPr>
                <w:sz w:val="24"/>
              </w:rPr>
              <w:t>E、每辆运输车应制定负责人，对危险废物运输过程负责，从事危险废物运输的司机等人员应经过合格的培训并通过考核。</w:t>
            </w:r>
          </w:p>
          <w:p w14:paraId="2AF4C2C5">
            <w:pPr>
              <w:adjustRightInd w:val="0"/>
              <w:snapToGrid w:val="0"/>
              <w:spacing w:line="360" w:lineRule="auto"/>
              <w:ind w:firstLine="480" w:firstLineChars="200"/>
              <w:rPr>
                <w:sz w:val="24"/>
              </w:rPr>
            </w:pPr>
            <w:r>
              <w:rPr>
                <w:sz w:val="24"/>
              </w:rPr>
              <w:t>F、在运输前应事先作出周密的运输计划，安排好运输车辆经过各路段的时间，尽量避免运输车辆在交通高峰期间通过市区。</w:t>
            </w:r>
          </w:p>
          <w:p w14:paraId="0AE0BF69">
            <w:pPr>
              <w:adjustRightInd w:val="0"/>
              <w:snapToGrid w:val="0"/>
              <w:spacing w:line="360" w:lineRule="auto"/>
              <w:ind w:firstLine="480" w:firstLineChars="200"/>
              <w:rPr>
                <w:sz w:val="24"/>
              </w:rPr>
            </w:pPr>
            <w:r>
              <w:rPr>
                <w:sz w:val="24"/>
              </w:rPr>
              <w:t>G、危险废物运输者应制定事故应急和防止运输过程中发生泄漏、丢失、扬散的保障措施和配备必要的设备，在危险废物发生泄漏时可以及时将危险废物收集，减少散失。</w:t>
            </w:r>
          </w:p>
          <w:p w14:paraId="6B1BC954">
            <w:pPr>
              <w:adjustRightInd w:val="0"/>
              <w:snapToGrid w:val="0"/>
              <w:spacing w:line="360" w:lineRule="auto"/>
              <w:ind w:firstLine="480" w:firstLineChars="200"/>
              <w:rPr>
                <w:sz w:val="24"/>
              </w:rPr>
            </w:pPr>
            <w:r>
              <w:rPr>
                <w:sz w:val="24"/>
              </w:rPr>
              <w:t>H、运输车辆在每次运输前都必须对每辆运输车辆的车况进行检查，确保车况良好后方可出车，运输车辆负责人应对每辆运输车必须配备的辅助物品进行检查，确保完备，定期对运输车辆进行全面检查，减少和防止危险废物发生泄漏和交通事故的发生。</w:t>
            </w:r>
          </w:p>
          <w:p w14:paraId="24077F79">
            <w:pPr>
              <w:adjustRightInd w:val="0"/>
              <w:snapToGrid w:val="0"/>
              <w:spacing w:line="360" w:lineRule="auto"/>
              <w:ind w:firstLine="480" w:firstLineChars="200"/>
              <w:rPr>
                <w:sz w:val="24"/>
              </w:rPr>
            </w:pPr>
            <w:r>
              <w:rPr>
                <w:sz w:val="24"/>
              </w:rPr>
              <w:t>I、禁止混合运输性质不相容而未经安全性处置的危险废物，运输车辆不得搭乘其他无关人员。</w:t>
            </w:r>
          </w:p>
          <w:p w14:paraId="4EB2046C">
            <w:pPr>
              <w:adjustRightInd w:val="0"/>
              <w:snapToGrid w:val="0"/>
              <w:spacing w:line="360" w:lineRule="auto"/>
              <w:ind w:firstLine="480" w:firstLineChars="200"/>
              <w:rPr>
                <w:sz w:val="24"/>
              </w:rPr>
            </w:pPr>
            <w:r>
              <w:rPr>
                <w:sz w:val="24"/>
              </w:rPr>
              <w:t>J、车辆行驶时应锁闭车厢门，确保安全，不得丢失、遗撒和打开包装取出危险废物。</w:t>
            </w:r>
          </w:p>
          <w:p w14:paraId="1E60774E">
            <w:pPr>
              <w:adjustRightInd w:val="0"/>
              <w:snapToGrid w:val="0"/>
              <w:spacing w:line="360" w:lineRule="auto"/>
              <w:ind w:firstLine="480" w:firstLineChars="200"/>
              <w:rPr>
                <w:sz w:val="24"/>
              </w:rPr>
            </w:pPr>
            <w:r>
              <w:rPr>
                <w:sz w:val="24"/>
              </w:rPr>
              <w:t>K、合理安排运输频次，在气象条件不好的天气，不能运输危险废物，可先贮藏，等天气好转时再进行运输，小雨天可运输，但应小心驾驶并加强安全措施。</w:t>
            </w:r>
          </w:p>
          <w:p w14:paraId="75CDBD88">
            <w:pPr>
              <w:adjustRightInd w:val="0"/>
              <w:snapToGrid w:val="0"/>
              <w:spacing w:line="360" w:lineRule="auto"/>
              <w:ind w:firstLine="480" w:firstLineChars="200"/>
              <w:rPr>
                <w:sz w:val="24"/>
              </w:rPr>
            </w:pPr>
            <w:r>
              <w:rPr>
                <w:sz w:val="24"/>
              </w:rPr>
              <w:t>L、运输车辆应该限速行驶，避免交通事故的发生，在不好的路段及沿线有敏感水体的区域应小心驾驶，防止发生事故或泄露性事故而污染水体。</w:t>
            </w:r>
          </w:p>
          <w:p w14:paraId="70ECEE35">
            <w:pPr>
              <w:adjustRightInd w:val="0"/>
              <w:snapToGrid w:val="0"/>
              <w:spacing w:line="360" w:lineRule="auto"/>
              <w:ind w:firstLine="480" w:firstLineChars="200"/>
              <w:rPr>
                <w:sz w:val="24"/>
              </w:rPr>
            </w:pPr>
            <w:r>
              <w:rPr>
                <w:sz w:val="24"/>
              </w:rPr>
              <w:t>M、危险废物运输者在转移过程中发生意外事故，应立即向当地环境保护主管部门和交通管理部门报告，并采取相应措施，防止环境污染事故扩大。</w:t>
            </w:r>
          </w:p>
          <w:p w14:paraId="34EC48DF">
            <w:pPr>
              <w:adjustRightInd w:val="0"/>
              <w:snapToGrid w:val="0"/>
              <w:spacing w:line="360" w:lineRule="auto"/>
              <w:ind w:firstLine="480" w:firstLineChars="200"/>
              <w:rPr>
                <w:sz w:val="24"/>
              </w:rPr>
            </w:pPr>
            <w:r>
              <w:rPr>
                <w:sz w:val="24"/>
              </w:rPr>
              <w:t>N、应制定事故应急计划，在事故发生时及发生后做好相应的环境保护措施。应急计划包括：应急组织及其职责，及市、县环境保护主管部门和交通管理部门，应按区设立区域应急中心，应急设施、设备与器材；应急通讯联络，运输路线经过区环境保护主管部门和交通管理部门的联络方式；应急措施，事故后果评价；应急监测；应急安全、保卫、应急救援等。</w:t>
            </w:r>
          </w:p>
          <w:p w14:paraId="67B473AB">
            <w:pPr>
              <w:adjustRightInd w:val="0"/>
              <w:snapToGrid w:val="0"/>
              <w:spacing w:line="360" w:lineRule="auto"/>
              <w:ind w:firstLine="480" w:firstLineChars="200"/>
              <w:rPr>
                <w:sz w:val="24"/>
              </w:rPr>
            </w:pPr>
            <w:r>
              <w:rPr>
                <w:sz w:val="24"/>
              </w:rPr>
              <w:t>通过上述分析可知，项目危险废物运输过程中在严格做好相应的防范措施后，对环境的影响较小。</w:t>
            </w:r>
          </w:p>
          <w:p w14:paraId="6AC4A23E">
            <w:pPr>
              <w:adjustRightInd w:val="0"/>
              <w:snapToGrid w:val="0"/>
              <w:spacing w:line="360" w:lineRule="auto"/>
              <w:ind w:firstLine="480" w:firstLineChars="200"/>
              <w:rPr>
                <w:sz w:val="24"/>
              </w:rPr>
            </w:pPr>
            <w:r>
              <w:rPr>
                <w:rFonts w:hint="eastAsia" w:ascii="宋体" w:hAnsi="宋体" w:cs="宋体"/>
                <w:sz w:val="24"/>
              </w:rPr>
              <w:t>④</w:t>
            </w:r>
            <w:r>
              <w:rPr>
                <w:sz w:val="24"/>
              </w:rPr>
              <w:t>项目固废处理处置的影响分析</w:t>
            </w:r>
          </w:p>
          <w:p w14:paraId="149108EE">
            <w:pPr>
              <w:adjustRightInd w:val="0"/>
              <w:snapToGrid w:val="0"/>
              <w:spacing w:line="360" w:lineRule="auto"/>
              <w:ind w:firstLine="480" w:firstLineChars="200"/>
              <w:rPr>
                <w:sz w:val="24"/>
              </w:rPr>
            </w:pPr>
            <w:r>
              <w:rPr>
                <w:sz w:val="24"/>
              </w:rPr>
              <w:t>固体废物进行了分类收集、贮存，防止危险废物与生活垃圾混放后引发危险废物的二次污染，减轻了对环境的影响。</w:t>
            </w:r>
          </w:p>
          <w:p w14:paraId="1B10553A">
            <w:pPr>
              <w:adjustRightInd w:val="0"/>
              <w:snapToGrid w:val="0"/>
              <w:spacing w:line="360" w:lineRule="auto"/>
              <w:ind w:firstLine="480" w:firstLineChars="200"/>
              <w:rPr>
                <w:sz w:val="24"/>
              </w:rPr>
            </w:pPr>
            <w:r>
              <w:rPr>
                <w:sz w:val="24"/>
              </w:rPr>
              <w:t>同时对固体废物在厂内的堆放区采取了相应的防护措施，所有危险废物能妥善在厂区内存放，不会对土壤、地下水等造成影响。</w:t>
            </w:r>
          </w:p>
          <w:p w14:paraId="5CA23F7A">
            <w:pPr>
              <w:adjustRightInd w:val="0"/>
              <w:snapToGrid w:val="0"/>
              <w:spacing w:line="360" w:lineRule="auto"/>
              <w:ind w:firstLine="480" w:firstLineChars="200"/>
              <w:rPr>
                <w:sz w:val="24"/>
              </w:rPr>
            </w:pPr>
            <w:r>
              <w:rPr>
                <w:sz w:val="24"/>
              </w:rPr>
              <w:t>企业将危废委托有资质单位进行处置，生活垃圾委托环卫部门清运处理。</w:t>
            </w:r>
          </w:p>
          <w:p w14:paraId="576A0801">
            <w:pPr>
              <w:adjustRightInd w:val="0"/>
              <w:snapToGrid w:val="0"/>
              <w:spacing w:line="360" w:lineRule="auto"/>
              <w:ind w:firstLine="480" w:firstLineChars="200"/>
              <w:rPr>
                <w:sz w:val="24"/>
              </w:rPr>
            </w:pPr>
            <w:r>
              <w:rPr>
                <w:sz w:val="24"/>
              </w:rPr>
              <w:t>危废的转移和运输均交由具备有资质的危险固废运输单位和处置单位执行，运输单位对运输路线进行规划，尽量避开人口密集区域、水源保护以及交通拥堵道路等区域，不得超载，并配有押运员，以防止在运输过程中发生散落、泄露以及因交通事故造成的污染事件。接受处置单位对到厂的危废须按规定进行存放、处置，并做到达标排放。在做好安全运输、合法处置，达标排放的情况下，危废的运输和转移过程中不会对环境造成严重污染。</w:t>
            </w:r>
          </w:p>
          <w:p w14:paraId="19C202A8">
            <w:pPr>
              <w:adjustRightInd w:val="0"/>
              <w:snapToGrid w:val="0"/>
              <w:spacing w:line="360" w:lineRule="auto"/>
              <w:ind w:firstLine="480" w:firstLineChars="200"/>
              <w:rPr>
                <w:sz w:val="24"/>
              </w:rPr>
            </w:pPr>
            <w:r>
              <w:rPr>
                <w:sz w:val="24"/>
              </w:rPr>
              <w:t>综上所述，企业需按照上述要求，采取相应的防护措施，所有措施实施后可知后对环境的影响较小。</w:t>
            </w:r>
          </w:p>
          <w:p w14:paraId="4D7996AC">
            <w:pPr>
              <w:pStyle w:val="12"/>
            </w:pPr>
          </w:p>
          <w:p w14:paraId="54852BF9">
            <w:pPr>
              <w:adjustRightInd w:val="0"/>
              <w:snapToGrid w:val="0"/>
              <w:spacing w:line="360" w:lineRule="auto"/>
              <w:rPr>
                <w:b/>
                <w:bCs/>
                <w:sz w:val="24"/>
              </w:rPr>
            </w:pPr>
            <w:r>
              <w:rPr>
                <w:b/>
                <w:bCs/>
                <w:sz w:val="24"/>
              </w:rPr>
              <w:t>五、地下水环境</w:t>
            </w:r>
          </w:p>
          <w:p w14:paraId="51ADCFDE">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本项目采取分区防治措施，将厂区内按各功能单元所处位置划分为重点防渗区和一般防渗区。</w:t>
            </w:r>
          </w:p>
          <w:p w14:paraId="3FC090EC">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环评要求厂内做以下设计：</w:t>
            </w:r>
          </w:p>
          <w:p w14:paraId="59848673">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（1）重点防渗</w:t>
            </w:r>
          </w:p>
          <w:p w14:paraId="4C26C603">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重点防渗区为危废暂存间，防渗层为至少1m厚黏土层（渗透系数≤10</w:t>
            </w:r>
            <w:r>
              <w:rPr>
                <w:color w:val="000000" w:themeColor="text1"/>
                <w:sz w:val="24"/>
                <w:vertAlign w:val="superscript"/>
                <w14:textFill>
                  <w14:solidFill>
                    <w14:schemeClr w14:val="tx1"/>
                  </w14:solidFill>
                </w14:textFill>
              </w:rPr>
              <w:t>-7</w:t>
            </w:r>
            <w:r>
              <w:rPr>
                <w:color w:val="000000" w:themeColor="text1"/>
                <w:sz w:val="24"/>
                <w14:textFill>
                  <w14:solidFill>
                    <w14:schemeClr w14:val="tx1"/>
                  </w14:solidFill>
                </w14:textFill>
              </w:rPr>
              <w:t>cm/s，或2mm厚高密度聚乙烯，或至少2mm厚其他人工材料，渗透系数≤10</w:t>
            </w:r>
            <w:r>
              <w:rPr>
                <w:color w:val="000000" w:themeColor="text1"/>
                <w:sz w:val="24"/>
                <w:vertAlign w:val="superscript"/>
                <w14:textFill>
                  <w14:solidFill>
                    <w14:schemeClr w14:val="tx1"/>
                  </w14:solidFill>
                </w14:textFill>
              </w:rPr>
              <w:t>-10</w:t>
            </w:r>
            <w:r>
              <w:rPr>
                <w:color w:val="000000" w:themeColor="text1"/>
                <w:sz w:val="24"/>
                <w14:textFill>
                  <w14:solidFill>
                    <w14:schemeClr w14:val="tx1"/>
                  </w14:solidFill>
                </w14:textFill>
              </w:rPr>
              <w:t>cm/s），使用C30抗渗砼浇注（20cm厚），抗渗等级为S6，防渗层渗透系数≤10</w:t>
            </w:r>
            <w:r>
              <w:rPr>
                <w:color w:val="000000" w:themeColor="text1"/>
                <w:sz w:val="24"/>
                <w:vertAlign w:val="superscript"/>
                <w14:textFill>
                  <w14:solidFill>
                    <w14:schemeClr w14:val="tx1"/>
                  </w14:solidFill>
                </w14:textFill>
              </w:rPr>
              <w:t>-7</w:t>
            </w:r>
            <w:r>
              <w:rPr>
                <w:color w:val="000000" w:themeColor="text1"/>
                <w:sz w:val="24"/>
                <w14:textFill>
                  <w14:solidFill>
                    <w14:schemeClr w14:val="tx1"/>
                  </w14:solidFill>
                </w14:textFill>
              </w:rPr>
              <w:t>cm/s，防水等级为二级，水池内壁用20mm厚水玻璃砂浆粉刷，并使用K11防水涂料罩面，全池涂环氧树脂防腐防渗，防渗材料采用环氧树脂（渗透系数≤10</w:t>
            </w:r>
            <w:r>
              <w:rPr>
                <w:color w:val="000000" w:themeColor="text1"/>
                <w:sz w:val="24"/>
                <w:vertAlign w:val="superscript"/>
                <w14:textFill>
                  <w14:solidFill>
                    <w14:schemeClr w14:val="tx1"/>
                  </w14:solidFill>
                </w14:textFill>
              </w:rPr>
              <w:t>-10</w:t>
            </w:r>
            <w:r>
              <w:rPr>
                <w:color w:val="000000" w:themeColor="text1"/>
                <w:sz w:val="24"/>
                <w14:textFill>
                  <w14:solidFill>
                    <w14:schemeClr w14:val="tx1"/>
                  </w14:solidFill>
                </w14:textFill>
              </w:rPr>
              <w:t>cm/s﹚。粘土材料的渗透系数≤10</w:t>
            </w:r>
            <w:r>
              <w:rPr>
                <w:color w:val="000000" w:themeColor="text1"/>
                <w:sz w:val="24"/>
                <w:vertAlign w:val="superscript"/>
                <w14:textFill>
                  <w14:solidFill>
                    <w14:schemeClr w14:val="tx1"/>
                  </w14:solidFill>
                </w14:textFill>
              </w:rPr>
              <w:t>-7</w:t>
            </w:r>
            <w:r>
              <w:rPr>
                <w:color w:val="000000" w:themeColor="text1"/>
                <w:sz w:val="24"/>
                <w14:textFill>
                  <w14:solidFill>
                    <w14:schemeClr w14:val="tx1"/>
                  </w14:solidFill>
                </w14:textFill>
              </w:rPr>
              <w:t>cm/s，在无法满足100cm厚粘土基础垫层的情况下，可采用30cm厚普通粘土垫层，并加铺2mm厚高密度聚乙烯，或至少2mm厚的其它人工防渗材料，渗透系数≤10</w:t>
            </w:r>
            <w:r>
              <w:rPr>
                <w:color w:val="000000" w:themeColor="text1"/>
                <w:sz w:val="24"/>
                <w:vertAlign w:val="superscript"/>
                <w14:textFill>
                  <w14:solidFill>
                    <w14:schemeClr w14:val="tx1"/>
                  </w14:solidFill>
                </w14:textFill>
              </w:rPr>
              <w:t>-10</w:t>
            </w:r>
            <w:r>
              <w:rPr>
                <w:color w:val="000000" w:themeColor="text1"/>
                <w:sz w:val="24"/>
                <w14:textFill>
                  <w14:solidFill>
                    <w14:schemeClr w14:val="tx1"/>
                  </w14:solidFill>
                </w14:textFill>
              </w:rPr>
              <w:t>cm/s。</w:t>
            </w:r>
          </w:p>
          <w:p w14:paraId="068751F0">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（2）一般防渗</w:t>
            </w:r>
          </w:p>
          <w:p w14:paraId="105F066F">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一般污染区域主要是除重点防渗区外的其余部分地面，包括一般原料库、成品库、一般固废暂存场所等，采用抗渗等级不低于P1级的抗渗混凝土（渗透系数约0.4×10</w:t>
            </w:r>
            <w:r>
              <w:rPr>
                <w:color w:val="000000" w:themeColor="text1"/>
                <w:sz w:val="24"/>
                <w:vertAlign w:val="superscript"/>
                <w14:textFill>
                  <w14:solidFill>
                    <w14:schemeClr w14:val="tx1"/>
                  </w14:solidFill>
                </w14:textFill>
              </w:rPr>
              <w:t>-7</w:t>
            </w:r>
            <w:r>
              <w:rPr>
                <w:color w:val="000000" w:themeColor="text1"/>
                <w:sz w:val="24"/>
                <w14:textFill>
                  <w14:solidFill>
                    <w14:schemeClr w14:val="tx1"/>
                  </w14:solidFill>
                </w14:textFill>
              </w:rPr>
              <w:t>cm/s，厚度不低于2</w:t>
            </w:r>
            <w:r>
              <w:rPr>
                <w:color w:val="000000" w:themeColor="text1"/>
                <w:sz w:val="24"/>
                <w:szCs w:val="32"/>
                <w14:textFill>
                  <w14:solidFill>
                    <w14:schemeClr w14:val="tx1"/>
                  </w14:solidFill>
                </w14:textFill>
              </w:rPr>
              <w:t>0cm硬化地面。</w:t>
            </w:r>
            <w:r>
              <w:rPr>
                <w:color w:val="000000" w:themeColor="text1"/>
                <w:sz w:val="24"/>
                <w14:textFill>
                  <w14:solidFill>
                    <w14:schemeClr w14:val="tx1"/>
                  </w14:solidFill>
                </w14:textFill>
              </w:rPr>
              <w:t>通过上述措施可使一般污染区各单元防渗层渗透系数≤10</w:t>
            </w:r>
            <w:r>
              <w:rPr>
                <w:color w:val="000000" w:themeColor="text1"/>
                <w:sz w:val="24"/>
                <w:vertAlign w:val="superscript"/>
                <w14:textFill>
                  <w14:solidFill>
                    <w14:schemeClr w14:val="tx1"/>
                  </w14:solidFill>
                </w14:textFill>
              </w:rPr>
              <w:t>-7</w:t>
            </w:r>
            <w:r>
              <w:rPr>
                <w:color w:val="000000" w:themeColor="text1"/>
                <w:sz w:val="24"/>
                <w14:textFill>
                  <w14:solidFill>
                    <w14:schemeClr w14:val="tx1"/>
                  </w14:solidFill>
                </w14:textFill>
              </w:rPr>
              <w:t>cm/s。</w:t>
            </w:r>
          </w:p>
          <w:p w14:paraId="2886842D">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经采取以上措施后，可以有效避免对土壤、地下水造成污染。根据工程分析提供的厂内可能泄漏物质种类，依据《国家危险废物名录》（202</w:t>
            </w:r>
            <w:r>
              <w:rPr>
                <w:rFonts w:hint="eastAsia"/>
                <w:color w:val="000000" w:themeColor="text1"/>
                <w:sz w:val="24"/>
                <w:lang w:val="en-US" w:eastAsia="zh-CN"/>
                <w14:textFill>
                  <w14:solidFill>
                    <w14:schemeClr w14:val="tx1"/>
                  </w14:solidFill>
                </w14:textFill>
              </w:rPr>
              <w:t>5</w:t>
            </w:r>
            <w:r>
              <w:rPr>
                <w:color w:val="000000" w:themeColor="text1"/>
                <w:sz w:val="24"/>
                <w14:textFill>
                  <w14:solidFill>
                    <w14:schemeClr w14:val="tx1"/>
                  </w14:solidFill>
                </w14:textFill>
              </w:rPr>
              <w:t>）、《危险废物鉴别标准》（GB5085.1～7）和《石油化工企业防渗设计通则》的规定，确定项目完成后污染防治分区情况详见下表：</w:t>
            </w:r>
          </w:p>
          <w:p w14:paraId="4B89807F">
            <w:pPr>
              <w:pStyle w:val="52"/>
              <w:numPr>
                <w:ilvl w:val="0"/>
                <w:numId w:val="0"/>
              </w:numPr>
              <w:spacing w:line="360" w:lineRule="auto"/>
              <w:ind w:left="420" w:leftChars="0" w:hanging="132" w:firstLineChars="0"/>
              <w:rPr>
                <w:rFonts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kern w:val="0"/>
                <w:sz w:val="21"/>
                <w:szCs w:val="21"/>
                <w:lang w:val="en-US" w:eastAsia="zh-CN" w:bidi="ar-SA"/>
                <w14:textFill>
                  <w14:solidFill>
                    <w14:schemeClr w14:val="tx1"/>
                  </w14:solidFill>
                </w14:textFill>
              </w:rPr>
              <w:t>表4-</w:t>
            </w:r>
            <w:r>
              <w:rPr>
                <w:rFonts w:hint="eastAsia" w:cs="Times New Roman"/>
                <w:b/>
                <w:color w:val="000000" w:themeColor="text1"/>
                <w:kern w:val="0"/>
                <w:sz w:val="21"/>
                <w:szCs w:val="21"/>
                <w:lang w:val="en-US" w:eastAsia="zh-CN" w:bidi="ar-SA"/>
                <w14:textFill>
                  <w14:solidFill>
                    <w14:schemeClr w14:val="tx1"/>
                  </w14:solidFill>
                </w14:textFill>
              </w:rPr>
              <w:t>12</w:t>
            </w:r>
            <w:r>
              <w:rPr>
                <w:rFonts w:cs="Times New Roman"/>
                <w:color w:val="000000" w:themeColor="text1"/>
                <w14:textFill>
                  <w14:solidFill>
                    <w14:schemeClr w14:val="tx1"/>
                  </w14:solidFill>
                </w14:textFill>
              </w:rPr>
              <w:t>土壤、地下水污染防治分区情况表</w:t>
            </w:r>
          </w:p>
          <w:tbl>
            <w:tblPr>
              <w:tblStyle w:val="75"/>
              <w:tblW w:w="49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05"/>
              <w:gridCol w:w="1572"/>
              <w:gridCol w:w="6275"/>
            </w:tblGrid>
            <w:tr w14:paraId="3706B4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14:paraId="75137348">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名称</w:t>
                  </w:r>
                </w:p>
              </w:tc>
              <w:tc>
                <w:tcPr>
                  <w:tcW w:w="0" w:type="auto"/>
                  <w:vAlign w:val="center"/>
                </w:tcPr>
                <w:p w14:paraId="063A879F">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范围</w:t>
                  </w:r>
                </w:p>
              </w:tc>
              <w:tc>
                <w:tcPr>
                  <w:tcW w:w="0" w:type="auto"/>
                  <w:vAlign w:val="center"/>
                </w:tcPr>
                <w:p w14:paraId="0E7198FC">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防渗结构要求</w:t>
                  </w:r>
                </w:p>
              </w:tc>
            </w:tr>
            <w:tr w14:paraId="7A4EA9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14:paraId="173BA1EE">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重点防渗区</w:t>
                  </w:r>
                </w:p>
              </w:tc>
              <w:tc>
                <w:tcPr>
                  <w:tcW w:w="0" w:type="auto"/>
                  <w:vAlign w:val="center"/>
                </w:tcPr>
                <w:p w14:paraId="65BFF10A">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危废暂存间</w:t>
                  </w:r>
                </w:p>
              </w:tc>
              <w:tc>
                <w:tcPr>
                  <w:tcW w:w="0" w:type="auto"/>
                  <w:vAlign w:val="center"/>
                </w:tcPr>
                <w:p w14:paraId="0F8EF4B6">
                  <w:pPr>
                    <w:jc w:val="center"/>
                    <w:rPr>
                      <w:rFonts w:hint="default" w:ascii="Times New Roman" w:hAnsi="Times New Roman" w:eastAsia="宋体"/>
                      <w:color w:val="000000" w:themeColor="text1"/>
                      <w:sz w:val="18"/>
                      <w:szCs w:val="18"/>
                      <w:lang w:val="en-US" w:eastAsia="zh-CN"/>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使用C30抗渗砼浇注（20cm厚），抗渗等级为S6，防水等级为二级，内壁用20mm厚水玻璃砂浆粉刷，并使用K11防水涂料罩面，全涂环氧树脂防腐防渗，防渗材料采用环氧树脂渗透系数≤1.0×10</w:t>
                  </w:r>
                  <w:r>
                    <w:rPr>
                      <w:rFonts w:ascii="Times New Roman" w:hAnsi="Times New Roman"/>
                      <w:color w:val="000000" w:themeColor="text1"/>
                      <w:sz w:val="18"/>
                      <w:szCs w:val="18"/>
                      <w:vertAlign w:val="superscript"/>
                      <w14:textFill>
                        <w14:solidFill>
                          <w14:schemeClr w14:val="tx1"/>
                        </w14:solidFill>
                      </w14:textFill>
                    </w:rPr>
                    <w:t>-10</w:t>
                  </w:r>
                  <w:r>
                    <w:rPr>
                      <w:rFonts w:ascii="Times New Roman" w:hAnsi="Times New Roman"/>
                      <w:color w:val="000000" w:themeColor="text1"/>
                      <w:sz w:val="18"/>
                      <w:szCs w:val="18"/>
                      <w14:textFill>
                        <w14:solidFill>
                          <w14:schemeClr w14:val="tx1"/>
                        </w14:solidFill>
                      </w14:textFill>
                    </w:rPr>
                    <w:t>cm/s</w:t>
                  </w:r>
                  <w:r>
                    <w:rPr>
                      <w:rFonts w:hint="eastAsia"/>
                      <w:color w:val="000000" w:themeColor="text1"/>
                      <w:sz w:val="18"/>
                      <w:szCs w:val="18"/>
                      <w:lang w:eastAsia="zh-CN"/>
                      <w14:textFill>
                        <w14:solidFill>
                          <w14:schemeClr w14:val="tx1"/>
                        </w14:solidFill>
                      </w14:textFill>
                    </w:rPr>
                    <w:t>，</w:t>
                  </w:r>
                  <w:r>
                    <w:rPr>
                      <w:rFonts w:hint="eastAsia"/>
                      <w:color w:val="000000" w:themeColor="text1"/>
                      <w:sz w:val="18"/>
                      <w:szCs w:val="18"/>
                      <w:lang w:val="en-US" w:eastAsia="zh-CN"/>
                      <w14:textFill>
                        <w14:solidFill>
                          <w14:schemeClr w14:val="tx1"/>
                        </w14:solidFill>
                      </w14:textFill>
                    </w:rPr>
                    <w:t>或其他等效措施。</w:t>
                  </w:r>
                </w:p>
              </w:tc>
            </w:tr>
            <w:tr w14:paraId="3F5241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14:paraId="36B86E1B">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一般防渗区</w:t>
                  </w:r>
                </w:p>
              </w:tc>
              <w:tc>
                <w:tcPr>
                  <w:tcW w:w="0" w:type="auto"/>
                  <w:vAlign w:val="center"/>
                </w:tcPr>
                <w:p w14:paraId="5C64CA90">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一般固废暂存场所、生产车间、办公楼其他区域</w:t>
                  </w:r>
                </w:p>
              </w:tc>
              <w:tc>
                <w:tcPr>
                  <w:tcW w:w="0" w:type="auto"/>
                  <w:vAlign w:val="center"/>
                </w:tcPr>
                <w:p w14:paraId="21BBDE77">
                  <w:pPr>
                    <w:jc w:val="center"/>
                    <w:rPr>
                      <w:rFonts w:hint="default" w:ascii="Times New Roman" w:hAnsi="Times New Roman" w:eastAsia="宋体"/>
                      <w:color w:val="000000" w:themeColor="text1"/>
                      <w:sz w:val="18"/>
                      <w:szCs w:val="18"/>
                      <w:lang w:val="en-US" w:eastAsia="zh-CN"/>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地面采取粘土铺底，再在上层铺10~15cm的水泥进行硬化，渗透系数≤1.0×10</w:t>
                  </w:r>
                  <w:r>
                    <w:rPr>
                      <w:rFonts w:ascii="Times New Roman" w:hAnsi="Times New Roman"/>
                      <w:color w:val="000000" w:themeColor="text1"/>
                      <w:sz w:val="18"/>
                      <w:szCs w:val="18"/>
                      <w:vertAlign w:val="superscript"/>
                      <w14:textFill>
                        <w14:solidFill>
                          <w14:schemeClr w14:val="tx1"/>
                        </w14:solidFill>
                      </w14:textFill>
                    </w:rPr>
                    <w:t>-7</w:t>
                  </w:r>
                  <w:r>
                    <w:rPr>
                      <w:rFonts w:ascii="Times New Roman" w:hAnsi="Times New Roman"/>
                      <w:color w:val="000000" w:themeColor="text1"/>
                      <w:sz w:val="18"/>
                      <w:szCs w:val="18"/>
                      <w14:textFill>
                        <w14:solidFill>
                          <w14:schemeClr w14:val="tx1"/>
                        </w14:solidFill>
                      </w14:textFill>
                    </w:rPr>
                    <w:t>cm/s</w:t>
                  </w:r>
                  <w:r>
                    <w:rPr>
                      <w:rFonts w:hint="eastAsia"/>
                      <w:color w:val="000000" w:themeColor="text1"/>
                      <w:sz w:val="18"/>
                      <w:szCs w:val="18"/>
                      <w:lang w:eastAsia="zh-CN"/>
                      <w14:textFill>
                        <w14:solidFill>
                          <w14:schemeClr w14:val="tx1"/>
                        </w14:solidFill>
                      </w14:textFill>
                    </w:rPr>
                    <w:t>，</w:t>
                  </w:r>
                  <w:r>
                    <w:rPr>
                      <w:rFonts w:hint="eastAsia"/>
                      <w:color w:val="000000" w:themeColor="text1"/>
                      <w:sz w:val="18"/>
                      <w:szCs w:val="18"/>
                      <w:lang w:val="en-US" w:eastAsia="zh-CN"/>
                      <w14:textFill>
                        <w14:solidFill>
                          <w14:schemeClr w14:val="tx1"/>
                        </w14:solidFill>
                      </w14:textFill>
                    </w:rPr>
                    <w:t>或其他的等效措施。</w:t>
                  </w:r>
                </w:p>
              </w:tc>
            </w:tr>
          </w:tbl>
          <w:p w14:paraId="5199C79C">
            <w:pPr>
              <w:pStyle w:val="2"/>
              <w:snapToGrid w:val="0"/>
              <w:spacing w:line="360" w:lineRule="auto"/>
              <w:ind w:firstLine="480" w:firstLineChars="200"/>
              <w:rPr>
                <w:color w:val="000000" w:themeColor="text1"/>
                <w:kern w:val="0"/>
                <w:lang w:bidi="ar"/>
                <w14:textFill>
                  <w14:solidFill>
                    <w14:schemeClr w14:val="tx1"/>
                  </w14:solidFill>
                </w14:textFill>
              </w:rPr>
            </w:pPr>
            <w:r>
              <w:rPr>
                <w:color w:val="000000" w:themeColor="text1"/>
                <w14:textFill>
                  <w14:solidFill>
                    <w14:schemeClr w14:val="tx1"/>
                  </w14:solidFill>
                </w14:textFill>
              </w:rPr>
              <w:t>经采取以上措施后，可以有效避免对土壤、地下水造成污染</w:t>
            </w:r>
            <w:r>
              <w:rPr>
                <w:color w:val="000000" w:themeColor="text1"/>
                <w:kern w:val="0"/>
                <w:lang w:bidi="ar"/>
                <w14:textFill>
                  <w14:solidFill>
                    <w14:schemeClr w14:val="tx1"/>
                  </w14:solidFill>
                </w14:textFill>
              </w:rPr>
              <w:t>。</w:t>
            </w:r>
          </w:p>
          <w:p w14:paraId="138B9B18">
            <w:pPr>
              <w:rPr>
                <w:lang w:bidi="ar"/>
              </w:rPr>
            </w:pPr>
          </w:p>
          <w:p w14:paraId="6DC99F03">
            <w:pPr>
              <w:adjustRightInd w:val="0"/>
              <w:snapToGrid w:val="0"/>
              <w:spacing w:line="360" w:lineRule="auto"/>
              <w:rPr>
                <w:b/>
                <w:bCs/>
                <w:sz w:val="24"/>
              </w:rPr>
            </w:pPr>
            <w:r>
              <w:rPr>
                <w:b/>
                <w:bCs/>
                <w:sz w:val="24"/>
              </w:rPr>
              <w:t>六、土壤环境</w:t>
            </w:r>
          </w:p>
          <w:p w14:paraId="6AE6383D">
            <w:pPr>
              <w:spacing w:line="360" w:lineRule="auto"/>
              <w:ind w:firstLine="480" w:firstLineChars="200"/>
              <w:rPr>
                <w:sz w:val="24"/>
              </w:rPr>
            </w:pPr>
            <w:r>
              <w:rPr>
                <w:rFonts w:hint="eastAsia" w:ascii="宋体" w:hAnsi="宋体" w:cs="宋体"/>
                <w:sz w:val="24"/>
              </w:rPr>
              <w:t>①</w:t>
            </w:r>
            <w:r>
              <w:rPr>
                <w:sz w:val="24"/>
              </w:rPr>
              <w:t>污染途径</w:t>
            </w:r>
          </w:p>
          <w:p w14:paraId="1D0869A2">
            <w:pPr>
              <w:spacing w:line="360" w:lineRule="auto"/>
              <w:ind w:firstLine="480" w:firstLineChars="200"/>
              <w:rPr>
                <w:sz w:val="24"/>
              </w:rPr>
            </w:pPr>
            <w:r>
              <w:rPr>
                <w:sz w:val="24"/>
              </w:rPr>
              <w:t>本项目重点防渗区为危废库，在做好防渗措施的前提下，项目不存在垂直入渗影响土壤。</w:t>
            </w:r>
          </w:p>
          <w:p w14:paraId="66C92DDD">
            <w:pPr>
              <w:spacing w:line="360" w:lineRule="auto"/>
              <w:ind w:firstLine="480" w:firstLineChars="200"/>
              <w:rPr>
                <w:sz w:val="24"/>
              </w:rPr>
            </w:pPr>
            <w:r>
              <w:rPr>
                <w:sz w:val="24"/>
              </w:rPr>
              <w:t>因此，正常工况下项目不会对区域土壤环境产生不利影响。</w:t>
            </w:r>
          </w:p>
          <w:p w14:paraId="4EF15219">
            <w:pPr>
              <w:spacing w:line="360" w:lineRule="auto"/>
              <w:ind w:firstLine="480" w:firstLineChars="200"/>
              <w:rPr>
                <w:sz w:val="24"/>
              </w:rPr>
            </w:pPr>
            <w:r>
              <w:rPr>
                <w:sz w:val="24"/>
              </w:rPr>
              <w:t>非正常情况下，如危废库防渗措施不当或损坏，以及管理不当，造成废活性炭等泄漏，如果上述污染处置不当，污染物可能进入土壤，造成土壤污染。</w:t>
            </w:r>
          </w:p>
          <w:p w14:paraId="1AE7689E">
            <w:pPr>
              <w:spacing w:line="360" w:lineRule="auto"/>
              <w:ind w:firstLine="480" w:firstLineChars="200"/>
              <w:rPr>
                <w:sz w:val="24"/>
              </w:rPr>
            </w:pPr>
            <w:r>
              <w:rPr>
                <w:sz w:val="24"/>
              </w:rPr>
              <w:t>项目土壤环境影响类型与影响途径见下表。</w:t>
            </w:r>
          </w:p>
          <w:p w14:paraId="3AA53F94">
            <w:pPr>
              <w:pStyle w:val="52"/>
              <w:numPr>
                <w:ilvl w:val="0"/>
                <w:numId w:val="0"/>
              </w:numPr>
              <w:spacing w:line="360" w:lineRule="auto"/>
              <w:ind w:left="420" w:leftChars="0" w:hanging="132" w:firstLineChars="0"/>
              <w:rPr>
                <w:rFonts w:cs="Times New Roman"/>
              </w:rPr>
            </w:pPr>
            <w:r>
              <w:rPr>
                <w:rFonts w:hint="eastAsia" w:ascii="Times New Roman" w:hAnsi="Times New Roman" w:eastAsia="宋体" w:cs="Times New Roman"/>
                <w:b/>
                <w:kern w:val="0"/>
                <w:sz w:val="21"/>
                <w:szCs w:val="21"/>
                <w:lang w:val="en-US" w:eastAsia="zh-CN" w:bidi="ar-SA"/>
              </w:rPr>
              <w:t>表4-1</w:t>
            </w:r>
            <w:r>
              <w:rPr>
                <w:rFonts w:hint="eastAsia" w:cs="Times New Roman"/>
                <w:b/>
                <w:kern w:val="0"/>
                <w:sz w:val="21"/>
                <w:szCs w:val="21"/>
                <w:lang w:val="en-US" w:eastAsia="zh-CN" w:bidi="ar-SA"/>
              </w:rPr>
              <w:t>3</w:t>
            </w:r>
            <w:r>
              <w:rPr>
                <w:rFonts w:cs="Times New Roman"/>
              </w:rPr>
              <w:t>建设项目土壤环境影响类型与影响途径表</w:t>
            </w:r>
          </w:p>
          <w:tbl>
            <w:tblPr>
              <w:tblStyle w:val="7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1"/>
              <w:gridCol w:w="1054"/>
              <w:gridCol w:w="1090"/>
              <w:gridCol w:w="1119"/>
              <w:gridCol w:w="807"/>
              <w:gridCol w:w="800"/>
              <w:gridCol w:w="802"/>
              <w:gridCol w:w="799"/>
              <w:gridCol w:w="802"/>
            </w:tblGrid>
            <w:tr w14:paraId="58FBB6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783" w:type="pct"/>
                  <w:vMerge w:val="restart"/>
                  <w:vAlign w:val="center"/>
                </w:tcPr>
                <w:p w14:paraId="7084E3DC">
                  <w:pPr>
                    <w:jc w:val="center"/>
                    <w:rPr>
                      <w:rFonts w:ascii="Times New Roman" w:hAnsi="Times New Roman"/>
                      <w:sz w:val="18"/>
                      <w:szCs w:val="18"/>
                    </w:rPr>
                  </w:pPr>
                  <w:r>
                    <w:rPr>
                      <w:rFonts w:ascii="Times New Roman" w:hAnsi="Times New Roman"/>
                      <w:sz w:val="18"/>
                      <w:szCs w:val="18"/>
                    </w:rPr>
                    <w:t>不同时段</w:t>
                  </w:r>
                </w:p>
              </w:tc>
              <w:tc>
                <w:tcPr>
                  <w:tcW w:w="2359" w:type="pct"/>
                  <w:gridSpan w:val="4"/>
                  <w:vAlign w:val="center"/>
                </w:tcPr>
                <w:p w14:paraId="3526599F">
                  <w:pPr>
                    <w:jc w:val="center"/>
                    <w:rPr>
                      <w:rFonts w:ascii="Times New Roman" w:hAnsi="Times New Roman"/>
                      <w:sz w:val="18"/>
                      <w:szCs w:val="18"/>
                    </w:rPr>
                  </w:pPr>
                  <w:r>
                    <w:rPr>
                      <w:rFonts w:ascii="Times New Roman" w:hAnsi="Times New Roman"/>
                      <w:sz w:val="18"/>
                      <w:szCs w:val="18"/>
                    </w:rPr>
                    <w:t>污染影响型</w:t>
                  </w:r>
                </w:p>
              </w:tc>
              <w:tc>
                <w:tcPr>
                  <w:tcW w:w="1858" w:type="pct"/>
                  <w:gridSpan w:val="4"/>
                  <w:vAlign w:val="center"/>
                </w:tcPr>
                <w:p w14:paraId="1B48F56A">
                  <w:pPr>
                    <w:jc w:val="center"/>
                    <w:rPr>
                      <w:rFonts w:ascii="Times New Roman" w:hAnsi="Times New Roman"/>
                      <w:sz w:val="18"/>
                      <w:szCs w:val="18"/>
                    </w:rPr>
                  </w:pPr>
                  <w:r>
                    <w:rPr>
                      <w:rFonts w:ascii="Times New Roman" w:hAnsi="Times New Roman"/>
                      <w:sz w:val="18"/>
                      <w:szCs w:val="18"/>
                    </w:rPr>
                    <w:t>生态影响型</w:t>
                  </w:r>
                </w:p>
              </w:tc>
            </w:tr>
            <w:tr w14:paraId="63EE16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783" w:type="pct"/>
                  <w:vMerge w:val="continue"/>
                  <w:vAlign w:val="center"/>
                </w:tcPr>
                <w:p w14:paraId="4B907D08">
                  <w:pPr>
                    <w:jc w:val="center"/>
                    <w:rPr>
                      <w:rFonts w:ascii="Times New Roman" w:hAnsi="Times New Roman"/>
                      <w:sz w:val="18"/>
                      <w:szCs w:val="18"/>
                    </w:rPr>
                  </w:pPr>
                </w:p>
              </w:tc>
              <w:tc>
                <w:tcPr>
                  <w:tcW w:w="611" w:type="pct"/>
                  <w:vAlign w:val="center"/>
                </w:tcPr>
                <w:p w14:paraId="011974ED">
                  <w:pPr>
                    <w:jc w:val="center"/>
                    <w:rPr>
                      <w:rFonts w:ascii="Times New Roman" w:hAnsi="Times New Roman"/>
                      <w:sz w:val="18"/>
                      <w:szCs w:val="18"/>
                    </w:rPr>
                  </w:pPr>
                  <w:r>
                    <w:rPr>
                      <w:rFonts w:ascii="Times New Roman" w:hAnsi="Times New Roman"/>
                      <w:sz w:val="18"/>
                      <w:szCs w:val="18"/>
                    </w:rPr>
                    <w:t>大气沉降</w:t>
                  </w:r>
                </w:p>
              </w:tc>
              <w:tc>
                <w:tcPr>
                  <w:tcW w:w="632" w:type="pct"/>
                  <w:vAlign w:val="center"/>
                </w:tcPr>
                <w:p w14:paraId="48A7537B">
                  <w:pPr>
                    <w:jc w:val="center"/>
                    <w:rPr>
                      <w:rFonts w:ascii="Times New Roman" w:hAnsi="Times New Roman"/>
                      <w:sz w:val="18"/>
                      <w:szCs w:val="18"/>
                    </w:rPr>
                  </w:pPr>
                  <w:r>
                    <w:rPr>
                      <w:rFonts w:ascii="Times New Roman" w:hAnsi="Times New Roman"/>
                      <w:sz w:val="18"/>
                      <w:szCs w:val="18"/>
                    </w:rPr>
                    <w:t>地面漫流</w:t>
                  </w:r>
                </w:p>
              </w:tc>
              <w:tc>
                <w:tcPr>
                  <w:tcW w:w="649" w:type="pct"/>
                  <w:vAlign w:val="center"/>
                </w:tcPr>
                <w:p w14:paraId="563A760B">
                  <w:pPr>
                    <w:jc w:val="center"/>
                    <w:rPr>
                      <w:rFonts w:ascii="Times New Roman" w:hAnsi="Times New Roman"/>
                      <w:sz w:val="18"/>
                      <w:szCs w:val="18"/>
                    </w:rPr>
                  </w:pPr>
                  <w:r>
                    <w:rPr>
                      <w:rFonts w:ascii="Times New Roman" w:hAnsi="Times New Roman"/>
                      <w:sz w:val="18"/>
                      <w:szCs w:val="18"/>
                    </w:rPr>
                    <w:t>垂直入渗</w:t>
                  </w:r>
                </w:p>
              </w:tc>
              <w:tc>
                <w:tcPr>
                  <w:tcW w:w="468" w:type="pct"/>
                  <w:vAlign w:val="center"/>
                </w:tcPr>
                <w:p w14:paraId="1BCF5991">
                  <w:pPr>
                    <w:jc w:val="center"/>
                    <w:rPr>
                      <w:rFonts w:ascii="Times New Roman" w:hAnsi="Times New Roman"/>
                      <w:sz w:val="18"/>
                      <w:szCs w:val="18"/>
                    </w:rPr>
                  </w:pPr>
                  <w:r>
                    <w:rPr>
                      <w:rFonts w:ascii="Times New Roman" w:hAnsi="Times New Roman"/>
                      <w:sz w:val="18"/>
                      <w:szCs w:val="18"/>
                    </w:rPr>
                    <w:t>其它</w:t>
                  </w:r>
                </w:p>
              </w:tc>
              <w:tc>
                <w:tcPr>
                  <w:tcW w:w="464" w:type="pct"/>
                  <w:vAlign w:val="center"/>
                </w:tcPr>
                <w:p w14:paraId="7CABD3C8">
                  <w:pPr>
                    <w:jc w:val="center"/>
                    <w:rPr>
                      <w:rFonts w:ascii="Times New Roman" w:hAnsi="Times New Roman"/>
                      <w:sz w:val="18"/>
                      <w:szCs w:val="18"/>
                    </w:rPr>
                  </w:pPr>
                  <w:r>
                    <w:rPr>
                      <w:rFonts w:ascii="Times New Roman" w:hAnsi="Times New Roman"/>
                      <w:sz w:val="18"/>
                      <w:szCs w:val="18"/>
                    </w:rPr>
                    <w:t>盐化</w:t>
                  </w:r>
                </w:p>
              </w:tc>
              <w:tc>
                <w:tcPr>
                  <w:tcW w:w="465" w:type="pct"/>
                  <w:vAlign w:val="center"/>
                </w:tcPr>
                <w:p w14:paraId="66E8A421">
                  <w:pPr>
                    <w:jc w:val="center"/>
                    <w:rPr>
                      <w:rFonts w:ascii="Times New Roman" w:hAnsi="Times New Roman"/>
                      <w:sz w:val="18"/>
                      <w:szCs w:val="18"/>
                    </w:rPr>
                  </w:pPr>
                  <w:r>
                    <w:rPr>
                      <w:rFonts w:ascii="Times New Roman" w:hAnsi="Times New Roman"/>
                      <w:sz w:val="18"/>
                      <w:szCs w:val="18"/>
                    </w:rPr>
                    <w:t>碱化</w:t>
                  </w:r>
                </w:p>
              </w:tc>
              <w:tc>
                <w:tcPr>
                  <w:tcW w:w="463" w:type="pct"/>
                  <w:vAlign w:val="center"/>
                </w:tcPr>
                <w:p w14:paraId="05ED653A">
                  <w:pPr>
                    <w:jc w:val="center"/>
                    <w:rPr>
                      <w:rFonts w:ascii="Times New Roman" w:hAnsi="Times New Roman"/>
                      <w:sz w:val="18"/>
                      <w:szCs w:val="18"/>
                    </w:rPr>
                  </w:pPr>
                  <w:r>
                    <w:rPr>
                      <w:rFonts w:ascii="Times New Roman" w:hAnsi="Times New Roman"/>
                      <w:sz w:val="18"/>
                      <w:szCs w:val="18"/>
                    </w:rPr>
                    <w:t>酸化</w:t>
                  </w:r>
                </w:p>
              </w:tc>
              <w:tc>
                <w:tcPr>
                  <w:tcW w:w="466" w:type="pct"/>
                  <w:vAlign w:val="center"/>
                </w:tcPr>
                <w:p w14:paraId="7F51105F">
                  <w:pPr>
                    <w:jc w:val="center"/>
                    <w:rPr>
                      <w:rFonts w:ascii="Times New Roman" w:hAnsi="Times New Roman"/>
                      <w:sz w:val="18"/>
                      <w:szCs w:val="18"/>
                    </w:rPr>
                  </w:pPr>
                  <w:r>
                    <w:rPr>
                      <w:rFonts w:ascii="Times New Roman" w:hAnsi="Times New Roman"/>
                      <w:sz w:val="18"/>
                      <w:szCs w:val="18"/>
                    </w:rPr>
                    <w:t>其它</w:t>
                  </w:r>
                </w:p>
              </w:tc>
            </w:tr>
            <w:tr w14:paraId="505C93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783" w:type="pct"/>
                  <w:vAlign w:val="center"/>
                </w:tcPr>
                <w:p w14:paraId="3FE0496A">
                  <w:pPr>
                    <w:jc w:val="center"/>
                    <w:rPr>
                      <w:rFonts w:ascii="Times New Roman" w:hAnsi="Times New Roman"/>
                      <w:sz w:val="18"/>
                      <w:szCs w:val="18"/>
                    </w:rPr>
                  </w:pPr>
                  <w:r>
                    <w:rPr>
                      <w:rFonts w:ascii="Times New Roman" w:hAnsi="Times New Roman"/>
                      <w:sz w:val="18"/>
                      <w:szCs w:val="18"/>
                    </w:rPr>
                    <w:t>运营期</w:t>
                  </w:r>
                </w:p>
              </w:tc>
              <w:tc>
                <w:tcPr>
                  <w:tcW w:w="611" w:type="pct"/>
                  <w:vAlign w:val="center"/>
                </w:tcPr>
                <w:p w14:paraId="1A6D4938">
                  <w:pPr>
                    <w:jc w:val="center"/>
                    <w:rPr>
                      <w:rFonts w:ascii="Times New Roman" w:hAnsi="Times New Roman"/>
                      <w:sz w:val="18"/>
                      <w:szCs w:val="18"/>
                    </w:rPr>
                  </w:pPr>
                  <w:r>
                    <w:rPr>
                      <w:rFonts w:ascii="Times New Roman" w:hAnsi="Times New Roman"/>
                      <w:sz w:val="18"/>
                      <w:szCs w:val="18"/>
                    </w:rPr>
                    <w:t>/</w:t>
                  </w:r>
                </w:p>
              </w:tc>
              <w:tc>
                <w:tcPr>
                  <w:tcW w:w="632" w:type="pct"/>
                  <w:vAlign w:val="center"/>
                </w:tcPr>
                <w:p w14:paraId="6D9E976C">
                  <w:pPr>
                    <w:jc w:val="center"/>
                    <w:rPr>
                      <w:rFonts w:ascii="Times New Roman" w:hAnsi="Times New Roman"/>
                      <w:sz w:val="18"/>
                      <w:szCs w:val="18"/>
                    </w:rPr>
                  </w:pPr>
                  <w:r>
                    <w:rPr>
                      <w:rFonts w:ascii="Times New Roman" w:hAnsi="Times New Roman"/>
                      <w:sz w:val="18"/>
                      <w:szCs w:val="18"/>
                    </w:rPr>
                    <w:t>√</w:t>
                  </w:r>
                </w:p>
              </w:tc>
              <w:tc>
                <w:tcPr>
                  <w:tcW w:w="649" w:type="pct"/>
                  <w:vAlign w:val="center"/>
                </w:tcPr>
                <w:p w14:paraId="7823FF45">
                  <w:pPr>
                    <w:jc w:val="center"/>
                    <w:rPr>
                      <w:rFonts w:ascii="Times New Roman" w:hAnsi="Times New Roman"/>
                      <w:sz w:val="18"/>
                      <w:szCs w:val="18"/>
                    </w:rPr>
                  </w:pPr>
                  <w:r>
                    <w:rPr>
                      <w:rFonts w:ascii="Times New Roman" w:hAnsi="Times New Roman"/>
                      <w:sz w:val="18"/>
                      <w:szCs w:val="18"/>
                    </w:rPr>
                    <w:t>√</w:t>
                  </w:r>
                </w:p>
              </w:tc>
              <w:tc>
                <w:tcPr>
                  <w:tcW w:w="468" w:type="pct"/>
                  <w:vAlign w:val="center"/>
                </w:tcPr>
                <w:p w14:paraId="1804EFC8">
                  <w:pPr>
                    <w:jc w:val="center"/>
                    <w:rPr>
                      <w:rFonts w:ascii="Times New Roman" w:hAnsi="Times New Roman"/>
                      <w:sz w:val="18"/>
                      <w:szCs w:val="18"/>
                    </w:rPr>
                  </w:pPr>
                  <w:r>
                    <w:rPr>
                      <w:rFonts w:ascii="Times New Roman" w:hAnsi="Times New Roman"/>
                      <w:sz w:val="18"/>
                      <w:szCs w:val="18"/>
                    </w:rPr>
                    <w:t>/</w:t>
                  </w:r>
                </w:p>
              </w:tc>
              <w:tc>
                <w:tcPr>
                  <w:tcW w:w="464" w:type="pct"/>
                  <w:vAlign w:val="center"/>
                </w:tcPr>
                <w:p w14:paraId="106F8CEC">
                  <w:pPr>
                    <w:jc w:val="center"/>
                    <w:rPr>
                      <w:rFonts w:ascii="Times New Roman" w:hAnsi="Times New Roman"/>
                      <w:sz w:val="18"/>
                      <w:szCs w:val="18"/>
                    </w:rPr>
                  </w:pPr>
                  <w:r>
                    <w:rPr>
                      <w:rFonts w:ascii="Times New Roman" w:hAnsi="Times New Roman"/>
                      <w:sz w:val="18"/>
                      <w:szCs w:val="18"/>
                    </w:rPr>
                    <w:t>/</w:t>
                  </w:r>
                </w:p>
              </w:tc>
              <w:tc>
                <w:tcPr>
                  <w:tcW w:w="465" w:type="pct"/>
                  <w:vAlign w:val="center"/>
                </w:tcPr>
                <w:p w14:paraId="227DF53B">
                  <w:pPr>
                    <w:jc w:val="center"/>
                    <w:rPr>
                      <w:rFonts w:ascii="Times New Roman" w:hAnsi="Times New Roman"/>
                      <w:sz w:val="18"/>
                      <w:szCs w:val="18"/>
                    </w:rPr>
                  </w:pPr>
                  <w:r>
                    <w:rPr>
                      <w:rFonts w:ascii="Times New Roman" w:hAnsi="Times New Roman"/>
                      <w:sz w:val="18"/>
                      <w:szCs w:val="18"/>
                    </w:rPr>
                    <w:t>/</w:t>
                  </w:r>
                </w:p>
              </w:tc>
              <w:tc>
                <w:tcPr>
                  <w:tcW w:w="463" w:type="pct"/>
                  <w:vAlign w:val="center"/>
                </w:tcPr>
                <w:p w14:paraId="55359473">
                  <w:pPr>
                    <w:jc w:val="center"/>
                    <w:rPr>
                      <w:rFonts w:ascii="Times New Roman" w:hAnsi="Times New Roman"/>
                      <w:sz w:val="18"/>
                      <w:szCs w:val="18"/>
                    </w:rPr>
                  </w:pPr>
                  <w:r>
                    <w:rPr>
                      <w:rFonts w:ascii="Times New Roman" w:hAnsi="Times New Roman"/>
                      <w:sz w:val="18"/>
                      <w:szCs w:val="18"/>
                    </w:rPr>
                    <w:t>/</w:t>
                  </w:r>
                </w:p>
              </w:tc>
              <w:tc>
                <w:tcPr>
                  <w:tcW w:w="466" w:type="pct"/>
                  <w:vAlign w:val="center"/>
                </w:tcPr>
                <w:p w14:paraId="038CEC94">
                  <w:pPr>
                    <w:jc w:val="center"/>
                    <w:rPr>
                      <w:rFonts w:ascii="Times New Roman" w:hAnsi="Times New Roman"/>
                      <w:sz w:val="18"/>
                      <w:szCs w:val="18"/>
                    </w:rPr>
                  </w:pPr>
                  <w:r>
                    <w:rPr>
                      <w:rFonts w:ascii="Times New Roman" w:hAnsi="Times New Roman"/>
                      <w:sz w:val="18"/>
                      <w:szCs w:val="18"/>
                    </w:rPr>
                    <w:t>/</w:t>
                  </w:r>
                </w:p>
              </w:tc>
            </w:tr>
          </w:tbl>
          <w:p w14:paraId="0A8DB645">
            <w:pPr>
              <w:spacing w:line="360" w:lineRule="auto"/>
              <w:ind w:firstLine="480" w:firstLineChars="200"/>
              <w:rPr>
                <w:bCs/>
                <w:kern w:val="0"/>
                <w:sz w:val="24"/>
              </w:rPr>
            </w:pPr>
            <w:r>
              <w:rPr>
                <w:rFonts w:hint="eastAsia" w:ascii="宋体" w:hAnsi="宋体" w:cs="宋体"/>
                <w:bCs/>
                <w:sz w:val="24"/>
              </w:rPr>
              <w:t>②</w:t>
            </w:r>
            <w:r>
              <w:rPr>
                <w:bCs/>
                <w:sz w:val="24"/>
              </w:rPr>
              <w:t>土壤污染防治措施</w:t>
            </w:r>
          </w:p>
          <w:p w14:paraId="79962EFC">
            <w:pPr>
              <w:adjustRightInd w:val="0"/>
              <w:snapToGrid w:val="0"/>
              <w:spacing w:line="360" w:lineRule="auto"/>
              <w:ind w:firstLine="480" w:firstLineChars="200"/>
              <w:rPr>
                <w:sz w:val="24"/>
                <w:szCs w:val="22"/>
              </w:rPr>
            </w:pPr>
            <w:r>
              <w:rPr>
                <w:sz w:val="24"/>
                <w:szCs w:val="22"/>
              </w:rPr>
              <w:t>A、源头控制措施</w:t>
            </w:r>
          </w:p>
          <w:p w14:paraId="1195630D">
            <w:pPr>
              <w:adjustRightInd w:val="0"/>
              <w:snapToGrid w:val="0"/>
              <w:spacing w:line="360" w:lineRule="auto"/>
              <w:ind w:firstLine="480" w:firstLineChars="200"/>
              <w:rPr>
                <w:sz w:val="24"/>
                <w:szCs w:val="22"/>
              </w:rPr>
            </w:pPr>
            <w:r>
              <w:rPr>
                <w:sz w:val="24"/>
                <w:szCs w:val="22"/>
              </w:rPr>
              <w:t>从原料的储存、装卸、运输、生产过程、污染处理装置等全过程控制各种有毒有害原辅材料、废水废液泄漏（含跑、冒、滴、漏），同时对有害物质可能泄漏到地面的区域采取防渗措施，阻止其进入土壤中，即从源头到末端全方位采取控制措施，防止项目的建设对土壤造成污染。</w:t>
            </w:r>
          </w:p>
          <w:p w14:paraId="2B05939C">
            <w:pPr>
              <w:adjustRightInd w:val="0"/>
              <w:snapToGrid w:val="0"/>
              <w:spacing w:line="360" w:lineRule="auto"/>
              <w:ind w:firstLine="480" w:firstLineChars="200"/>
              <w:rPr>
                <w:sz w:val="24"/>
                <w:szCs w:val="22"/>
              </w:rPr>
            </w:pPr>
            <w:r>
              <w:rPr>
                <w:sz w:val="24"/>
                <w:szCs w:val="22"/>
              </w:rPr>
              <w:t>从生产过程入手，在工艺、管道、设备、给排水等方面尽可能地采取泄漏控制措施，从源头最大限度降低污染物质泄漏的可能性和泄漏量，使项目区污染物对土壤的影响降至最低，一旦出现泄漏等即可由区域内的各种配套措施进行收集、处置，同时经过硬化处理的地面有效阻止污染物的下渗。</w:t>
            </w:r>
          </w:p>
          <w:p w14:paraId="0FFC8FC2">
            <w:pPr>
              <w:adjustRightInd w:val="0"/>
              <w:snapToGrid w:val="0"/>
              <w:spacing w:line="360" w:lineRule="auto"/>
              <w:ind w:firstLine="480" w:firstLineChars="200"/>
              <w:rPr>
                <w:sz w:val="24"/>
                <w:szCs w:val="22"/>
              </w:rPr>
            </w:pPr>
            <w:r>
              <w:rPr>
                <w:sz w:val="24"/>
                <w:szCs w:val="22"/>
              </w:rPr>
              <w:t>B、过程控制措施</w:t>
            </w:r>
          </w:p>
          <w:p w14:paraId="6723AEE9">
            <w:pPr>
              <w:pStyle w:val="17"/>
              <w:adjustRightInd w:val="0"/>
              <w:snapToGrid w:val="0"/>
              <w:spacing w:after="0" w:line="360" w:lineRule="auto"/>
              <w:ind w:left="0" w:leftChars="0" w:firstLine="480" w:firstLineChars="200"/>
              <w:rPr>
                <w:sz w:val="24"/>
              </w:rPr>
            </w:pPr>
            <w:r>
              <w:rPr>
                <w:sz w:val="24"/>
              </w:rPr>
              <w:t>项目按重点污染防治区、一般防渗区分别采取不同等级的防渗措施，其中危废库为重点防渗区域，基础底部夯实，上面铺装防渗层，等效黏土防渗层Mb≥6.0m，K≤1×10</w:t>
            </w:r>
            <w:r>
              <w:rPr>
                <w:sz w:val="24"/>
                <w:vertAlign w:val="superscript"/>
              </w:rPr>
              <w:t>-7</w:t>
            </w:r>
            <w:r>
              <w:rPr>
                <w:sz w:val="24"/>
              </w:rPr>
              <w:t>cm/s。危废暂存间按照《危险废物贮存污染控制标准》（GB18579-2001）中的要求实施防渗。对车间等一般防渗区采取基底夯实、基础防渗及表层硬化措施，等效黏土防渗层厚度≥1.5m，渗透系数≤10</w:t>
            </w:r>
            <w:r>
              <w:rPr>
                <w:sz w:val="24"/>
                <w:vertAlign w:val="superscript"/>
              </w:rPr>
              <w:t>-7</w:t>
            </w:r>
            <w:r>
              <w:rPr>
                <w:sz w:val="24"/>
              </w:rPr>
              <w:t>cm/s。企业在管理方面严加管理，并采取相应的防渗措施可有效防治危险废物暂存和处置过程中因物料泄漏造成对区域土壤环境的污染。</w:t>
            </w:r>
          </w:p>
          <w:p w14:paraId="13351CE7">
            <w:pPr>
              <w:pStyle w:val="17"/>
              <w:adjustRightInd w:val="0"/>
              <w:snapToGrid w:val="0"/>
              <w:spacing w:after="0" w:line="360" w:lineRule="auto"/>
              <w:ind w:left="0" w:leftChars="0" w:firstLine="480" w:firstLineChars="200"/>
              <w:rPr>
                <w:sz w:val="24"/>
              </w:rPr>
            </w:pPr>
            <w:r>
              <w:rPr>
                <w:sz w:val="24"/>
              </w:rPr>
              <w:t>此外，一旦发生土壤污染事故，立即企业环境风险应急预案，采取应急措施控制土壤污染，并使污染得到治理。</w:t>
            </w:r>
          </w:p>
          <w:p w14:paraId="0C27D127">
            <w:pPr>
              <w:pStyle w:val="8"/>
              <w:ind w:left="0" w:firstLine="0"/>
              <w:rPr>
                <w:lang w:bidi="ar"/>
              </w:rPr>
            </w:pPr>
          </w:p>
          <w:p w14:paraId="6E8F7771">
            <w:pPr>
              <w:adjustRightInd w:val="0"/>
              <w:snapToGrid w:val="0"/>
              <w:spacing w:line="360" w:lineRule="auto"/>
              <w:rPr>
                <w:b/>
                <w:bCs/>
                <w:sz w:val="24"/>
              </w:rPr>
            </w:pPr>
            <w:r>
              <w:rPr>
                <w:b/>
                <w:bCs/>
                <w:sz w:val="24"/>
              </w:rPr>
              <w:t>六、土壤环境</w:t>
            </w:r>
          </w:p>
          <w:p w14:paraId="10E625B0">
            <w:pPr>
              <w:adjustRightInd w:val="0"/>
              <w:snapToGrid w:val="0"/>
              <w:spacing w:line="360" w:lineRule="auto"/>
              <w:ind w:firstLine="480" w:firstLineChars="200"/>
              <w:rPr>
                <w:sz w:val="24"/>
              </w:rPr>
            </w:pPr>
            <w:r>
              <w:rPr>
                <w:sz w:val="24"/>
              </w:rPr>
              <w:t>根据《环境影响评价技术导则——土壤环境（试行）》（HJ 964—2018），项目占地约</w:t>
            </w:r>
            <w:r>
              <w:rPr>
                <w:rFonts w:hint="eastAsia"/>
                <w:sz w:val="24"/>
                <w:lang w:val="en-US" w:eastAsia="zh-CN"/>
              </w:rPr>
              <w:t>20亩</w:t>
            </w:r>
            <w:r>
              <w:rPr>
                <w:sz w:val="24"/>
              </w:rPr>
              <w:t>，占地规模小于5hm</w:t>
            </w:r>
            <w:r>
              <w:rPr>
                <w:sz w:val="24"/>
                <w:vertAlign w:val="superscript"/>
              </w:rPr>
              <w:t>2</w:t>
            </w:r>
            <w:r>
              <w:rPr>
                <w:sz w:val="24"/>
              </w:rPr>
              <w:t>，属于小型，且项目位于安徽省宿州市埇桥区符离镇埇北工业园内，项目所在地周边的土地环境敏感程度属于“不敏感”；同时，对照附录A，本项目属于C2190其他家具制造，为Ⅲ类项目，经判定，本项目可不开展土壤环境影响评价工作。</w:t>
            </w:r>
          </w:p>
          <w:p w14:paraId="68407952">
            <w:pPr>
              <w:pStyle w:val="12"/>
            </w:pPr>
          </w:p>
          <w:p w14:paraId="0C7B3B53">
            <w:pPr>
              <w:adjustRightInd w:val="0"/>
              <w:snapToGrid w:val="0"/>
              <w:spacing w:line="360" w:lineRule="auto"/>
              <w:rPr>
                <w:b/>
                <w:bCs/>
                <w:sz w:val="24"/>
              </w:rPr>
            </w:pPr>
            <w:r>
              <w:rPr>
                <w:b/>
                <w:bCs/>
                <w:sz w:val="24"/>
              </w:rPr>
              <w:t>七、环境风险</w:t>
            </w:r>
          </w:p>
          <w:p w14:paraId="6E9F8E48">
            <w:pPr>
              <w:adjustRightInd w:val="0"/>
              <w:snapToGrid w:val="0"/>
              <w:spacing w:line="360" w:lineRule="auto"/>
              <w:ind w:firstLine="480" w:firstLineChars="200"/>
              <w:rPr>
                <w:sz w:val="24"/>
              </w:rPr>
            </w:pPr>
            <w:r>
              <w:rPr>
                <w:sz w:val="24"/>
              </w:rPr>
              <w:t>环境风险评价是对项目建设和运营期间发生的可预测突发事件（一般不包括人为破坏和自然灾害）或事故引起有毒有害、易燃易爆等物质泄露，或突发事件产生的新的有毒有害物质，所造成的人身安全和环境的影响进行评估，并提出防范、应急与缓解措施。根据《建设项目环境风险评价技术导则》（HJ 169-2018）的要求，本次环评将着重从风险识别、源项分析、事故后果分析、事故防范措施、事故应急预案等方面对本项目存在的环境风险进行评价；再根据评价结果，对项目提出可行的风险防范措施和建议，达到降低风险性、危害程度，保护环境之目的。</w:t>
            </w:r>
          </w:p>
          <w:p w14:paraId="7A2243A8">
            <w:pPr>
              <w:adjustRightInd w:val="0"/>
              <w:snapToGrid w:val="0"/>
              <w:spacing w:line="360" w:lineRule="auto"/>
              <w:ind w:firstLine="480" w:firstLineChars="200"/>
              <w:rPr>
                <w:sz w:val="24"/>
              </w:rPr>
            </w:pPr>
            <w:r>
              <w:rPr>
                <w:sz w:val="24"/>
              </w:rPr>
              <w:t>本次环境风险评价重点主要对项目运营期间可能存在的危险、有害因素进行分析，并对可能发生的突发性事件及事故所造成的人身安全与环境影响、损害程度，提出合理可行的防范、应急与减缓措施。</w:t>
            </w:r>
          </w:p>
          <w:p w14:paraId="0F8A8CA1">
            <w:pPr>
              <w:pStyle w:val="2"/>
              <w:snapToGrid w:val="0"/>
              <w:spacing w:line="360" w:lineRule="auto"/>
              <w:ind w:firstLine="482" w:firstLineChars="200"/>
              <w:rPr>
                <w:b/>
                <w:bCs/>
                <w:color w:val="auto"/>
              </w:rPr>
            </w:pPr>
            <w:r>
              <w:rPr>
                <w:b/>
                <w:bCs/>
                <w:color w:val="auto"/>
              </w:rPr>
              <w:t>评价依据：</w:t>
            </w:r>
          </w:p>
          <w:p w14:paraId="5141B50F">
            <w:pPr>
              <w:adjustRightInd w:val="0"/>
              <w:snapToGrid w:val="0"/>
              <w:spacing w:line="360" w:lineRule="auto"/>
              <w:ind w:firstLine="480" w:firstLineChars="200"/>
              <w:rPr>
                <w:sz w:val="24"/>
              </w:rPr>
            </w:pPr>
            <w:r>
              <w:rPr>
                <w:sz w:val="24"/>
              </w:rPr>
              <w:t>（1）物质风险性调查</w:t>
            </w:r>
          </w:p>
          <w:p w14:paraId="60CBDF9B">
            <w:pPr>
              <w:adjustRightInd w:val="0"/>
              <w:snapToGrid w:val="0"/>
              <w:spacing w:line="360" w:lineRule="auto"/>
              <w:ind w:firstLine="480" w:firstLineChars="200"/>
              <w:rPr>
                <w:color w:val="FF0000"/>
                <w:sz w:val="24"/>
              </w:rPr>
            </w:pPr>
            <w:r>
              <w:rPr>
                <w:color w:val="000000"/>
                <w:sz w:val="24"/>
              </w:rPr>
              <w:t>本项目生产过程中涉及的原辅材料主要为PP</w:t>
            </w:r>
            <w:r>
              <w:rPr>
                <w:rFonts w:hint="eastAsia"/>
                <w:color w:val="000000"/>
                <w:sz w:val="24"/>
                <w:lang w:eastAsia="zh-CN"/>
              </w:rPr>
              <w:t>、</w:t>
            </w:r>
            <w:r>
              <w:rPr>
                <w:rFonts w:hint="eastAsia"/>
                <w:color w:val="000000"/>
                <w:sz w:val="24"/>
                <w:lang w:val="en-US" w:eastAsia="zh-CN"/>
              </w:rPr>
              <w:t>PA</w:t>
            </w:r>
            <w:r>
              <w:rPr>
                <w:color w:val="000000"/>
                <w:sz w:val="24"/>
              </w:rPr>
              <w:t>塑料颗粒、皮革、塑料配件、金属配件、液压油等，与《建设项目环境风险评价技术导则》（HJ 169-2018）附录B中重点关注的危险物质进行对比，废液压油属于重点关注的危险物质。</w:t>
            </w:r>
          </w:p>
          <w:p w14:paraId="084E3160">
            <w:pPr>
              <w:adjustRightInd w:val="0"/>
              <w:snapToGrid w:val="0"/>
              <w:spacing w:line="360" w:lineRule="auto"/>
              <w:ind w:firstLine="480" w:firstLineChars="200"/>
              <w:rPr>
                <w:sz w:val="24"/>
              </w:rPr>
            </w:pPr>
            <w:r>
              <w:rPr>
                <w:sz w:val="24"/>
              </w:rPr>
              <w:t>（2）风险潜势初判</w:t>
            </w:r>
          </w:p>
          <w:p w14:paraId="3AC8F137">
            <w:pPr>
              <w:adjustRightInd w:val="0"/>
              <w:snapToGrid w:val="0"/>
              <w:spacing w:line="360" w:lineRule="auto"/>
              <w:ind w:firstLine="480" w:firstLineChars="200"/>
              <w:rPr>
                <w:sz w:val="24"/>
              </w:rPr>
            </w:pPr>
            <w:r>
              <w:rPr>
                <w:sz w:val="24"/>
              </w:rPr>
              <w:t>计算所涉及的每种危险物质在厂界内的最大存在总量与其在《建设项目环境风险评价技术导则》（HJ169-2018）附录B中对应临界量的比值Q。在不同厂区的同一种物质，按其在厂界内的最大存在总量计算。</w:t>
            </w:r>
          </w:p>
          <w:p w14:paraId="49DA8D71">
            <w:pPr>
              <w:adjustRightInd w:val="0"/>
              <w:snapToGrid w:val="0"/>
              <w:spacing w:line="360" w:lineRule="auto"/>
              <w:ind w:firstLine="480" w:firstLineChars="200"/>
              <w:rPr>
                <w:sz w:val="24"/>
              </w:rPr>
            </w:pPr>
            <w:r>
              <w:rPr>
                <w:sz w:val="24"/>
              </w:rPr>
              <w:t>当只涉及一种危险物质时，计算该物质的总量与其临界量比值，即为Q；</w:t>
            </w:r>
          </w:p>
          <w:p w14:paraId="6071064F">
            <w:pPr>
              <w:adjustRightInd w:val="0"/>
              <w:snapToGrid w:val="0"/>
              <w:spacing w:line="360" w:lineRule="auto"/>
              <w:ind w:firstLine="480" w:firstLineChars="200"/>
              <w:rPr>
                <w:sz w:val="24"/>
              </w:rPr>
            </w:pPr>
            <w:r>
              <w:rPr>
                <w:sz w:val="24"/>
              </w:rPr>
              <w:t>当存在多种危险物质时，则按下式计算物质总量与其临界量比值Q；</w:t>
            </w:r>
          </w:p>
          <w:p w14:paraId="6B0BF1DE">
            <w:pPr>
              <w:adjustRightInd w:val="0"/>
              <w:snapToGrid w:val="0"/>
              <w:spacing w:line="360" w:lineRule="auto"/>
              <w:ind w:firstLine="480" w:firstLineChars="200"/>
              <w:jc w:val="center"/>
              <w:rPr>
                <w:sz w:val="24"/>
              </w:rPr>
            </w:pPr>
            <w:r>
              <w:rPr>
                <w:position w:val="-30"/>
                <w:sz w:val="24"/>
              </w:rPr>
              <w:object>
                <v:shape id="_x0000_i1025" o:spt="75" type="#_x0000_t75" style="height:31.65pt;width:102.55pt;" o:ole="t" filled="f" coordsize="21600,21600">
                  <v:path/>
                  <v:fill on="f" focussize="0,0"/>
                  <v:stroke/>
                  <v:imagedata r:id="rId19" o:title=""/>
                  <o:lock v:ext="edit" aspectratio="t"/>
                  <w10:wrap type="none"/>
                  <w10:anchorlock/>
                </v:shape>
                <o:OLEObject Type="Embed" ProgID="Equation.3" ShapeID="_x0000_i1025" DrawAspect="Content" ObjectID="_1468075725" r:id="rId18">
                  <o:LockedField>false</o:LockedField>
                </o:OLEObject>
              </w:object>
            </w:r>
          </w:p>
          <w:p w14:paraId="444AC470">
            <w:pPr>
              <w:adjustRightInd w:val="0"/>
              <w:snapToGrid w:val="0"/>
              <w:spacing w:line="360" w:lineRule="auto"/>
              <w:ind w:firstLine="480" w:firstLineChars="200"/>
              <w:rPr>
                <w:sz w:val="24"/>
              </w:rPr>
            </w:pPr>
            <w:r>
              <w:rPr>
                <w:sz w:val="24"/>
              </w:rPr>
              <w:t>式中：q</w:t>
            </w:r>
            <w:r>
              <w:rPr>
                <w:sz w:val="24"/>
                <w:vertAlign w:val="subscript"/>
              </w:rPr>
              <w:t>1</w:t>
            </w:r>
            <w:r>
              <w:rPr>
                <w:sz w:val="24"/>
              </w:rPr>
              <w:t>、q</w:t>
            </w:r>
            <w:r>
              <w:rPr>
                <w:sz w:val="24"/>
                <w:vertAlign w:val="subscript"/>
              </w:rPr>
              <w:t>2</w:t>
            </w:r>
            <w:r>
              <w:rPr>
                <w:sz w:val="24"/>
              </w:rPr>
              <w:t>…q</w:t>
            </w:r>
            <w:r>
              <w:rPr>
                <w:sz w:val="24"/>
                <w:vertAlign w:val="subscript"/>
              </w:rPr>
              <w:t>n</w:t>
            </w:r>
            <w:r>
              <w:rPr>
                <w:sz w:val="24"/>
              </w:rPr>
              <w:t xml:space="preserve">  ——每种危险废物实际存在量，t。</w:t>
            </w:r>
          </w:p>
          <w:p w14:paraId="035EE105">
            <w:pPr>
              <w:adjustRightInd w:val="0"/>
              <w:snapToGrid w:val="0"/>
              <w:spacing w:line="360" w:lineRule="auto"/>
              <w:ind w:firstLine="1200" w:firstLineChars="500"/>
              <w:rPr>
                <w:sz w:val="24"/>
              </w:rPr>
            </w:pPr>
            <w:r>
              <w:rPr>
                <w:sz w:val="24"/>
              </w:rPr>
              <w:t>Q</w:t>
            </w:r>
            <w:r>
              <w:rPr>
                <w:sz w:val="24"/>
                <w:vertAlign w:val="subscript"/>
              </w:rPr>
              <w:t>1</w:t>
            </w:r>
            <w:r>
              <w:rPr>
                <w:sz w:val="24"/>
              </w:rPr>
              <w:t>、Q</w:t>
            </w:r>
            <w:r>
              <w:rPr>
                <w:sz w:val="24"/>
                <w:vertAlign w:val="subscript"/>
              </w:rPr>
              <w:t>2</w:t>
            </w:r>
            <w:r>
              <w:rPr>
                <w:sz w:val="24"/>
              </w:rPr>
              <w:t>…Q</w:t>
            </w:r>
            <w:r>
              <w:rPr>
                <w:sz w:val="24"/>
                <w:vertAlign w:val="subscript"/>
              </w:rPr>
              <w:t>n</w:t>
            </w:r>
            <w:r>
              <w:rPr>
                <w:sz w:val="24"/>
              </w:rPr>
              <w:t xml:space="preserve"> ——与各危险物质相对应的生产场所或贮存区的临界量，t。</w:t>
            </w:r>
          </w:p>
          <w:p w14:paraId="69EB389B">
            <w:pPr>
              <w:pStyle w:val="2"/>
              <w:spacing w:line="360" w:lineRule="auto"/>
              <w:ind w:firstLine="480" w:firstLineChars="200"/>
              <w:rPr>
                <w:color w:val="auto"/>
              </w:rPr>
            </w:pPr>
            <w:r>
              <w:rPr>
                <w:color w:val="auto"/>
              </w:rPr>
              <w:t>当Q&lt;1时，该项目风险潜势为Ⅰ。</w:t>
            </w:r>
          </w:p>
          <w:p w14:paraId="7FE7908F">
            <w:pPr>
              <w:adjustRightInd w:val="0"/>
              <w:snapToGrid w:val="0"/>
              <w:spacing w:line="360" w:lineRule="auto"/>
              <w:ind w:firstLine="480" w:firstLineChars="200"/>
              <w:rPr>
                <w:sz w:val="24"/>
              </w:rPr>
            </w:pPr>
            <w:r>
              <w:rPr>
                <w:sz w:val="24"/>
              </w:rPr>
              <w:t>当Q≥1时，将Q值划分为：（1）1≤Q&lt;10；（2）10≤Q&lt;100；（3）Q≥100。</w:t>
            </w:r>
          </w:p>
          <w:p w14:paraId="71A1C09F">
            <w:pPr>
              <w:snapToGrid w:val="0"/>
              <w:spacing w:line="360" w:lineRule="auto"/>
              <w:ind w:firstLine="471"/>
              <w:rPr>
                <w:sz w:val="24"/>
              </w:rPr>
            </w:pPr>
            <w:r>
              <w:rPr>
                <w:sz w:val="24"/>
              </w:rPr>
              <w:t>本项目生产过程中，项目涉及的各危险物料重大危险源识别见下表。</w:t>
            </w:r>
          </w:p>
          <w:p w14:paraId="65678B92">
            <w:pPr>
              <w:pStyle w:val="52"/>
              <w:numPr>
                <w:ilvl w:val="0"/>
                <w:numId w:val="0"/>
              </w:numPr>
              <w:spacing w:line="360" w:lineRule="auto"/>
              <w:ind w:left="420" w:leftChars="0" w:hanging="132" w:firstLineChars="0"/>
              <w:rPr>
                <w:rFonts w:cs="Times New Roman"/>
              </w:rPr>
            </w:pPr>
            <w:r>
              <w:rPr>
                <w:rFonts w:hint="eastAsia" w:ascii="Times New Roman" w:hAnsi="Times New Roman" w:eastAsia="宋体" w:cs="Times New Roman"/>
                <w:b/>
                <w:kern w:val="0"/>
                <w:sz w:val="21"/>
                <w:szCs w:val="21"/>
                <w:lang w:val="en-US" w:eastAsia="zh-CN" w:bidi="ar-SA"/>
              </w:rPr>
              <w:t>表4-1</w:t>
            </w:r>
            <w:r>
              <w:rPr>
                <w:rFonts w:hint="eastAsia" w:cs="Times New Roman"/>
                <w:b/>
                <w:kern w:val="0"/>
                <w:sz w:val="21"/>
                <w:szCs w:val="21"/>
                <w:lang w:val="en-US" w:eastAsia="zh-CN" w:bidi="ar-SA"/>
              </w:rPr>
              <w:t>4</w:t>
            </w:r>
            <w:r>
              <w:rPr>
                <w:rFonts w:cs="Times New Roman"/>
              </w:rPr>
              <w:t>危险物质储存量与临界量一览表</w:t>
            </w:r>
          </w:p>
          <w:tbl>
            <w:tblPr>
              <w:tblStyle w:val="75"/>
              <w:tblW w:w="49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2228"/>
              <w:gridCol w:w="2115"/>
              <w:gridCol w:w="2129"/>
            </w:tblGrid>
            <w:tr w14:paraId="58C01C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53" w:type="dxa"/>
                  <w:vAlign w:val="center"/>
                </w:tcPr>
                <w:p w14:paraId="4B22C904">
                  <w:pPr>
                    <w:pStyle w:val="2"/>
                    <w:snapToGrid w:val="0"/>
                    <w:spacing w:before="48" w:beforeLines="20"/>
                    <w:jc w:val="center"/>
                    <w:rPr>
                      <w:color w:val="auto"/>
                      <w:sz w:val="21"/>
                      <w:szCs w:val="21"/>
                    </w:rPr>
                  </w:pPr>
                  <w:r>
                    <w:rPr>
                      <w:color w:val="auto"/>
                      <w:sz w:val="21"/>
                      <w:szCs w:val="21"/>
                    </w:rPr>
                    <w:t>物质名称</w:t>
                  </w:r>
                </w:p>
              </w:tc>
              <w:tc>
                <w:tcPr>
                  <w:tcW w:w="2198" w:type="dxa"/>
                  <w:vAlign w:val="center"/>
                </w:tcPr>
                <w:p w14:paraId="1086724D">
                  <w:pPr>
                    <w:pStyle w:val="2"/>
                    <w:snapToGrid w:val="0"/>
                    <w:spacing w:before="48" w:beforeLines="20"/>
                    <w:jc w:val="center"/>
                    <w:rPr>
                      <w:color w:val="auto"/>
                      <w:sz w:val="21"/>
                      <w:szCs w:val="21"/>
                    </w:rPr>
                  </w:pPr>
                  <w:r>
                    <w:rPr>
                      <w:color w:val="auto"/>
                      <w:sz w:val="21"/>
                      <w:szCs w:val="21"/>
                    </w:rPr>
                    <w:t>本项目最大储存量，t</w:t>
                  </w:r>
                </w:p>
              </w:tc>
              <w:tc>
                <w:tcPr>
                  <w:tcW w:w="2086" w:type="dxa"/>
                  <w:vAlign w:val="center"/>
                </w:tcPr>
                <w:p w14:paraId="10DBB144">
                  <w:pPr>
                    <w:pStyle w:val="2"/>
                    <w:snapToGrid w:val="0"/>
                    <w:spacing w:before="48" w:beforeLines="20"/>
                    <w:jc w:val="center"/>
                    <w:rPr>
                      <w:color w:val="auto"/>
                      <w:sz w:val="21"/>
                      <w:szCs w:val="21"/>
                    </w:rPr>
                  </w:pPr>
                  <w:r>
                    <w:rPr>
                      <w:color w:val="auto"/>
                      <w:sz w:val="21"/>
                      <w:szCs w:val="21"/>
                    </w:rPr>
                    <w:t>临界量，t</w:t>
                  </w:r>
                </w:p>
              </w:tc>
              <w:tc>
                <w:tcPr>
                  <w:tcW w:w="2100" w:type="dxa"/>
                  <w:vAlign w:val="center"/>
                </w:tcPr>
                <w:p w14:paraId="572C4782">
                  <w:pPr>
                    <w:pStyle w:val="2"/>
                    <w:snapToGrid w:val="0"/>
                    <w:spacing w:before="48" w:beforeLines="20"/>
                    <w:jc w:val="center"/>
                    <w:rPr>
                      <w:color w:val="auto"/>
                      <w:sz w:val="21"/>
                      <w:szCs w:val="21"/>
                    </w:rPr>
                  </w:pPr>
                  <w:r>
                    <w:rPr>
                      <w:color w:val="auto"/>
                      <w:sz w:val="21"/>
                      <w:szCs w:val="21"/>
                    </w:rPr>
                    <w:t>q/Q</w:t>
                  </w:r>
                </w:p>
              </w:tc>
            </w:tr>
            <w:tr w14:paraId="1226E3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53" w:type="dxa"/>
                  <w:vAlign w:val="center"/>
                </w:tcPr>
                <w:p w14:paraId="5D1F6368">
                  <w:pPr>
                    <w:pStyle w:val="2"/>
                    <w:snapToGrid w:val="0"/>
                    <w:spacing w:before="48" w:beforeLines="20"/>
                    <w:jc w:val="center"/>
                    <w:rPr>
                      <w:color w:val="auto"/>
                      <w:sz w:val="21"/>
                      <w:szCs w:val="21"/>
                    </w:rPr>
                  </w:pPr>
                  <w:r>
                    <w:rPr>
                      <w:color w:val="auto"/>
                      <w:sz w:val="21"/>
                      <w:szCs w:val="21"/>
                    </w:rPr>
                    <w:t>废液压油</w:t>
                  </w:r>
                </w:p>
              </w:tc>
              <w:tc>
                <w:tcPr>
                  <w:tcW w:w="2198" w:type="dxa"/>
                  <w:vAlign w:val="center"/>
                </w:tcPr>
                <w:p w14:paraId="18357DED">
                  <w:pPr>
                    <w:pStyle w:val="2"/>
                    <w:snapToGrid w:val="0"/>
                    <w:spacing w:before="48" w:beforeLines="20"/>
                    <w:jc w:val="center"/>
                    <w:rPr>
                      <w:color w:val="auto"/>
                      <w:sz w:val="21"/>
                      <w:szCs w:val="21"/>
                    </w:rPr>
                  </w:pPr>
                  <w:r>
                    <w:rPr>
                      <w:color w:val="auto"/>
                      <w:sz w:val="21"/>
                      <w:szCs w:val="21"/>
                    </w:rPr>
                    <w:t>0.3</w:t>
                  </w:r>
                </w:p>
              </w:tc>
              <w:tc>
                <w:tcPr>
                  <w:tcW w:w="2086" w:type="dxa"/>
                  <w:vAlign w:val="center"/>
                </w:tcPr>
                <w:p w14:paraId="572CAB36">
                  <w:pPr>
                    <w:pStyle w:val="2"/>
                    <w:snapToGrid w:val="0"/>
                    <w:spacing w:before="48" w:beforeLines="20"/>
                    <w:jc w:val="center"/>
                    <w:rPr>
                      <w:color w:val="auto"/>
                      <w:sz w:val="21"/>
                      <w:szCs w:val="21"/>
                    </w:rPr>
                  </w:pPr>
                  <w:r>
                    <w:rPr>
                      <w:color w:val="auto"/>
                      <w:sz w:val="21"/>
                      <w:szCs w:val="21"/>
                    </w:rPr>
                    <w:t>2500</w:t>
                  </w:r>
                </w:p>
              </w:tc>
              <w:tc>
                <w:tcPr>
                  <w:tcW w:w="2100" w:type="dxa"/>
                  <w:vAlign w:val="center"/>
                </w:tcPr>
                <w:p w14:paraId="67B126B5">
                  <w:pPr>
                    <w:pStyle w:val="2"/>
                    <w:snapToGrid w:val="0"/>
                    <w:spacing w:before="48" w:beforeLines="20"/>
                    <w:jc w:val="center"/>
                    <w:rPr>
                      <w:color w:val="auto"/>
                      <w:sz w:val="21"/>
                      <w:szCs w:val="21"/>
                    </w:rPr>
                  </w:pPr>
                  <w:r>
                    <w:rPr>
                      <w:sz w:val="21"/>
                      <w:szCs w:val="21"/>
                    </w:rPr>
                    <w:t>0.00012</w:t>
                  </w:r>
                </w:p>
              </w:tc>
            </w:tr>
            <w:tr w14:paraId="471B75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53" w:type="dxa"/>
                  <w:vAlign w:val="center"/>
                </w:tcPr>
                <w:p w14:paraId="6651F217">
                  <w:pPr>
                    <w:pStyle w:val="2"/>
                    <w:snapToGrid w:val="0"/>
                    <w:spacing w:before="48" w:beforeLines="20"/>
                    <w:jc w:val="center"/>
                    <w:rPr>
                      <w:color w:val="auto"/>
                      <w:sz w:val="21"/>
                      <w:szCs w:val="21"/>
                    </w:rPr>
                  </w:pPr>
                  <w:r>
                    <w:rPr>
                      <w:color w:val="auto"/>
                      <w:sz w:val="21"/>
                      <w:szCs w:val="21"/>
                    </w:rPr>
                    <w:t>废活性炭</w:t>
                  </w:r>
                </w:p>
              </w:tc>
              <w:tc>
                <w:tcPr>
                  <w:tcW w:w="2198" w:type="dxa"/>
                  <w:vAlign w:val="center"/>
                </w:tcPr>
                <w:p w14:paraId="70C151FD">
                  <w:pPr>
                    <w:pStyle w:val="2"/>
                    <w:snapToGrid w:val="0"/>
                    <w:spacing w:before="48" w:beforeLines="20"/>
                    <w:jc w:val="center"/>
                    <w:rPr>
                      <w:rFonts w:hint="default" w:eastAsia="宋体"/>
                      <w:color w:val="auto"/>
                      <w:sz w:val="21"/>
                      <w:szCs w:val="21"/>
                      <w:lang w:val="en-US" w:eastAsia="zh-CN"/>
                    </w:rPr>
                  </w:pPr>
                  <w:r>
                    <w:rPr>
                      <w:color w:val="auto"/>
                      <w:sz w:val="21"/>
                      <w:szCs w:val="21"/>
                    </w:rPr>
                    <w:t>1.</w:t>
                  </w:r>
                  <w:r>
                    <w:rPr>
                      <w:rFonts w:hint="eastAsia"/>
                      <w:color w:val="auto"/>
                      <w:sz w:val="21"/>
                      <w:szCs w:val="21"/>
                      <w:lang w:val="en-US" w:eastAsia="zh-CN"/>
                    </w:rPr>
                    <w:t>31</w:t>
                  </w:r>
                </w:p>
              </w:tc>
              <w:tc>
                <w:tcPr>
                  <w:tcW w:w="2086" w:type="dxa"/>
                  <w:vAlign w:val="center"/>
                </w:tcPr>
                <w:p w14:paraId="43735DDB">
                  <w:pPr>
                    <w:pStyle w:val="2"/>
                    <w:snapToGrid w:val="0"/>
                    <w:spacing w:before="48" w:beforeLines="20"/>
                    <w:jc w:val="center"/>
                    <w:rPr>
                      <w:color w:val="auto"/>
                      <w:sz w:val="21"/>
                      <w:szCs w:val="21"/>
                    </w:rPr>
                  </w:pPr>
                  <w:r>
                    <w:rPr>
                      <w:color w:val="auto"/>
                      <w:sz w:val="21"/>
                      <w:szCs w:val="21"/>
                    </w:rPr>
                    <w:t>50</w:t>
                  </w:r>
                </w:p>
              </w:tc>
              <w:tc>
                <w:tcPr>
                  <w:tcW w:w="2100" w:type="dxa"/>
                  <w:vAlign w:val="center"/>
                </w:tcPr>
                <w:p w14:paraId="3BE479A5">
                  <w:pPr>
                    <w:pStyle w:val="2"/>
                    <w:snapToGrid w:val="0"/>
                    <w:spacing w:before="48" w:beforeLines="20"/>
                    <w:jc w:val="center"/>
                    <w:rPr>
                      <w:sz w:val="21"/>
                      <w:szCs w:val="21"/>
                    </w:rPr>
                  </w:pPr>
                  <w:r>
                    <w:rPr>
                      <w:sz w:val="21"/>
                      <w:szCs w:val="21"/>
                    </w:rPr>
                    <w:t>0.0398</w:t>
                  </w:r>
                </w:p>
              </w:tc>
            </w:tr>
            <w:tr w14:paraId="0987F2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37" w:type="dxa"/>
                  <w:gridSpan w:val="3"/>
                  <w:vAlign w:val="center"/>
                </w:tcPr>
                <w:p w14:paraId="2E866304">
                  <w:pPr>
                    <w:pStyle w:val="2"/>
                    <w:snapToGrid w:val="0"/>
                    <w:spacing w:before="48" w:beforeLines="20"/>
                    <w:jc w:val="center"/>
                    <w:rPr>
                      <w:color w:val="auto"/>
                      <w:sz w:val="21"/>
                      <w:szCs w:val="21"/>
                    </w:rPr>
                  </w:pPr>
                  <w:r>
                    <w:rPr>
                      <w:color w:val="auto"/>
                      <w:sz w:val="21"/>
                      <w:szCs w:val="21"/>
                    </w:rPr>
                    <w:t>合计</w:t>
                  </w:r>
                </w:p>
              </w:tc>
              <w:tc>
                <w:tcPr>
                  <w:tcW w:w="2100" w:type="dxa"/>
                  <w:vAlign w:val="center"/>
                </w:tcPr>
                <w:p w14:paraId="74916977">
                  <w:pPr>
                    <w:pStyle w:val="2"/>
                    <w:snapToGrid w:val="0"/>
                    <w:spacing w:before="48" w:beforeLines="20"/>
                    <w:jc w:val="center"/>
                    <w:rPr>
                      <w:color w:val="auto"/>
                      <w:sz w:val="21"/>
                      <w:szCs w:val="21"/>
                    </w:rPr>
                  </w:pPr>
                  <w:r>
                    <w:rPr>
                      <w:sz w:val="21"/>
                      <w:szCs w:val="21"/>
                    </w:rPr>
                    <w:t>0.03992</w:t>
                  </w:r>
                </w:p>
              </w:tc>
            </w:tr>
          </w:tbl>
          <w:p w14:paraId="059CDD0A">
            <w:pPr>
              <w:adjustRightInd w:val="0"/>
              <w:snapToGrid w:val="0"/>
              <w:spacing w:before="120" w:beforeLines="50" w:line="360" w:lineRule="auto"/>
              <w:ind w:firstLine="480" w:firstLineChars="200"/>
              <w:rPr>
                <w:sz w:val="24"/>
              </w:rPr>
            </w:pPr>
            <w:r>
              <w:rPr>
                <w:sz w:val="24"/>
              </w:rPr>
              <w:t>由上表知，本项目物质总量与其临界量比值Q =</w:t>
            </w:r>
            <w:r>
              <w:t xml:space="preserve"> </w:t>
            </w:r>
            <w:r>
              <w:rPr>
                <w:sz w:val="24"/>
              </w:rPr>
              <w:t>0.03992 &lt;1。根据《建设项目环境风险评价技术导则》（HJ/T169-2018），当 Q&lt;1时，该项目环境风险潜势为Ⅰ。</w:t>
            </w:r>
          </w:p>
          <w:p w14:paraId="6DD8724A">
            <w:pPr>
              <w:adjustRightInd w:val="0"/>
              <w:snapToGrid w:val="0"/>
              <w:spacing w:line="360" w:lineRule="auto"/>
              <w:ind w:firstLine="480" w:firstLineChars="200"/>
              <w:rPr>
                <w:sz w:val="24"/>
              </w:rPr>
            </w:pPr>
            <w:r>
              <w:rPr>
                <w:sz w:val="24"/>
              </w:rPr>
              <w:t>（3）环境风险评价等级</w:t>
            </w:r>
          </w:p>
          <w:p w14:paraId="23A580CA">
            <w:pPr>
              <w:adjustRightInd w:val="0"/>
              <w:snapToGrid w:val="0"/>
              <w:spacing w:line="360" w:lineRule="auto"/>
              <w:ind w:firstLine="480" w:firstLineChars="200"/>
              <w:rPr>
                <w:sz w:val="24"/>
              </w:rPr>
            </w:pPr>
            <w:r>
              <w:rPr>
                <w:sz w:val="24"/>
              </w:rPr>
              <w:t>按照《建设项目环境风险评价技术导则》（HJ 169-2018），根据建设项目设计的物质及工艺系统危险性和所在地的环境敏感性确定环境风险潜势，本项目风险潜势为Ⅰ，开展简单分析，在描述危险物质、环境影响途径、环境危害后果、风险防范措施等方面给出定性的说明。</w:t>
            </w:r>
          </w:p>
          <w:p w14:paraId="1F4A7B42">
            <w:pPr>
              <w:pStyle w:val="52"/>
              <w:numPr>
                <w:ilvl w:val="0"/>
                <w:numId w:val="0"/>
              </w:numPr>
              <w:spacing w:line="360" w:lineRule="auto"/>
              <w:ind w:left="420" w:leftChars="0" w:hanging="132" w:firstLineChars="0"/>
              <w:rPr>
                <w:rFonts w:cs="Times New Roman"/>
              </w:rPr>
            </w:pPr>
            <w:r>
              <w:rPr>
                <w:rFonts w:hint="eastAsia" w:ascii="Times New Roman" w:hAnsi="Times New Roman" w:eastAsia="宋体" w:cs="Times New Roman"/>
                <w:b/>
                <w:kern w:val="0"/>
                <w:sz w:val="21"/>
                <w:szCs w:val="21"/>
                <w:lang w:val="en-US" w:eastAsia="zh-CN" w:bidi="ar-SA"/>
              </w:rPr>
              <w:t>表4-1</w:t>
            </w:r>
            <w:r>
              <w:rPr>
                <w:rFonts w:hint="eastAsia" w:cs="Times New Roman"/>
                <w:b/>
                <w:kern w:val="0"/>
                <w:sz w:val="21"/>
                <w:szCs w:val="21"/>
                <w:lang w:val="en-US" w:eastAsia="zh-CN" w:bidi="ar-SA"/>
              </w:rPr>
              <w:t>5</w:t>
            </w:r>
            <w:r>
              <w:rPr>
                <w:rFonts w:cs="Times New Roman"/>
              </w:rPr>
              <w:t>评级工作等级划分</w:t>
            </w:r>
          </w:p>
          <w:tbl>
            <w:tblPr>
              <w:tblStyle w:val="75"/>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98"/>
              <w:gridCol w:w="1375"/>
              <w:gridCol w:w="655"/>
              <w:gridCol w:w="655"/>
              <w:gridCol w:w="1536"/>
              <w:gridCol w:w="2505"/>
            </w:tblGrid>
            <w:tr w14:paraId="609402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0" w:type="auto"/>
                  <w:vAlign w:val="center"/>
                </w:tcPr>
                <w:p w14:paraId="07675D76">
                  <w:pPr>
                    <w:pStyle w:val="36"/>
                    <w:adjustRightInd w:val="0"/>
                    <w:snapToGrid w:val="0"/>
                    <w:spacing w:before="48" w:beforeLines="20" w:line="240" w:lineRule="auto"/>
                    <w:rPr>
                      <w:rFonts w:ascii="Times New Roman" w:hAnsi="Times New Roman"/>
                    </w:rPr>
                  </w:pPr>
                  <w:r>
                    <w:rPr>
                      <w:rFonts w:ascii="Times New Roman" w:hAnsi="Times New Roman"/>
                    </w:rPr>
                    <w:t>环境风险潜势</w:t>
                  </w:r>
                </w:p>
              </w:tc>
              <w:tc>
                <w:tcPr>
                  <w:tcW w:w="0" w:type="auto"/>
                  <w:vAlign w:val="center"/>
                </w:tcPr>
                <w:p w14:paraId="23791A1D">
                  <w:pPr>
                    <w:pStyle w:val="36"/>
                    <w:adjustRightInd w:val="0"/>
                    <w:snapToGrid w:val="0"/>
                    <w:spacing w:before="48" w:beforeLines="20" w:line="240" w:lineRule="auto"/>
                    <w:rPr>
                      <w:rFonts w:ascii="Times New Roman" w:hAnsi="Times New Roman"/>
                    </w:rPr>
                  </w:pPr>
                  <w:r>
                    <w:rPr>
                      <w:rFonts w:ascii="Times New Roman" w:hAnsi="Times New Roman"/>
                    </w:rPr>
                    <w:t>Ⅳ</w:t>
                  </w:r>
                  <w:r>
                    <w:rPr>
                      <w:rFonts w:ascii="Times New Roman" w:hAnsi="Times New Roman"/>
                      <w:vertAlign w:val="superscript"/>
                    </w:rPr>
                    <w:t>+</w:t>
                  </w:r>
                  <w:r>
                    <w:rPr>
                      <w:rFonts w:ascii="Times New Roman" w:hAnsi="Times New Roman"/>
                    </w:rPr>
                    <w:t>、Ⅳ</w:t>
                  </w:r>
                </w:p>
              </w:tc>
              <w:tc>
                <w:tcPr>
                  <w:tcW w:w="0" w:type="auto"/>
                  <w:vAlign w:val="center"/>
                </w:tcPr>
                <w:p w14:paraId="77EB7E62">
                  <w:pPr>
                    <w:pStyle w:val="36"/>
                    <w:adjustRightInd w:val="0"/>
                    <w:snapToGrid w:val="0"/>
                    <w:spacing w:before="48" w:beforeLines="20" w:line="240" w:lineRule="auto"/>
                    <w:rPr>
                      <w:rFonts w:ascii="Times New Roman" w:hAnsi="Times New Roman"/>
                    </w:rPr>
                  </w:pPr>
                  <w:r>
                    <w:rPr>
                      <w:rFonts w:ascii="Times New Roman" w:hAnsi="Times New Roman"/>
                    </w:rPr>
                    <w:t>Ⅲ</w:t>
                  </w:r>
                </w:p>
              </w:tc>
              <w:tc>
                <w:tcPr>
                  <w:tcW w:w="0" w:type="auto"/>
                  <w:vAlign w:val="center"/>
                </w:tcPr>
                <w:p w14:paraId="205C6A1E">
                  <w:pPr>
                    <w:pStyle w:val="36"/>
                    <w:adjustRightInd w:val="0"/>
                    <w:snapToGrid w:val="0"/>
                    <w:spacing w:before="48" w:beforeLines="20" w:line="240" w:lineRule="auto"/>
                    <w:rPr>
                      <w:rFonts w:ascii="Times New Roman" w:hAnsi="Times New Roman"/>
                    </w:rPr>
                  </w:pPr>
                  <w:r>
                    <w:rPr>
                      <w:rFonts w:ascii="Times New Roman" w:hAnsi="Times New Roman"/>
                    </w:rPr>
                    <w:t>Ⅱ</w:t>
                  </w:r>
                </w:p>
              </w:tc>
              <w:tc>
                <w:tcPr>
                  <w:tcW w:w="0" w:type="auto"/>
                  <w:vAlign w:val="center"/>
                </w:tcPr>
                <w:p w14:paraId="145FC5C3">
                  <w:pPr>
                    <w:pStyle w:val="36"/>
                    <w:adjustRightInd w:val="0"/>
                    <w:snapToGrid w:val="0"/>
                    <w:spacing w:before="48" w:beforeLines="20" w:line="240" w:lineRule="auto"/>
                    <w:rPr>
                      <w:rFonts w:ascii="Times New Roman" w:hAnsi="Times New Roman"/>
                    </w:rPr>
                  </w:pPr>
                  <w:r>
                    <w:rPr>
                      <w:rFonts w:ascii="Times New Roman" w:hAnsi="Times New Roman"/>
                    </w:rPr>
                    <w:t>Ⅰ</w:t>
                  </w:r>
                </w:p>
              </w:tc>
              <w:tc>
                <w:tcPr>
                  <w:tcW w:w="0" w:type="auto"/>
                  <w:vAlign w:val="center"/>
                </w:tcPr>
                <w:p w14:paraId="39327A8B">
                  <w:pPr>
                    <w:pStyle w:val="36"/>
                    <w:adjustRightInd w:val="0"/>
                    <w:snapToGrid w:val="0"/>
                    <w:spacing w:before="48" w:beforeLines="20" w:line="240" w:lineRule="auto"/>
                    <w:rPr>
                      <w:rFonts w:ascii="Times New Roman" w:hAnsi="Times New Roman"/>
                    </w:rPr>
                  </w:pPr>
                  <w:r>
                    <w:rPr>
                      <w:rFonts w:ascii="Times New Roman" w:hAnsi="Times New Roman"/>
                    </w:rPr>
                    <w:t>备注</w:t>
                  </w:r>
                </w:p>
              </w:tc>
            </w:tr>
            <w:tr w14:paraId="19B4B2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0" w:type="auto"/>
                  <w:vAlign w:val="center"/>
                </w:tcPr>
                <w:p w14:paraId="293F7085">
                  <w:pPr>
                    <w:pStyle w:val="36"/>
                    <w:adjustRightInd w:val="0"/>
                    <w:snapToGrid w:val="0"/>
                    <w:spacing w:before="48" w:beforeLines="20" w:line="240" w:lineRule="auto"/>
                    <w:rPr>
                      <w:rFonts w:ascii="Times New Roman" w:hAnsi="Times New Roman"/>
                    </w:rPr>
                  </w:pPr>
                  <w:r>
                    <w:rPr>
                      <w:rFonts w:ascii="Times New Roman" w:hAnsi="Times New Roman"/>
                    </w:rPr>
                    <w:t>评价工作等级</w:t>
                  </w:r>
                </w:p>
              </w:tc>
              <w:tc>
                <w:tcPr>
                  <w:tcW w:w="0" w:type="auto"/>
                  <w:vAlign w:val="center"/>
                </w:tcPr>
                <w:p w14:paraId="01CC5EAF">
                  <w:pPr>
                    <w:pStyle w:val="36"/>
                    <w:adjustRightInd w:val="0"/>
                    <w:snapToGrid w:val="0"/>
                    <w:spacing w:before="48" w:beforeLines="20" w:line="240" w:lineRule="auto"/>
                    <w:rPr>
                      <w:rFonts w:ascii="Times New Roman" w:hAnsi="Times New Roman"/>
                    </w:rPr>
                  </w:pPr>
                  <w:r>
                    <w:rPr>
                      <w:rFonts w:ascii="Times New Roman" w:hAnsi="Times New Roman"/>
                    </w:rPr>
                    <w:t>一</w:t>
                  </w:r>
                </w:p>
              </w:tc>
              <w:tc>
                <w:tcPr>
                  <w:tcW w:w="0" w:type="auto"/>
                  <w:vAlign w:val="center"/>
                </w:tcPr>
                <w:p w14:paraId="1859142D">
                  <w:pPr>
                    <w:pStyle w:val="36"/>
                    <w:adjustRightInd w:val="0"/>
                    <w:snapToGrid w:val="0"/>
                    <w:spacing w:before="48" w:beforeLines="20" w:line="240" w:lineRule="auto"/>
                    <w:rPr>
                      <w:rFonts w:ascii="Times New Roman" w:hAnsi="Times New Roman"/>
                    </w:rPr>
                  </w:pPr>
                  <w:r>
                    <w:rPr>
                      <w:rFonts w:ascii="Times New Roman" w:hAnsi="Times New Roman"/>
                    </w:rPr>
                    <w:t>二</w:t>
                  </w:r>
                </w:p>
              </w:tc>
              <w:tc>
                <w:tcPr>
                  <w:tcW w:w="0" w:type="auto"/>
                  <w:vAlign w:val="center"/>
                </w:tcPr>
                <w:p w14:paraId="2C67C975">
                  <w:pPr>
                    <w:pStyle w:val="36"/>
                    <w:adjustRightInd w:val="0"/>
                    <w:snapToGrid w:val="0"/>
                    <w:spacing w:before="48" w:beforeLines="20" w:line="240" w:lineRule="auto"/>
                    <w:rPr>
                      <w:rFonts w:ascii="Times New Roman" w:hAnsi="Times New Roman"/>
                    </w:rPr>
                  </w:pPr>
                  <w:r>
                    <w:rPr>
                      <w:rFonts w:ascii="Times New Roman" w:hAnsi="Times New Roman"/>
                    </w:rPr>
                    <w:t>三</w:t>
                  </w:r>
                </w:p>
              </w:tc>
              <w:tc>
                <w:tcPr>
                  <w:tcW w:w="0" w:type="auto"/>
                  <w:vAlign w:val="center"/>
                </w:tcPr>
                <w:p w14:paraId="24A86672">
                  <w:pPr>
                    <w:pStyle w:val="36"/>
                    <w:adjustRightInd w:val="0"/>
                    <w:snapToGrid w:val="0"/>
                    <w:spacing w:before="48" w:beforeLines="20" w:line="240" w:lineRule="auto"/>
                    <w:rPr>
                      <w:rFonts w:ascii="Times New Roman" w:hAnsi="Times New Roman"/>
                    </w:rPr>
                  </w:pPr>
                  <w:r>
                    <w:rPr>
                      <w:rFonts w:ascii="Times New Roman" w:hAnsi="Times New Roman"/>
                    </w:rPr>
                    <w:t>简单分析</w:t>
                  </w:r>
                  <w:r>
                    <w:rPr>
                      <w:rFonts w:ascii="Times New Roman" w:hAnsi="Times New Roman"/>
                      <w:vertAlign w:val="superscript"/>
                    </w:rPr>
                    <w:t>a</w:t>
                  </w:r>
                </w:p>
              </w:tc>
              <w:tc>
                <w:tcPr>
                  <w:tcW w:w="0" w:type="auto"/>
                  <w:vAlign w:val="center"/>
                </w:tcPr>
                <w:p w14:paraId="6B6EEE31">
                  <w:pPr>
                    <w:pStyle w:val="36"/>
                    <w:adjustRightInd w:val="0"/>
                    <w:snapToGrid w:val="0"/>
                    <w:spacing w:before="48" w:beforeLines="20" w:line="240" w:lineRule="auto"/>
                    <w:rPr>
                      <w:rFonts w:ascii="Times New Roman" w:hAnsi="Times New Roman"/>
                    </w:rPr>
                  </w:pPr>
                  <w:r>
                    <w:rPr>
                      <w:rFonts w:ascii="Times New Roman" w:hAnsi="Times New Roman"/>
                    </w:rPr>
                    <w:t>本项目风险潜势为Ⅰ</w:t>
                  </w:r>
                </w:p>
              </w:tc>
            </w:tr>
            <w:tr w14:paraId="56DDDC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0" w:type="auto"/>
                  <w:gridSpan w:val="6"/>
                  <w:vAlign w:val="center"/>
                </w:tcPr>
                <w:p w14:paraId="44283DF6">
                  <w:pPr>
                    <w:pStyle w:val="36"/>
                    <w:adjustRightInd w:val="0"/>
                    <w:snapToGrid w:val="0"/>
                    <w:spacing w:before="48" w:beforeLines="20" w:line="240" w:lineRule="auto"/>
                    <w:jc w:val="left"/>
                    <w:rPr>
                      <w:rFonts w:ascii="Times New Roman" w:hAnsi="Times New Roman"/>
                    </w:rPr>
                  </w:pPr>
                  <w:r>
                    <w:rPr>
                      <w:rFonts w:ascii="Times New Roman" w:hAnsi="Times New Roman"/>
                    </w:rPr>
                    <w:t>a是相对于详细评价工作内容而言，在描述危险物质、环境影响途径、环境危害后果、风险防范措施等方面给出定性的说明。</w:t>
                  </w:r>
                </w:p>
              </w:tc>
            </w:tr>
          </w:tbl>
          <w:p w14:paraId="1873887D">
            <w:pPr>
              <w:pStyle w:val="2"/>
              <w:snapToGrid w:val="0"/>
              <w:spacing w:before="120" w:beforeLines="50" w:line="360" w:lineRule="auto"/>
              <w:ind w:firstLine="482" w:firstLineChars="200"/>
              <w:rPr>
                <w:b/>
                <w:bCs/>
                <w:color w:val="auto"/>
              </w:rPr>
            </w:pPr>
            <w:r>
              <w:rPr>
                <w:b/>
                <w:bCs/>
                <w:color w:val="auto"/>
              </w:rPr>
              <w:t>环境风险识别：</w:t>
            </w:r>
          </w:p>
          <w:p w14:paraId="19898BEB">
            <w:pPr>
              <w:pStyle w:val="66"/>
              <w:adjustRightInd w:val="0"/>
              <w:snapToGrid w:val="0"/>
              <w:ind w:firstLine="536"/>
            </w:pPr>
            <w:r>
              <w:t>本项目物质环境风险识别见下表。</w:t>
            </w:r>
          </w:p>
          <w:p w14:paraId="4CC9801A">
            <w:pPr>
              <w:pStyle w:val="52"/>
              <w:numPr>
                <w:ilvl w:val="0"/>
                <w:numId w:val="0"/>
              </w:numPr>
              <w:spacing w:line="360" w:lineRule="auto"/>
              <w:ind w:left="420" w:leftChars="0" w:hanging="132" w:firstLineChars="0"/>
              <w:rPr>
                <w:rFonts w:cs="Times New Roman"/>
              </w:rPr>
            </w:pPr>
            <w:r>
              <w:rPr>
                <w:rFonts w:hint="eastAsia" w:ascii="Times New Roman" w:hAnsi="Times New Roman" w:eastAsia="宋体" w:cs="Times New Roman"/>
                <w:b/>
                <w:kern w:val="0"/>
                <w:sz w:val="21"/>
                <w:szCs w:val="21"/>
                <w:lang w:val="en-US" w:eastAsia="zh-CN" w:bidi="ar-SA"/>
              </w:rPr>
              <w:t>表4-1</w:t>
            </w:r>
            <w:r>
              <w:rPr>
                <w:rFonts w:hint="eastAsia" w:cs="Times New Roman"/>
                <w:b/>
                <w:kern w:val="0"/>
                <w:sz w:val="21"/>
                <w:szCs w:val="21"/>
                <w:lang w:val="en-US" w:eastAsia="zh-CN" w:bidi="ar-SA"/>
              </w:rPr>
              <w:t>6</w:t>
            </w:r>
            <w:r>
              <w:rPr>
                <w:rFonts w:cs="Times New Roman"/>
              </w:rPr>
              <w:t>物质环境风险识别</w:t>
            </w:r>
          </w:p>
          <w:tbl>
            <w:tblPr>
              <w:tblStyle w:val="75"/>
              <w:tblW w:w="49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61"/>
              <w:gridCol w:w="6391"/>
            </w:tblGrid>
            <w:tr w14:paraId="6E31E1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19" w:type="pct"/>
                  <w:vAlign w:val="center"/>
                </w:tcPr>
                <w:p w14:paraId="69443518">
                  <w:pPr>
                    <w:pStyle w:val="65"/>
                    <w:rPr>
                      <w:rFonts w:ascii="Times New Roman" w:hAnsi="Times New Roman" w:eastAsia="宋体"/>
                      <w:sz w:val="21"/>
                      <w:szCs w:val="21"/>
                    </w:rPr>
                  </w:pPr>
                  <w:r>
                    <w:rPr>
                      <w:rFonts w:ascii="Times New Roman" w:hAnsi="Times New Roman" w:eastAsia="宋体"/>
                      <w:sz w:val="21"/>
                      <w:szCs w:val="21"/>
                    </w:rPr>
                    <w:t>危险物质</w:t>
                  </w:r>
                </w:p>
              </w:tc>
              <w:tc>
                <w:tcPr>
                  <w:tcW w:w="3781" w:type="pct"/>
                  <w:vAlign w:val="center"/>
                </w:tcPr>
                <w:p w14:paraId="78B5B6C7">
                  <w:pPr>
                    <w:pStyle w:val="65"/>
                    <w:rPr>
                      <w:rFonts w:ascii="Times New Roman" w:hAnsi="Times New Roman" w:eastAsia="宋体"/>
                      <w:sz w:val="21"/>
                      <w:szCs w:val="21"/>
                    </w:rPr>
                  </w:pPr>
                  <w:r>
                    <w:rPr>
                      <w:rFonts w:ascii="Times New Roman" w:hAnsi="Times New Roman" w:eastAsia="宋体"/>
                      <w:sz w:val="21"/>
                      <w:szCs w:val="21"/>
                    </w:rPr>
                    <w:t>废液压油</w:t>
                  </w:r>
                </w:p>
              </w:tc>
            </w:tr>
            <w:tr w14:paraId="7497E6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219" w:type="pct"/>
                  <w:vAlign w:val="center"/>
                </w:tcPr>
                <w:p w14:paraId="0A93E487">
                  <w:pPr>
                    <w:pStyle w:val="65"/>
                    <w:rPr>
                      <w:rFonts w:ascii="Times New Roman" w:hAnsi="Times New Roman" w:eastAsia="宋体"/>
                      <w:sz w:val="21"/>
                      <w:szCs w:val="21"/>
                    </w:rPr>
                  </w:pPr>
                  <w:r>
                    <w:rPr>
                      <w:rFonts w:ascii="Times New Roman" w:hAnsi="Times New Roman" w:eastAsia="宋体"/>
                      <w:sz w:val="21"/>
                      <w:szCs w:val="21"/>
                    </w:rPr>
                    <w:t>危险单元分布情况</w:t>
                  </w:r>
                </w:p>
              </w:tc>
              <w:tc>
                <w:tcPr>
                  <w:tcW w:w="3781" w:type="pct"/>
                  <w:vAlign w:val="center"/>
                </w:tcPr>
                <w:p w14:paraId="66B2CE0E">
                  <w:pPr>
                    <w:pStyle w:val="65"/>
                    <w:rPr>
                      <w:rFonts w:ascii="Times New Roman" w:hAnsi="Times New Roman" w:eastAsia="宋体"/>
                      <w:sz w:val="21"/>
                      <w:szCs w:val="21"/>
                    </w:rPr>
                  </w:pPr>
                  <w:r>
                    <w:rPr>
                      <w:rFonts w:ascii="Times New Roman" w:hAnsi="Times New Roman" w:eastAsia="宋体"/>
                      <w:sz w:val="21"/>
                      <w:szCs w:val="21"/>
                    </w:rPr>
                    <w:t>主要分布在生产车间</w:t>
                  </w:r>
                </w:p>
              </w:tc>
            </w:tr>
            <w:tr w14:paraId="6C6D0E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39" w:hRule="atLeast"/>
                <w:jc w:val="center"/>
              </w:trPr>
              <w:tc>
                <w:tcPr>
                  <w:tcW w:w="1219" w:type="pct"/>
                  <w:vAlign w:val="center"/>
                </w:tcPr>
                <w:p w14:paraId="02622B77">
                  <w:pPr>
                    <w:pStyle w:val="65"/>
                    <w:rPr>
                      <w:rFonts w:ascii="Times New Roman" w:hAnsi="Times New Roman" w:eastAsia="宋体"/>
                      <w:sz w:val="21"/>
                      <w:szCs w:val="21"/>
                    </w:rPr>
                  </w:pPr>
                  <w:r>
                    <w:rPr>
                      <w:rFonts w:ascii="Times New Roman" w:hAnsi="Times New Roman" w:eastAsia="宋体"/>
                      <w:sz w:val="21"/>
                      <w:szCs w:val="21"/>
                    </w:rPr>
                    <w:t>可能影响环境途径</w:t>
                  </w:r>
                </w:p>
              </w:tc>
              <w:tc>
                <w:tcPr>
                  <w:tcW w:w="3781" w:type="pct"/>
                  <w:vAlign w:val="center"/>
                </w:tcPr>
                <w:p w14:paraId="0B2A2F81">
                  <w:pPr>
                    <w:pStyle w:val="65"/>
                    <w:rPr>
                      <w:rFonts w:ascii="Times New Roman" w:hAnsi="Times New Roman" w:eastAsia="宋体"/>
                      <w:sz w:val="21"/>
                      <w:szCs w:val="21"/>
                    </w:rPr>
                  </w:pPr>
                  <w:r>
                    <w:rPr>
                      <w:rFonts w:ascii="Times New Roman" w:hAnsi="Times New Roman" w:eastAsia="宋体"/>
                      <w:sz w:val="21"/>
                      <w:szCs w:val="21"/>
                    </w:rPr>
                    <w:t>生产车间：废液压油泄露产生的伴生/次生污染物CO、挥发性有机物通过大气扩散影响周边大气环境质量。</w:t>
                  </w:r>
                </w:p>
              </w:tc>
            </w:tr>
            <w:tr w14:paraId="5EDCE5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219" w:type="pct"/>
                  <w:vAlign w:val="center"/>
                </w:tcPr>
                <w:p w14:paraId="2EE4769C">
                  <w:pPr>
                    <w:pStyle w:val="65"/>
                    <w:rPr>
                      <w:rFonts w:ascii="Times New Roman" w:hAnsi="Times New Roman" w:eastAsia="宋体"/>
                      <w:sz w:val="21"/>
                      <w:szCs w:val="21"/>
                    </w:rPr>
                  </w:pPr>
                  <w:r>
                    <w:rPr>
                      <w:rFonts w:ascii="Times New Roman" w:hAnsi="Times New Roman" w:eastAsia="宋体"/>
                      <w:sz w:val="21"/>
                      <w:szCs w:val="21"/>
                    </w:rPr>
                    <w:t>风险类型</w:t>
                  </w:r>
                </w:p>
              </w:tc>
              <w:tc>
                <w:tcPr>
                  <w:tcW w:w="3781" w:type="pct"/>
                  <w:vAlign w:val="center"/>
                </w:tcPr>
                <w:p w14:paraId="0DA71BA9">
                  <w:pPr>
                    <w:pStyle w:val="65"/>
                    <w:rPr>
                      <w:rFonts w:ascii="Times New Roman" w:hAnsi="Times New Roman" w:eastAsia="宋体"/>
                      <w:sz w:val="21"/>
                      <w:szCs w:val="21"/>
                    </w:rPr>
                  </w:pPr>
                  <w:r>
                    <w:rPr>
                      <w:rFonts w:ascii="Times New Roman" w:hAnsi="Times New Roman" w:eastAsia="宋体"/>
                      <w:sz w:val="21"/>
                      <w:szCs w:val="21"/>
                    </w:rPr>
                    <w:t>泄漏、火灾</w:t>
                  </w:r>
                </w:p>
              </w:tc>
            </w:tr>
          </w:tbl>
          <w:p w14:paraId="1647FBED">
            <w:pPr>
              <w:pStyle w:val="2"/>
              <w:snapToGrid w:val="0"/>
              <w:spacing w:line="360" w:lineRule="auto"/>
              <w:ind w:firstLine="482" w:firstLineChars="200"/>
              <w:rPr>
                <w:b/>
                <w:bCs/>
                <w:color w:val="auto"/>
              </w:rPr>
            </w:pPr>
            <w:r>
              <w:rPr>
                <w:b/>
                <w:bCs/>
                <w:color w:val="auto"/>
              </w:rPr>
              <w:t>环境风险分析：</w:t>
            </w:r>
          </w:p>
          <w:p w14:paraId="62986A51">
            <w:pPr>
              <w:pStyle w:val="66"/>
              <w:adjustRightInd w:val="0"/>
              <w:snapToGrid w:val="0"/>
              <w:ind w:firstLine="536"/>
            </w:pPr>
            <w:r>
              <w:t>本项目环境风险危害后果见下表。</w:t>
            </w:r>
          </w:p>
          <w:p w14:paraId="0C33A09D">
            <w:pPr>
              <w:pStyle w:val="52"/>
              <w:numPr>
                <w:ilvl w:val="0"/>
                <w:numId w:val="0"/>
              </w:numPr>
              <w:spacing w:line="360" w:lineRule="auto"/>
              <w:ind w:left="420" w:leftChars="0" w:hanging="132" w:firstLineChars="0"/>
              <w:rPr>
                <w:rFonts w:cs="Times New Roman"/>
              </w:rPr>
            </w:pPr>
            <w:r>
              <w:rPr>
                <w:rFonts w:hint="eastAsia" w:ascii="Times New Roman" w:hAnsi="Times New Roman" w:eastAsia="宋体" w:cs="Times New Roman"/>
                <w:b/>
                <w:kern w:val="0"/>
                <w:sz w:val="21"/>
                <w:szCs w:val="21"/>
                <w:lang w:val="en-US" w:eastAsia="zh-CN" w:bidi="ar-SA"/>
              </w:rPr>
              <w:t>表4-1</w:t>
            </w:r>
            <w:r>
              <w:rPr>
                <w:rFonts w:hint="eastAsia" w:cs="Times New Roman"/>
                <w:b/>
                <w:kern w:val="0"/>
                <w:sz w:val="21"/>
                <w:szCs w:val="21"/>
                <w:lang w:val="en-US" w:eastAsia="zh-CN" w:bidi="ar-SA"/>
              </w:rPr>
              <w:t>7</w:t>
            </w:r>
            <w:r>
              <w:rPr>
                <w:rFonts w:cs="Times New Roman"/>
              </w:rPr>
              <w:t>危害后果</w:t>
            </w:r>
          </w:p>
          <w:tbl>
            <w:tblPr>
              <w:tblStyle w:val="75"/>
              <w:tblW w:w="49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2294"/>
              <w:gridCol w:w="2061"/>
              <w:gridCol w:w="1440"/>
              <w:gridCol w:w="1379"/>
            </w:tblGrid>
            <w:tr w14:paraId="1F4F42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56" w:type="pct"/>
                  <w:vMerge w:val="restart"/>
                  <w:vAlign w:val="center"/>
                </w:tcPr>
                <w:p w14:paraId="33A54BD3">
                  <w:pPr>
                    <w:pStyle w:val="65"/>
                    <w:rPr>
                      <w:rFonts w:ascii="Times New Roman" w:hAnsi="Times New Roman" w:eastAsia="宋体"/>
                      <w:sz w:val="21"/>
                      <w:szCs w:val="21"/>
                    </w:rPr>
                  </w:pPr>
                  <w:r>
                    <w:rPr>
                      <w:rFonts w:ascii="Times New Roman" w:hAnsi="Times New Roman" w:eastAsia="宋体"/>
                      <w:sz w:val="21"/>
                      <w:szCs w:val="21"/>
                    </w:rPr>
                    <w:t>事故类型</w:t>
                  </w:r>
                </w:p>
              </w:tc>
              <w:tc>
                <w:tcPr>
                  <w:tcW w:w="4244" w:type="pct"/>
                  <w:gridSpan w:val="4"/>
                  <w:vAlign w:val="center"/>
                </w:tcPr>
                <w:p w14:paraId="675ABE9C">
                  <w:pPr>
                    <w:pStyle w:val="65"/>
                    <w:rPr>
                      <w:rFonts w:ascii="Times New Roman" w:hAnsi="Times New Roman" w:eastAsia="宋体"/>
                      <w:sz w:val="21"/>
                      <w:szCs w:val="21"/>
                    </w:rPr>
                  </w:pPr>
                  <w:r>
                    <w:rPr>
                      <w:rFonts w:ascii="Times New Roman" w:hAnsi="Times New Roman" w:eastAsia="宋体"/>
                      <w:sz w:val="21"/>
                      <w:szCs w:val="21"/>
                    </w:rPr>
                    <w:t>危害后果</w:t>
                  </w:r>
                </w:p>
              </w:tc>
            </w:tr>
            <w:tr w14:paraId="1AD528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56" w:type="pct"/>
                  <w:vMerge w:val="continue"/>
                  <w:vAlign w:val="center"/>
                </w:tcPr>
                <w:p w14:paraId="3EA9F06B">
                  <w:pPr>
                    <w:pStyle w:val="65"/>
                    <w:rPr>
                      <w:rFonts w:ascii="Times New Roman" w:hAnsi="Times New Roman" w:eastAsia="宋体"/>
                      <w:sz w:val="21"/>
                      <w:szCs w:val="21"/>
                    </w:rPr>
                  </w:pPr>
                </w:p>
              </w:tc>
              <w:tc>
                <w:tcPr>
                  <w:tcW w:w="1357" w:type="pct"/>
                  <w:vAlign w:val="center"/>
                </w:tcPr>
                <w:p w14:paraId="18790454">
                  <w:pPr>
                    <w:pStyle w:val="65"/>
                    <w:rPr>
                      <w:rFonts w:ascii="Times New Roman" w:hAnsi="Times New Roman" w:eastAsia="宋体"/>
                      <w:sz w:val="21"/>
                      <w:szCs w:val="21"/>
                    </w:rPr>
                  </w:pPr>
                  <w:r>
                    <w:rPr>
                      <w:rFonts w:ascii="Times New Roman" w:hAnsi="Times New Roman" w:eastAsia="宋体"/>
                      <w:sz w:val="21"/>
                      <w:szCs w:val="21"/>
                    </w:rPr>
                    <w:t>环境空气</w:t>
                  </w:r>
                </w:p>
              </w:tc>
              <w:tc>
                <w:tcPr>
                  <w:tcW w:w="1219" w:type="pct"/>
                  <w:vAlign w:val="center"/>
                </w:tcPr>
                <w:p w14:paraId="75A7BA9E">
                  <w:pPr>
                    <w:pStyle w:val="65"/>
                    <w:rPr>
                      <w:rFonts w:ascii="Times New Roman" w:hAnsi="Times New Roman" w:eastAsia="宋体"/>
                      <w:sz w:val="21"/>
                      <w:szCs w:val="21"/>
                    </w:rPr>
                  </w:pPr>
                  <w:r>
                    <w:rPr>
                      <w:rFonts w:ascii="Times New Roman" w:hAnsi="Times New Roman" w:eastAsia="宋体"/>
                      <w:sz w:val="21"/>
                      <w:szCs w:val="21"/>
                    </w:rPr>
                    <w:t>地表水</w:t>
                  </w:r>
                </w:p>
              </w:tc>
              <w:tc>
                <w:tcPr>
                  <w:tcW w:w="852" w:type="pct"/>
                  <w:vAlign w:val="center"/>
                </w:tcPr>
                <w:p w14:paraId="3EAF30C4">
                  <w:pPr>
                    <w:pStyle w:val="65"/>
                    <w:rPr>
                      <w:rFonts w:ascii="Times New Roman" w:hAnsi="Times New Roman" w:eastAsia="宋体"/>
                      <w:sz w:val="21"/>
                      <w:szCs w:val="21"/>
                    </w:rPr>
                  </w:pPr>
                  <w:r>
                    <w:rPr>
                      <w:rFonts w:ascii="Times New Roman" w:hAnsi="Times New Roman" w:eastAsia="宋体"/>
                      <w:sz w:val="21"/>
                      <w:szCs w:val="21"/>
                    </w:rPr>
                    <w:t>地下水</w:t>
                  </w:r>
                </w:p>
              </w:tc>
              <w:tc>
                <w:tcPr>
                  <w:tcW w:w="816" w:type="pct"/>
                  <w:vAlign w:val="center"/>
                </w:tcPr>
                <w:p w14:paraId="61EEA24C">
                  <w:pPr>
                    <w:pStyle w:val="65"/>
                    <w:rPr>
                      <w:rFonts w:ascii="Times New Roman" w:hAnsi="Times New Roman" w:eastAsia="宋体"/>
                      <w:sz w:val="21"/>
                      <w:szCs w:val="21"/>
                    </w:rPr>
                  </w:pPr>
                  <w:r>
                    <w:rPr>
                      <w:rFonts w:ascii="Times New Roman" w:hAnsi="Times New Roman" w:eastAsia="宋体"/>
                      <w:sz w:val="21"/>
                      <w:szCs w:val="21"/>
                    </w:rPr>
                    <w:t>土壤</w:t>
                  </w:r>
                </w:p>
              </w:tc>
            </w:tr>
            <w:tr w14:paraId="5372C0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756" w:type="pct"/>
                  <w:vAlign w:val="center"/>
                </w:tcPr>
                <w:p w14:paraId="7E782B59">
                  <w:pPr>
                    <w:pStyle w:val="65"/>
                    <w:rPr>
                      <w:rFonts w:ascii="Times New Roman" w:hAnsi="Times New Roman" w:eastAsia="宋体"/>
                      <w:sz w:val="21"/>
                      <w:szCs w:val="21"/>
                    </w:rPr>
                  </w:pPr>
                  <w:r>
                    <w:rPr>
                      <w:rFonts w:ascii="Times New Roman" w:hAnsi="Times New Roman" w:eastAsia="宋体"/>
                      <w:sz w:val="21"/>
                      <w:szCs w:val="21"/>
                    </w:rPr>
                    <w:t>泄漏</w:t>
                  </w:r>
                </w:p>
              </w:tc>
              <w:tc>
                <w:tcPr>
                  <w:tcW w:w="1357" w:type="pct"/>
                  <w:vAlign w:val="center"/>
                </w:tcPr>
                <w:p w14:paraId="6323EE90">
                  <w:pPr>
                    <w:pStyle w:val="65"/>
                    <w:rPr>
                      <w:rFonts w:ascii="Times New Roman" w:hAnsi="Times New Roman" w:eastAsia="宋体"/>
                      <w:sz w:val="21"/>
                      <w:szCs w:val="21"/>
                    </w:rPr>
                  </w:pPr>
                  <w:r>
                    <w:rPr>
                      <w:rFonts w:ascii="Times New Roman" w:hAnsi="Times New Roman" w:eastAsia="宋体"/>
                      <w:sz w:val="21"/>
                      <w:szCs w:val="21"/>
                    </w:rPr>
                    <w:t>/</w:t>
                  </w:r>
                </w:p>
              </w:tc>
              <w:tc>
                <w:tcPr>
                  <w:tcW w:w="1219" w:type="pct"/>
                  <w:vAlign w:val="center"/>
                </w:tcPr>
                <w:p w14:paraId="7484069E">
                  <w:pPr>
                    <w:pStyle w:val="65"/>
                    <w:rPr>
                      <w:rFonts w:ascii="Times New Roman" w:hAnsi="Times New Roman" w:eastAsia="宋体"/>
                      <w:sz w:val="21"/>
                      <w:szCs w:val="21"/>
                    </w:rPr>
                  </w:pPr>
                  <w:r>
                    <w:rPr>
                      <w:rFonts w:ascii="Times New Roman" w:hAnsi="Times New Roman" w:eastAsia="宋体"/>
                      <w:sz w:val="21"/>
                      <w:szCs w:val="21"/>
                    </w:rPr>
                    <w:t>/</w:t>
                  </w:r>
                </w:p>
              </w:tc>
              <w:tc>
                <w:tcPr>
                  <w:tcW w:w="1668" w:type="pct"/>
                  <w:gridSpan w:val="2"/>
                  <w:vAlign w:val="center"/>
                </w:tcPr>
                <w:p w14:paraId="07FEC25B">
                  <w:pPr>
                    <w:pStyle w:val="65"/>
                    <w:rPr>
                      <w:rFonts w:ascii="Times New Roman" w:hAnsi="Times New Roman" w:eastAsia="宋体"/>
                      <w:sz w:val="21"/>
                      <w:szCs w:val="21"/>
                    </w:rPr>
                  </w:pPr>
                  <w:r>
                    <w:rPr>
                      <w:rFonts w:ascii="Times New Roman" w:hAnsi="Times New Roman" w:eastAsia="宋体"/>
                      <w:sz w:val="21"/>
                      <w:szCs w:val="21"/>
                    </w:rPr>
                    <w:t>/</w:t>
                  </w:r>
                </w:p>
              </w:tc>
            </w:tr>
            <w:tr w14:paraId="486FE4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756" w:type="pct"/>
                  <w:vAlign w:val="center"/>
                </w:tcPr>
                <w:p w14:paraId="744A055F">
                  <w:pPr>
                    <w:pStyle w:val="65"/>
                    <w:rPr>
                      <w:rFonts w:ascii="Times New Roman" w:hAnsi="Times New Roman" w:eastAsia="宋体"/>
                      <w:sz w:val="21"/>
                      <w:szCs w:val="21"/>
                    </w:rPr>
                  </w:pPr>
                  <w:r>
                    <w:rPr>
                      <w:rFonts w:ascii="Times New Roman" w:hAnsi="Times New Roman" w:eastAsia="宋体"/>
                      <w:sz w:val="21"/>
                      <w:szCs w:val="21"/>
                    </w:rPr>
                    <w:t>火灾</w:t>
                  </w:r>
                </w:p>
              </w:tc>
              <w:tc>
                <w:tcPr>
                  <w:tcW w:w="1357" w:type="pct"/>
                  <w:vAlign w:val="center"/>
                </w:tcPr>
                <w:p w14:paraId="56BD150E">
                  <w:pPr>
                    <w:pStyle w:val="65"/>
                    <w:rPr>
                      <w:rFonts w:ascii="Times New Roman" w:hAnsi="Times New Roman" w:eastAsia="宋体"/>
                      <w:sz w:val="21"/>
                      <w:szCs w:val="21"/>
                    </w:rPr>
                  </w:pPr>
                  <w:r>
                    <w:rPr>
                      <w:rFonts w:ascii="Times New Roman" w:hAnsi="Times New Roman" w:eastAsia="宋体"/>
                      <w:sz w:val="21"/>
                      <w:szCs w:val="21"/>
                    </w:rPr>
                    <w:t>废液压油泄露、火灾产生的伴生/次生污染物CO、挥发性有机物通过大气扩散影响周边大气环境质量。</w:t>
                  </w:r>
                </w:p>
              </w:tc>
              <w:tc>
                <w:tcPr>
                  <w:tcW w:w="1219" w:type="pct"/>
                  <w:vAlign w:val="center"/>
                </w:tcPr>
                <w:p w14:paraId="2EDDAA8E">
                  <w:pPr>
                    <w:pStyle w:val="65"/>
                    <w:rPr>
                      <w:rFonts w:ascii="Times New Roman" w:hAnsi="Times New Roman" w:eastAsia="宋体"/>
                      <w:sz w:val="21"/>
                      <w:szCs w:val="21"/>
                    </w:rPr>
                  </w:pPr>
                  <w:r>
                    <w:rPr>
                      <w:rFonts w:ascii="Times New Roman" w:hAnsi="Times New Roman" w:eastAsia="宋体"/>
                      <w:sz w:val="21"/>
                      <w:szCs w:val="21"/>
                    </w:rPr>
                    <w:t>/</w:t>
                  </w:r>
                </w:p>
              </w:tc>
              <w:tc>
                <w:tcPr>
                  <w:tcW w:w="852" w:type="pct"/>
                  <w:vAlign w:val="center"/>
                </w:tcPr>
                <w:p w14:paraId="08E4D5B7">
                  <w:pPr>
                    <w:pStyle w:val="65"/>
                    <w:rPr>
                      <w:rFonts w:ascii="Times New Roman" w:hAnsi="Times New Roman" w:eastAsia="宋体"/>
                      <w:sz w:val="21"/>
                      <w:szCs w:val="21"/>
                    </w:rPr>
                  </w:pPr>
                  <w:r>
                    <w:rPr>
                      <w:rFonts w:ascii="Times New Roman" w:hAnsi="Times New Roman" w:eastAsia="宋体"/>
                      <w:sz w:val="21"/>
                      <w:szCs w:val="21"/>
                    </w:rPr>
                    <w:t>/</w:t>
                  </w:r>
                </w:p>
              </w:tc>
              <w:tc>
                <w:tcPr>
                  <w:tcW w:w="816" w:type="pct"/>
                  <w:vAlign w:val="center"/>
                </w:tcPr>
                <w:p w14:paraId="4DE795F0">
                  <w:pPr>
                    <w:pStyle w:val="65"/>
                    <w:rPr>
                      <w:rFonts w:ascii="Times New Roman" w:hAnsi="Times New Roman" w:eastAsia="宋体"/>
                      <w:sz w:val="21"/>
                      <w:szCs w:val="21"/>
                    </w:rPr>
                  </w:pPr>
                  <w:r>
                    <w:rPr>
                      <w:rFonts w:ascii="Times New Roman" w:hAnsi="Times New Roman" w:eastAsia="宋体"/>
                      <w:sz w:val="21"/>
                      <w:szCs w:val="21"/>
                    </w:rPr>
                    <w:t>/</w:t>
                  </w:r>
                </w:p>
              </w:tc>
            </w:tr>
          </w:tbl>
          <w:p w14:paraId="6739EDE5">
            <w:pPr>
              <w:adjustRightInd w:val="0"/>
              <w:snapToGrid w:val="0"/>
              <w:spacing w:line="360" w:lineRule="auto"/>
              <w:ind w:firstLine="482" w:firstLineChars="200"/>
              <w:rPr>
                <w:b/>
                <w:bCs/>
                <w:sz w:val="24"/>
              </w:rPr>
            </w:pPr>
            <w:r>
              <w:rPr>
                <w:b/>
                <w:bCs/>
                <w:sz w:val="24"/>
              </w:rPr>
              <w:t>环境风险防范措施：</w:t>
            </w:r>
          </w:p>
          <w:p w14:paraId="3468697F">
            <w:pPr>
              <w:adjustRightInd w:val="0"/>
              <w:snapToGrid w:val="0"/>
              <w:spacing w:line="360" w:lineRule="auto"/>
              <w:ind w:firstLine="480" w:firstLineChars="200"/>
              <w:rPr>
                <w:sz w:val="24"/>
              </w:rPr>
            </w:pPr>
            <w:r>
              <w:rPr>
                <w:sz w:val="24"/>
              </w:rPr>
              <w:t>环境风险防范措施及应急要求</w:t>
            </w:r>
          </w:p>
          <w:p w14:paraId="24A3F7EB">
            <w:pPr>
              <w:adjustRightInd w:val="0"/>
              <w:snapToGrid w:val="0"/>
              <w:spacing w:line="360" w:lineRule="auto"/>
              <w:ind w:firstLine="480" w:firstLineChars="200"/>
              <w:rPr>
                <w:sz w:val="24"/>
              </w:rPr>
            </w:pPr>
            <w:r>
              <w:rPr>
                <w:sz w:val="24"/>
              </w:rPr>
              <w:t>为了减轻危险物品发生泄漏事故的危害后果、频率、影响程度和范围，达到同行业可接受水平，建设单位必须采取相应的风险防范措施，本评价提出以下建议：</w:t>
            </w:r>
          </w:p>
          <w:p w14:paraId="416AB07D">
            <w:pPr>
              <w:adjustRightInd w:val="0"/>
              <w:snapToGrid w:val="0"/>
              <w:spacing w:line="360" w:lineRule="auto"/>
              <w:ind w:firstLine="480" w:firstLineChars="200"/>
              <w:rPr>
                <w:sz w:val="24"/>
              </w:rPr>
            </w:pPr>
            <w:r>
              <w:rPr>
                <w:rFonts w:hint="eastAsia" w:ascii="宋体" w:hAnsi="宋体" w:cs="宋体"/>
                <w:sz w:val="24"/>
              </w:rPr>
              <w:t>①</w:t>
            </w:r>
            <w:r>
              <w:rPr>
                <w:sz w:val="24"/>
              </w:rPr>
              <w:t>总图布置和建筑安全方面</w:t>
            </w:r>
          </w:p>
          <w:p w14:paraId="35017524">
            <w:pPr>
              <w:adjustRightInd w:val="0"/>
              <w:snapToGrid w:val="0"/>
              <w:spacing w:line="360" w:lineRule="auto"/>
              <w:ind w:firstLine="480" w:firstLineChars="200"/>
              <w:rPr>
                <w:sz w:val="24"/>
              </w:rPr>
            </w:pPr>
            <w:r>
              <w:rPr>
                <w:sz w:val="24"/>
              </w:rPr>
              <w:t>在总平面布置中配套设置应急救援设施、救援通道、应急疏散避难所等防护措施。根据火灾危险性等级和防火、防爆要求，建筑物的防火等级均采用国家现行规范要求按一、二级耐火等级设计，满足建筑防火要求。凡禁火区均设置明显标识牌。各种易燃易爆物料储存于阴凉、通风处，远离火源。</w:t>
            </w:r>
          </w:p>
          <w:p w14:paraId="13F7B5BB">
            <w:pPr>
              <w:adjustRightInd w:val="0"/>
              <w:snapToGrid w:val="0"/>
              <w:spacing w:line="360" w:lineRule="auto"/>
              <w:ind w:firstLine="480" w:firstLineChars="200"/>
              <w:rPr>
                <w:sz w:val="24"/>
              </w:rPr>
            </w:pPr>
            <w:r>
              <w:rPr>
                <w:sz w:val="24"/>
              </w:rPr>
              <w:t>根据生产装置的特点，在生产车间按物料性质和人身可能意外接触到有害物质而引起烧伤、刺激或伤害皮肤的区域内，均设置紧急淋雨和洗眼器，并加以明显标记。并在装置区设置救护箱，工作人员配备必要的个人防护用品。</w:t>
            </w:r>
          </w:p>
          <w:p w14:paraId="21037DA2">
            <w:pPr>
              <w:adjustRightInd w:val="0"/>
              <w:snapToGrid w:val="0"/>
              <w:spacing w:line="360" w:lineRule="auto"/>
              <w:ind w:firstLine="480" w:firstLineChars="200"/>
              <w:rPr>
                <w:sz w:val="24"/>
              </w:rPr>
            </w:pPr>
            <w:r>
              <w:rPr>
                <w:rFonts w:hint="eastAsia" w:ascii="宋体" w:hAnsi="宋体" w:cs="宋体"/>
                <w:sz w:val="24"/>
              </w:rPr>
              <w:t>②</w:t>
            </w:r>
            <w:r>
              <w:rPr>
                <w:sz w:val="24"/>
              </w:rPr>
              <w:t>日常管理方面</w:t>
            </w:r>
          </w:p>
          <w:p w14:paraId="1DF77A42">
            <w:pPr>
              <w:adjustRightInd w:val="0"/>
              <w:snapToGrid w:val="0"/>
              <w:spacing w:line="360" w:lineRule="auto"/>
              <w:ind w:firstLine="480" w:firstLineChars="200"/>
              <w:rPr>
                <w:sz w:val="24"/>
              </w:rPr>
            </w:pPr>
            <w:r>
              <w:rPr>
                <w:sz w:val="24"/>
              </w:rPr>
              <w:t>在日常生产过程中对物料的储存、使用等方面做好管理；操作人员必须经过专门培训，严格遵守操作规程。</w:t>
            </w:r>
          </w:p>
          <w:p w14:paraId="3A19F79D">
            <w:pPr>
              <w:adjustRightInd w:val="0"/>
              <w:snapToGrid w:val="0"/>
              <w:spacing w:line="360" w:lineRule="auto"/>
              <w:ind w:firstLine="480" w:firstLineChars="200"/>
              <w:rPr>
                <w:sz w:val="24"/>
              </w:rPr>
            </w:pPr>
            <w:r>
              <w:rPr>
                <w:rFonts w:hint="eastAsia" w:ascii="宋体" w:hAnsi="宋体" w:cs="宋体"/>
                <w:sz w:val="24"/>
              </w:rPr>
              <w:t>③</w:t>
            </w:r>
            <w:r>
              <w:rPr>
                <w:sz w:val="24"/>
              </w:rPr>
              <w:t>废气事故性排放对策</w:t>
            </w:r>
          </w:p>
          <w:p w14:paraId="113D2060">
            <w:pPr>
              <w:adjustRightInd w:val="0"/>
              <w:snapToGrid w:val="0"/>
              <w:spacing w:line="360" w:lineRule="auto"/>
              <w:ind w:firstLine="480" w:firstLineChars="200"/>
              <w:rPr>
                <w:sz w:val="24"/>
              </w:rPr>
            </w:pPr>
            <w:r>
              <w:rPr>
                <w:sz w:val="24"/>
              </w:rPr>
              <w:t>为了减轻本项目对周围大气环境的影响程度和范围，保证该地区的可持续发展，建设方须建立严格、规范的大气污染应急预案，加强废气净化设施的日常管理、维护。当废气处理设备出现故障不能正常运行时，应尽快停产进行维修，避免对周围环境造成污染影响。</w:t>
            </w:r>
          </w:p>
          <w:p w14:paraId="710FAA49">
            <w:pPr>
              <w:adjustRightInd w:val="0"/>
              <w:snapToGrid w:val="0"/>
              <w:spacing w:line="360" w:lineRule="auto"/>
              <w:ind w:firstLine="480" w:firstLineChars="200"/>
              <w:rPr>
                <w:sz w:val="24"/>
              </w:rPr>
            </w:pPr>
            <w:r>
              <w:rPr>
                <w:rFonts w:hint="eastAsia" w:ascii="宋体" w:hAnsi="宋体" w:cs="宋体"/>
                <w:sz w:val="24"/>
              </w:rPr>
              <w:t>④</w:t>
            </w:r>
            <w:r>
              <w:rPr>
                <w:sz w:val="24"/>
              </w:rPr>
              <w:t>制定严格的事故应急预案并经常演练使之启动运转及时，是减轻风险事故环境影响的有效措施。</w:t>
            </w:r>
          </w:p>
          <w:p w14:paraId="0104A131">
            <w:pPr>
              <w:adjustRightInd w:val="0"/>
              <w:snapToGrid w:val="0"/>
              <w:spacing w:line="360" w:lineRule="auto"/>
              <w:ind w:firstLine="480" w:firstLineChars="200"/>
              <w:rPr>
                <w:sz w:val="24"/>
              </w:rPr>
            </w:pPr>
            <w:r>
              <w:rPr>
                <w:sz w:val="24"/>
              </w:rPr>
              <w:t>本项目通过采取相应的风险防范措施，可以将项目的环境风险水平降到较低的水平，因此本项目的风险水平在可接受的范围。</w:t>
            </w:r>
          </w:p>
          <w:p w14:paraId="64D7D175">
            <w:pPr>
              <w:pStyle w:val="12"/>
              <w:rPr>
                <w:kern w:val="2"/>
                <w:sz w:val="21"/>
                <w:szCs w:val="24"/>
              </w:rPr>
            </w:pPr>
          </w:p>
          <w:p w14:paraId="468B6D04">
            <w:pPr>
              <w:adjustRightInd w:val="0"/>
              <w:snapToGrid w:val="0"/>
              <w:spacing w:line="360" w:lineRule="auto"/>
              <w:jc w:val="left"/>
              <w:rPr>
                <w:b/>
                <w:bCs/>
                <w:sz w:val="24"/>
                <w:lang w:bidi="ar"/>
              </w:rPr>
            </w:pPr>
            <w:r>
              <w:rPr>
                <w:b/>
                <w:bCs/>
                <w:sz w:val="24"/>
                <w:lang w:bidi="ar"/>
              </w:rPr>
              <w:t>八、排污口规范化设置</w:t>
            </w:r>
          </w:p>
          <w:p w14:paraId="6DE2016D">
            <w:pPr>
              <w:adjustRightInd w:val="0"/>
              <w:snapToGrid w:val="0"/>
              <w:spacing w:line="360" w:lineRule="auto"/>
              <w:ind w:firstLine="480" w:firstLineChars="200"/>
              <w:rPr>
                <w:sz w:val="24"/>
              </w:rPr>
            </w:pPr>
            <w:r>
              <w:rPr>
                <w:sz w:val="24"/>
              </w:rPr>
              <w:t>按照《安徽省污染源排放口规范化整治管理办法》（环法函[2005]114号），排污口规范化整治应遵循便于采集样品，便于计量监测，便于日常现场监督检查的原则，建设项目按有关规定对排污口施行规范化管理，在各排污口和污染物排放电源竖立标志牌，建立管理档案。</w:t>
            </w:r>
          </w:p>
          <w:p w14:paraId="125D9DAC">
            <w:pPr>
              <w:adjustRightInd w:val="0"/>
              <w:snapToGrid w:val="0"/>
              <w:spacing w:line="360" w:lineRule="auto"/>
              <w:ind w:firstLine="480" w:firstLineChars="200"/>
              <w:rPr>
                <w:sz w:val="24"/>
              </w:rPr>
            </w:pPr>
            <w:r>
              <w:rPr>
                <w:sz w:val="24"/>
              </w:rPr>
              <w:t>（1）废气排放口规范化</w:t>
            </w:r>
          </w:p>
          <w:p w14:paraId="2C7698B1">
            <w:pPr>
              <w:adjustRightInd w:val="0"/>
              <w:snapToGrid w:val="0"/>
              <w:spacing w:line="360" w:lineRule="auto"/>
              <w:ind w:firstLine="480" w:firstLineChars="200"/>
              <w:rPr>
                <w:sz w:val="24"/>
              </w:rPr>
            </w:pPr>
            <w:r>
              <w:rPr>
                <w:sz w:val="24"/>
              </w:rPr>
              <w:t>废气排放口必须符合规定的高度和按照《污染源监测技术规范》便于采样、监测的要求，设置直径不大于75mm的采样口。如无法满足要求的，其采样口与环境监测部门共同确认。</w:t>
            </w:r>
          </w:p>
          <w:p w14:paraId="5CCC8388">
            <w:pPr>
              <w:adjustRightInd w:val="0"/>
              <w:snapToGrid w:val="0"/>
              <w:spacing w:line="360" w:lineRule="auto"/>
              <w:ind w:firstLine="480" w:firstLineChars="200"/>
              <w:rPr>
                <w:sz w:val="24"/>
              </w:rPr>
            </w:pPr>
            <w:r>
              <w:rPr>
                <w:sz w:val="24"/>
              </w:rPr>
              <w:t>（2）污水排放口规范化</w:t>
            </w:r>
          </w:p>
          <w:p w14:paraId="2CDEF251">
            <w:pPr>
              <w:adjustRightInd w:val="0"/>
              <w:snapToGrid w:val="0"/>
              <w:spacing w:line="360" w:lineRule="auto"/>
              <w:ind w:firstLine="480" w:firstLineChars="200"/>
              <w:rPr>
                <w:sz w:val="24"/>
              </w:rPr>
            </w:pPr>
            <w:r>
              <w:rPr>
                <w:sz w:val="24"/>
              </w:rPr>
              <w:t>本项目无污水排放口。</w:t>
            </w:r>
          </w:p>
          <w:p w14:paraId="0002D536">
            <w:pPr>
              <w:adjustRightInd w:val="0"/>
              <w:snapToGrid w:val="0"/>
              <w:spacing w:line="360" w:lineRule="auto"/>
              <w:ind w:firstLine="480" w:firstLineChars="200"/>
              <w:rPr>
                <w:sz w:val="24"/>
              </w:rPr>
            </w:pPr>
            <w:r>
              <w:rPr>
                <w:sz w:val="24"/>
              </w:rPr>
              <w:t>（3）固定噪声污染源规范化整治</w:t>
            </w:r>
          </w:p>
          <w:p w14:paraId="07BA2C8C">
            <w:pPr>
              <w:adjustRightInd w:val="0"/>
              <w:snapToGrid w:val="0"/>
              <w:spacing w:line="360" w:lineRule="auto"/>
              <w:ind w:firstLine="480" w:firstLineChars="200"/>
              <w:rPr>
                <w:sz w:val="24"/>
              </w:rPr>
            </w:pPr>
            <w:r>
              <w:rPr>
                <w:sz w:val="24"/>
              </w:rPr>
              <w:t>参照《工业企业厂界环境噪声排放标准》（GB12348－2008）的规定，定期监测，设置环境噪声监测点，并在该处附近醒目处设置环境保护图形标志牌。</w:t>
            </w:r>
          </w:p>
          <w:p w14:paraId="0C4BA59F">
            <w:pPr>
              <w:adjustRightInd w:val="0"/>
              <w:snapToGrid w:val="0"/>
              <w:spacing w:line="360" w:lineRule="auto"/>
              <w:ind w:firstLine="480" w:firstLineChars="200"/>
              <w:rPr>
                <w:sz w:val="24"/>
              </w:rPr>
            </w:pPr>
            <w:r>
              <w:rPr>
                <w:sz w:val="24"/>
              </w:rPr>
              <w:t>（4）固体废物及危险废物：对于一般固体废物应设置专用贮存、堆放场地。对于危险废物应设置专用储存容器，并须有防挥发、防流失、防漏防渗措施。各类固体废物贮存场所均应设置醒目的标志牌。</w:t>
            </w:r>
          </w:p>
          <w:p w14:paraId="4D1D6CE5">
            <w:pPr>
              <w:adjustRightInd w:val="0"/>
              <w:snapToGrid w:val="0"/>
              <w:spacing w:line="360" w:lineRule="auto"/>
              <w:ind w:firstLine="480" w:firstLineChars="200"/>
              <w:rPr>
                <w:sz w:val="24"/>
              </w:rPr>
            </w:pPr>
            <w:r>
              <w:rPr>
                <w:sz w:val="24"/>
              </w:rPr>
              <w:t>（5）环境保护图形标志</w:t>
            </w:r>
          </w:p>
          <w:p w14:paraId="7CE76D68">
            <w:pPr>
              <w:adjustRightInd w:val="0"/>
              <w:snapToGrid w:val="0"/>
              <w:spacing w:line="360" w:lineRule="auto"/>
              <w:ind w:firstLine="480" w:firstLineChars="200"/>
              <w:rPr>
                <w:sz w:val="24"/>
              </w:rPr>
            </w:pPr>
            <w:r>
              <w:rPr>
                <w:sz w:val="24"/>
              </w:rPr>
              <w:t>在厂区的废气排放源、固体废物贮存处置场应设置环境保护图形标志，图形符号分为提示图形和警告图形符号两种，分别按GB15562.1-1995、GB15562.2-1995执行。环境保护图形标志的形状及颜色见下表，环境保护图形符号见下表。</w:t>
            </w:r>
          </w:p>
          <w:p w14:paraId="555D2099">
            <w:pPr>
              <w:pStyle w:val="52"/>
              <w:numPr>
                <w:ilvl w:val="0"/>
                <w:numId w:val="0"/>
              </w:numPr>
              <w:spacing w:line="360" w:lineRule="auto"/>
              <w:ind w:left="420" w:leftChars="0" w:hanging="132" w:firstLineChars="0"/>
              <w:rPr>
                <w:rFonts w:cs="Times New Roman"/>
              </w:rPr>
            </w:pPr>
            <w:r>
              <w:rPr>
                <w:rFonts w:hint="eastAsia" w:ascii="Times New Roman" w:hAnsi="Times New Roman" w:eastAsia="宋体" w:cs="Times New Roman"/>
                <w:b/>
                <w:kern w:val="0"/>
                <w:sz w:val="21"/>
                <w:szCs w:val="21"/>
                <w:lang w:val="en-US" w:eastAsia="zh-CN" w:bidi="ar-SA"/>
              </w:rPr>
              <w:t>表4-1</w:t>
            </w:r>
            <w:r>
              <w:rPr>
                <w:rFonts w:hint="eastAsia" w:cs="Times New Roman"/>
                <w:b/>
                <w:kern w:val="0"/>
                <w:sz w:val="21"/>
                <w:szCs w:val="21"/>
                <w:lang w:val="en-US" w:eastAsia="zh-CN" w:bidi="ar-SA"/>
              </w:rPr>
              <w:t>8</w:t>
            </w:r>
            <w:r>
              <w:rPr>
                <w:rFonts w:cs="Times New Roman"/>
              </w:rPr>
              <w:t>环境保护图形标志的形状及颜色表</w:t>
            </w:r>
          </w:p>
          <w:tbl>
            <w:tblPr>
              <w:tblStyle w:val="75"/>
              <w:tblW w:w="49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81"/>
              <w:gridCol w:w="2180"/>
              <w:gridCol w:w="2181"/>
              <w:gridCol w:w="1996"/>
            </w:tblGrid>
            <w:tr w14:paraId="54E7E1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277" w:type="pct"/>
                  <w:vAlign w:val="center"/>
                </w:tcPr>
                <w:p w14:paraId="70B8641F">
                  <w:pPr>
                    <w:adjustRightInd w:val="0"/>
                    <w:snapToGrid w:val="0"/>
                    <w:ind w:right="3"/>
                    <w:jc w:val="center"/>
                    <w:rPr>
                      <w:rFonts w:ascii="Times New Roman" w:hAnsi="Times New Roman"/>
                      <w:szCs w:val="21"/>
                    </w:rPr>
                  </w:pPr>
                  <w:r>
                    <w:rPr>
                      <w:rFonts w:ascii="Times New Roman" w:hAnsi="Times New Roman"/>
                      <w:szCs w:val="21"/>
                    </w:rPr>
                    <w:t>标志名称</w:t>
                  </w:r>
                </w:p>
              </w:tc>
              <w:tc>
                <w:tcPr>
                  <w:tcW w:w="1276" w:type="pct"/>
                  <w:vAlign w:val="center"/>
                </w:tcPr>
                <w:p w14:paraId="6CE5F198">
                  <w:pPr>
                    <w:adjustRightInd w:val="0"/>
                    <w:snapToGrid w:val="0"/>
                    <w:ind w:right="3"/>
                    <w:jc w:val="center"/>
                    <w:rPr>
                      <w:rFonts w:ascii="Times New Roman" w:hAnsi="Times New Roman"/>
                      <w:szCs w:val="21"/>
                    </w:rPr>
                  </w:pPr>
                  <w:r>
                    <w:rPr>
                      <w:rFonts w:ascii="Times New Roman" w:hAnsi="Times New Roman"/>
                      <w:szCs w:val="21"/>
                    </w:rPr>
                    <w:t>形状</w:t>
                  </w:r>
                </w:p>
              </w:tc>
              <w:tc>
                <w:tcPr>
                  <w:tcW w:w="1277" w:type="pct"/>
                  <w:vAlign w:val="center"/>
                </w:tcPr>
                <w:p w14:paraId="4C7249A2">
                  <w:pPr>
                    <w:adjustRightInd w:val="0"/>
                    <w:snapToGrid w:val="0"/>
                    <w:ind w:right="3"/>
                    <w:jc w:val="center"/>
                    <w:rPr>
                      <w:rFonts w:ascii="Times New Roman" w:hAnsi="Times New Roman"/>
                      <w:szCs w:val="21"/>
                    </w:rPr>
                  </w:pPr>
                  <w:r>
                    <w:rPr>
                      <w:rFonts w:ascii="Times New Roman" w:hAnsi="Times New Roman"/>
                      <w:szCs w:val="21"/>
                    </w:rPr>
                    <w:t>背景颜色</w:t>
                  </w:r>
                </w:p>
              </w:tc>
              <w:tc>
                <w:tcPr>
                  <w:tcW w:w="1168" w:type="pct"/>
                  <w:vAlign w:val="center"/>
                </w:tcPr>
                <w:p w14:paraId="577F979A">
                  <w:pPr>
                    <w:adjustRightInd w:val="0"/>
                    <w:snapToGrid w:val="0"/>
                    <w:ind w:right="3"/>
                    <w:jc w:val="center"/>
                    <w:rPr>
                      <w:rFonts w:ascii="Times New Roman" w:hAnsi="Times New Roman"/>
                      <w:szCs w:val="21"/>
                    </w:rPr>
                  </w:pPr>
                  <w:r>
                    <w:rPr>
                      <w:rFonts w:ascii="Times New Roman" w:hAnsi="Times New Roman"/>
                      <w:szCs w:val="21"/>
                    </w:rPr>
                    <w:t>图形颜色</w:t>
                  </w:r>
                </w:p>
              </w:tc>
            </w:tr>
            <w:tr w14:paraId="2BA1E9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277" w:type="pct"/>
                  <w:vAlign w:val="center"/>
                </w:tcPr>
                <w:p w14:paraId="5EBA8E66">
                  <w:pPr>
                    <w:adjustRightInd w:val="0"/>
                    <w:snapToGrid w:val="0"/>
                    <w:ind w:right="3"/>
                    <w:jc w:val="center"/>
                    <w:rPr>
                      <w:rFonts w:ascii="Times New Roman" w:hAnsi="Times New Roman"/>
                      <w:szCs w:val="21"/>
                    </w:rPr>
                  </w:pPr>
                  <w:r>
                    <w:rPr>
                      <w:rFonts w:ascii="Times New Roman" w:hAnsi="Times New Roman"/>
                      <w:szCs w:val="21"/>
                    </w:rPr>
                    <w:t>警告标志</w:t>
                  </w:r>
                </w:p>
              </w:tc>
              <w:tc>
                <w:tcPr>
                  <w:tcW w:w="1276" w:type="pct"/>
                  <w:vAlign w:val="center"/>
                </w:tcPr>
                <w:p w14:paraId="35F5D9F0">
                  <w:pPr>
                    <w:adjustRightInd w:val="0"/>
                    <w:snapToGrid w:val="0"/>
                    <w:ind w:right="3"/>
                    <w:jc w:val="center"/>
                    <w:rPr>
                      <w:rFonts w:ascii="Times New Roman" w:hAnsi="Times New Roman"/>
                      <w:szCs w:val="21"/>
                    </w:rPr>
                  </w:pPr>
                  <w:r>
                    <w:rPr>
                      <w:rFonts w:ascii="Times New Roman" w:hAnsi="Times New Roman"/>
                      <w:szCs w:val="21"/>
                    </w:rPr>
                    <w:t>三角形边框</w:t>
                  </w:r>
                </w:p>
              </w:tc>
              <w:tc>
                <w:tcPr>
                  <w:tcW w:w="1277" w:type="pct"/>
                  <w:vAlign w:val="center"/>
                </w:tcPr>
                <w:p w14:paraId="33B6A1D5">
                  <w:pPr>
                    <w:adjustRightInd w:val="0"/>
                    <w:snapToGrid w:val="0"/>
                    <w:ind w:right="3"/>
                    <w:jc w:val="center"/>
                    <w:rPr>
                      <w:rFonts w:ascii="Times New Roman" w:hAnsi="Times New Roman"/>
                      <w:szCs w:val="21"/>
                    </w:rPr>
                  </w:pPr>
                  <w:r>
                    <w:rPr>
                      <w:rFonts w:ascii="Times New Roman" w:hAnsi="Times New Roman"/>
                      <w:szCs w:val="21"/>
                    </w:rPr>
                    <w:t>黄色</w:t>
                  </w:r>
                </w:p>
              </w:tc>
              <w:tc>
                <w:tcPr>
                  <w:tcW w:w="1168" w:type="pct"/>
                  <w:vAlign w:val="center"/>
                </w:tcPr>
                <w:p w14:paraId="006B3376">
                  <w:pPr>
                    <w:adjustRightInd w:val="0"/>
                    <w:snapToGrid w:val="0"/>
                    <w:ind w:right="3"/>
                    <w:jc w:val="center"/>
                    <w:rPr>
                      <w:rFonts w:ascii="Times New Roman" w:hAnsi="Times New Roman"/>
                      <w:szCs w:val="21"/>
                    </w:rPr>
                  </w:pPr>
                  <w:r>
                    <w:rPr>
                      <w:rFonts w:ascii="Times New Roman" w:hAnsi="Times New Roman"/>
                      <w:szCs w:val="21"/>
                    </w:rPr>
                    <w:t>黑色</w:t>
                  </w:r>
                </w:p>
              </w:tc>
            </w:tr>
            <w:tr w14:paraId="0BE5D7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277" w:type="pct"/>
                  <w:vAlign w:val="center"/>
                </w:tcPr>
                <w:p w14:paraId="7D876661">
                  <w:pPr>
                    <w:adjustRightInd w:val="0"/>
                    <w:snapToGrid w:val="0"/>
                    <w:ind w:right="3"/>
                    <w:jc w:val="center"/>
                    <w:rPr>
                      <w:rFonts w:ascii="Times New Roman" w:hAnsi="Times New Roman"/>
                      <w:szCs w:val="21"/>
                    </w:rPr>
                  </w:pPr>
                  <w:r>
                    <w:rPr>
                      <w:rFonts w:ascii="Times New Roman" w:hAnsi="Times New Roman"/>
                      <w:szCs w:val="21"/>
                    </w:rPr>
                    <w:t>提示标志</w:t>
                  </w:r>
                </w:p>
              </w:tc>
              <w:tc>
                <w:tcPr>
                  <w:tcW w:w="1276" w:type="pct"/>
                  <w:vAlign w:val="center"/>
                </w:tcPr>
                <w:p w14:paraId="4E6F9A40">
                  <w:pPr>
                    <w:adjustRightInd w:val="0"/>
                    <w:snapToGrid w:val="0"/>
                    <w:ind w:right="3"/>
                    <w:jc w:val="center"/>
                    <w:rPr>
                      <w:rFonts w:ascii="Times New Roman" w:hAnsi="Times New Roman"/>
                      <w:szCs w:val="21"/>
                    </w:rPr>
                  </w:pPr>
                  <w:r>
                    <w:rPr>
                      <w:rFonts w:ascii="Times New Roman" w:hAnsi="Times New Roman"/>
                      <w:szCs w:val="21"/>
                    </w:rPr>
                    <w:t>正方形边框</w:t>
                  </w:r>
                </w:p>
              </w:tc>
              <w:tc>
                <w:tcPr>
                  <w:tcW w:w="1277" w:type="pct"/>
                  <w:vAlign w:val="center"/>
                </w:tcPr>
                <w:p w14:paraId="2A7D66FD">
                  <w:pPr>
                    <w:adjustRightInd w:val="0"/>
                    <w:snapToGrid w:val="0"/>
                    <w:ind w:right="3"/>
                    <w:jc w:val="center"/>
                    <w:rPr>
                      <w:rFonts w:ascii="Times New Roman" w:hAnsi="Times New Roman"/>
                      <w:szCs w:val="21"/>
                    </w:rPr>
                  </w:pPr>
                  <w:r>
                    <w:rPr>
                      <w:rFonts w:ascii="Times New Roman" w:hAnsi="Times New Roman"/>
                      <w:szCs w:val="21"/>
                    </w:rPr>
                    <w:t>绿色</w:t>
                  </w:r>
                </w:p>
              </w:tc>
              <w:tc>
                <w:tcPr>
                  <w:tcW w:w="1168" w:type="pct"/>
                  <w:vAlign w:val="center"/>
                </w:tcPr>
                <w:p w14:paraId="27E4B44E">
                  <w:pPr>
                    <w:adjustRightInd w:val="0"/>
                    <w:snapToGrid w:val="0"/>
                    <w:ind w:right="3"/>
                    <w:jc w:val="center"/>
                    <w:rPr>
                      <w:rFonts w:ascii="Times New Roman" w:hAnsi="Times New Roman"/>
                      <w:szCs w:val="21"/>
                    </w:rPr>
                  </w:pPr>
                  <w:r>
                    <w:rPr>
                      <w:rFonts w:ascii="Times New Roman" w:hAnsi="Times New Roman"/>
                      <w:szCs w:val="21"/>
                    </w:rPr>
                    <w:t>白色</w:t>
                  </w:r>
                </w:p>
              </w:tc>
            </w:tr>
          </w:tbl>
          <w:p w14:paraId="0B7F6D99">
            <w:pPr>
              <w:pStyle w:val="52"/>
              <w:numPr>
                <w:ilvl w:val="0"/>
                <w:numId w:val="0"/>
              </w:numPr>
              <w:spacing w:line="360" w:lineRule="auto"/>
              <w:ind w:left="420" w:leftChars="0" w:hanging="132" w:firstLineChars="0"/>
              <w:rPr>
                <w:rFonts w:cs="Times New Roman"/>
              </w:rPr>
            </w:pPr>
            <w:r>
              <w:rPr>
                <w:rFonts w:hint="eastAsia" w:ascii="Times New Roman" w:hAnsi="Times New Roman" w:eastAsia="宋体" w:cs="Times New Roman"/>
                <w:b/>
                <w:kern w:val="0"/>
                <w:sz w:val="21"/>
                <w:szCs w:val="21"/>
                <w:lang w:val="en-US" w:eastAsia="zh-CN" w:bidi="ar-SA"/>
              </w:rPr>
              <w:t>表4-1</w:t>
            </w:r>
            <w:r>
              <w:rPr>
                <w:rFonts w:hint="eastAsia" w:cs="Times New Roman"/>
                <w:b/>
                <w:kern w:val="0"/>
                <w:sz w:val="21"/>
                <w:szCs w:val="21"/>
                <w:lang w:val="en-US" w:eastAsia="zh-CN" w:bidi="ar-SA"/>
              </w:rPr>
              <w:t>9</w:t>
            </w:r>
            <w:r>
              <w:rPr>
                <w:rFonts w:cs="Times New Roman"/>
              </w:rPr>
              <w:t>环境保护图形符号一览表</w:t>
            </w:r>
          </w:p>
          <w:tbl>
            <w:tblPr>
              <w:tblStyle w:val="7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934"/>
              <w:gridCol w:w="1754"/>
              <w:gridCol w:w="1509"/>
              <w:gridCol w:w="2599"/>
            </w:tblGrid>
            <w:tr w14:paraId="410A03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vAlign w:val="center"/>
                </w:tcPr>
                <w:p w14:paraId="7C720F0B">
                  <w:pPr>
                    <w:adjustRightInd w:val="0"/>
                    <w:snapToGrid w:val="0"/>
                    <w:ind w:right="3"/>
                    <w:jc w:val="center"/>
                    <w:rPr>
                      <w:rFonts w:ascii="Times New Roman" w:hAnsi="Times New Roman"/>
                      <w:szCs w:val="21"/>
                    </w:rPr>
                  </w:pPr>
                  <w:r>
                    <w:rPr>
                      <w:rFonts w:ascii="Times New Roman" w:hAnsi="Times New Roman"/>
                      <w:szCs w:val="21"/>
                    </w:rPr>
                    <w:t>序号</w:t>
                  </w:r>
                </w:p>
              </w:tc>
              <w:tc>
                <w:tcPr>
                  <w:tcW w:w="1121" w:type="pct"/>
                  <w:vAlign w:val="center"/>
                </w:tcPr>
                <w:p w14:paraId="3EB815C1">
                  <w:pPr>
                    <w:adjustRightInd w:val="0"/>
                    <w:snapToGrid w:val="0"/>
                    <w:ind w:right="3"/>
                    <w:jc w:val="center"/>
                    <w:rPr>
                      <w:rFonts w:ascii="Times New Roman" w:hAnsi="Times New Roman"/>
                      <w:szCs w:val="21"/>
                    </w:rPr>
                  </w:pPr>
                  <w:r>
                    <w:rPr>
                      <w:rFonts w:ascii="Times New Roman" w:hAnsi="Times New Roman"/>
                      <w:szCs w:val="21"/>
                    </w:rPr>
                    <w:t>提示图形符号</w:t>
                  </w:r>
                </w:p>
              </w:tc>
              <w:tc>
                <w:tcPr>
                  <w:tcW w:w="1017" w:type="pct"/>
                  <w:vAlign w:val="center"/>
                </w:tcPr>
                <w:p w14:paraId="37275139">
                  <w:pPr>
                    <w:adjustRightInd w:val="0"/>
                    <w:snapToGrid w:val="0"/>
                    <w:ind w:right="3"/>
                    <w:jc w:val="center"/>
                    <w:rPr>
                      <w:rFonts w:ascii="Times New Roman" w:hAnsi="Times New Roman"/>
                      <w:szCs w:val="21"/>
                    </w:rPr>
                  </w:pPr>
                  <w:r>
                    <w:rPr>
                      <w:rFonts w:ascii="Times New Roman" w:hAnsi="Times New Roman"/>
                      <w:szCs w:val="21"/>
                    </w:rPr>
                    <w:t>警告图形符号</w:t>
                  </w:r>
                </w:p>
              </w:tc>
              <w:tc>
                <w:tcPr>
                  <w:tcW w:w="875" w:type="pct"/>
                  <w:vAlign w:val="center"/>
                </w:tcPr>
                <w:p w14:paraId="7A63D5D0">
                  <w:pPr>
                    <w:adjustRightInd w:val="0"/>
                    <w:snapToGrid w:val="0"/>
                    <w:ind w:right="3"/>
                    <w:jc w:val="center"/>
                    <w:rPr>
                      <w:rFonts w:ascii="Times New Roman" w:hAnsi="Times New Roman"/>
                      <w:szCs w:val="21"/>
                    </w:rPr>
                  </w:pPr>
                  <w:r>
                    <w:rPr>
                      <w:rFonts w:ascii="Times New Roman" w:hAnsi="Times New Roman"/>
                      <w:szCs w:val="21"/>
                    </w:rPr>
                    <w:t>名称</w:t>
                  </w:r>
                </w:p>
              </w:tc>
              <w:tc>
                <w:tcPr>
                  <w:tcW w:w="1507" w:type="pct"/>
                  <w:vAlign w:val="center"/>
                </w:tcPr>
                <w:p w14:paraId="630E9228">
                  <w:pPr>
                    <w:adjustRightInd w:val="0"/>
                    <w:snapToGrid w:val="0"/>
                    <w:ind w:right="3"/>
                    <w:jc w:val="center"/>
                    <w:rPr>
                      <w:rFonts w:ascii="Times New Roman" w:hAnsi="Times New Roman"/>
                      <w:szCs w:val="21"/>
                    </w:rPr>
                  </w:pPr>
                  <w:r>
                    <w:rPr>
                      <w:rFonts w:ascii="Times New Roman" w:hAnsi="Times New Roman"/>
                      <w:szCs w:val="21"/>
                    </w:rPr>
                    <w:t>功能</w:t>
                  </w:r>
                </w:p>
              </w:tc>
            </w:tr>
            <w:tr w14:paraId="2DC22B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vAlign w:val="center"/>
                </w:tcPr>
                <w:p w14:paraId="524AFA0E">
                  <w:pPr>
                    <w:adjustRightInd w:val="0"/>
                    <w:snapToGrid w:val="0"/>
                    <w:ind w:right="3"/>
                    <w:jc w:val="center"/>
                    <w:rPr>
                      <w:rFonts w:ascii="Times New Roman" w:hAnsi="Times New Roman"/>
                      <w:szCs w:val="21"/>
                    </w:rPr>
                  </w:pPr>
                  <w:r>
                    <w:rPr>
                      <w:rFonts w:ascii="Times New Roman" w:hAnsi="Times New Roman"/>
                      <w:szCs w:val="21"/>
                    </w:rPr>
                    <w:t>1</w:t>
                  </w:r>
                </w:p>
              </w:tc>
              <w:tc>
                <w:tcPr>
                  <w:tcW w:w="1121" w:type="pct"/>
                  <w:vAlign w:val="center"/>
                </w:tcPr>
                <w:p w14:paraId="2167D869">
                  <w:pPr>
                    <w:adjustRightInd w:val="0"/>
                    <w:snapToGrid w:val="0"/>
                    <w:ind w:right="3"/>
                    <w:jc w:val="center"/>
                    <w:rPr>
                      <w:rFonts w:ascii="Times New Roman" w:hAnsi="Times New Roman"/>
                      <w:szCs w:val="21"/>
                    </w:rPr>
                  </w:pPr>
                  <w:r>
                    <w:rPr>
                      <w:rFonts w:ascii="Calibri" w:hAnsi="Calibri"/>
                      <w:szCs w:val="21"/>
                    </w:rPr>
                    <w:drawing>
                      <wp:inline distT="0" distB="0" distL="0" distR="0">
                        <wp:extent cx="690245" cy="609600"/>
                        <wp:effectExtent l="0" t="0" r="0" b="0"/>
                        <wp:docPr id="299" name="图片 299" descr="13003"/>
                        <wp:cNvGraphicFramePr/>
                        <a:graphic xmlns:a="http://schemas.openxmlformats.org/drawingml/2006/main">
                          <a:graphicData uri="http://schemas.openxmlformats.org/drawingml/2006/picture">
                            <pic:pic xmlns:pic="http://schemas.openxmlformats.org/drawingml/2006/picture">
                              <pic:nvPicPr>
                                <pic:cNvPr id="299" name="图片 299" descr="13003"/>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90245" cy="609600"/>
                                </a:xfrm>
                                <a:prstGeom prst="rect">
                                  <a:avLst/>
                                </a:prstGeom>
                                <a:noFill/>
                                <a:ln>
                                  <a:noFill/>
                                </a:ln>
                              </pic:spPr>
                            </pic:pic>
                          </a:graphicData>
                        </a:graphic>
                      </wp:inline>
                    </w:drawing>
                  </w:r>
                </w:p>
              </w:tc>
              <w:tc>
                <w:tcPr>
                  <w:tcW w:w="1017" w:type="pct"/>
                  <w:vAlign w:val="center"/>
                </w:tcPr>
                <w:p w14:paraId="27E5E826">
                  <w:pPr>
                    <w:adjustRightInd w:val="0"/>
                    <w:snapToGrid w:val="0"/>
                    <w:ind w:right="3"/>
                    <w:jc w:val="center"/>
                    <w:rPr>
                      <w:rFonts w:ascii="Times New Roman" w:hAnsi="Times New Roman"/>
                      <w:szCs w:val="21"/>
                    </w:rPr>
                  </w:pPr>
                  <w:r>
                    <w:rPr>
                      <w:rFonts w:ascii="Calibri" w:hAnsi="Calibri"/>
                      <w:szCs w:val="21"/>
                    </w:rPr>
                    <w:drawing>
                      <wp:inline distT="0" distB="0" distL="0" distR="0">
                        <wp:extent cx="690245" cy="609600"/>
                        <wp:effectExtent l="0" t="0" r="0" b="0"/>
                        <wp:docPr id="298" name="图片 298" descr="4"/>
                        <wp:cNvGraphicFramePr/>
                        <a:graphic xmlns:a="http://schemas.openxmlformats.org/drawingml/2006/main">
                          <a:graphicData uri="http://schemas.openxmlformats.org/drawingml/2006/picture">
                            <pic:pic xmlns:pic="http://schemas.openxmlformats.org/drawingml/2006/picture">
                              <pic:nvPicPr>
                                <pic:cNvPr id="298" name="图片 298" descr="4"/>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690245" cy="609600"/>
                                </a:xfrm>
                                <a:prstGeom prst="rect">
                                  <a:avLst/>
                                </a:prstGeom>
                                <a:noFill/>
                                <a:ln>
                                  <a:noFill/>
                                </a:ln>
                              </pic:spPr>
                            </pic:pic>
                          </a:graphicData>
                        </a:graphic>
                      </wp:inline>
                    </w:drawing>
                  </w:r>
                </w:p>
              </w:tc>
              <w:tc>
                <w:tcPr>
                  <w:tcW w:w="875" w:type="pct"/>
                  <w:vAlign w:val="center"/>
                </w:tcPr>
                <w:p w14:paraId="3A07AF87">
                  <w:pPr>
                    <w:adjustRightInd w:val="0"/>
                    <w:snapToGrid w:val="0"/>
                    <w:ind w:right="3"/>
                    <w:jc w:val="center"/>
                    <w:rPr>
                      <w:rFonts w:ascii="Times New Roman" w:hAnsi="Times New Roman"/>
                      <w:szCs w:val="21"/>
                    </w:rPr>
                  </w:pPr>
                  <w:r>
                    <w:rPr>
                      <w:rFonts w:ascii="Times New Roman" w:hAnsi="Times New Roman"/>
                      <w:szCs w:val="21"/>
                    </w:rPr>
                    <w:t>废气排放口</w:t>
                  </w:r>
                </w:p>
              </w:tc>
              <w:tc>
                <w:tcPr>
                  <w:tcW w:w="1507" w:type="pct"/>
                  <w:vAlign w:val="center"/>
                </w:tcPr>
                <w:p w14:paraId="53E5B0F3">
                  <w:pPr>
                    <w:adjustRightInd w:val="0"/>
                    <w:snapToGrid w:val="0"/>
                    <w:ind w:right="3"/>
                    <w:jc w:val="center"/>
                    <w:rPr>
                      <w:rFonts w:ascii="Times New Roman" w:hAnsi="Times New Roman"/>
                      <w:szCs w:val="21"/>
                    </w:rPr>
                  </w:pPr>
                  <w:r>
                    <w:rPr>
                      <w:rFonts w:ascii="Times New Roman" w:hAnsi="Times New Roman"/>
                      <w:szCs w:val="21"/>
                    </w:rPr>
                    <w:t>表示废气向大气环境排放</w:t>
                  </w:r>
                </w:p>
              </w:tc>
            </w:tr>
            <w:tr w14:paraId="37FE6C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vAlign w:val="center"/>
                </w:tcPr>
                <w:p w14:paraId="0CFD4418">
                  <w:pPr>
                    <w:adjustRightInd w:val="0"/>
                    <w:snapToGrid w:val="0"/>
                    <w:ind w:right="3"/>
                    <w:jc w:val="center"/>
                    <w:rPr>
                      <w:rFonts w:ascii="Times New Roman" w:hAnsi="Times New Roman"/>
                      <w:szCs w:val="21"/>
                    </w:rPr>
                  </w:pPr>
                  <w:r>
                    <w:rPr>
                      <w:rFonts w:ascii="Times New Roman" w:hAnsi="Times New Roman"/>
                      <w:szCs w:val="21"/>
                    </w:rPr>
                    <w:t>2</w:t>
                  </w:r>
                </w:p>
              </w:tc>
              <w:tc>
                <w:tcPr>
                  <w:tcW w:w="1121" w:type="pct"/>
                  <w:vAlign w:val="center"/>
                </w:tcPr>
                <w:p w14:paraId="6B29FB8C">
                  <w:pPr>
                    <w:adjustRightInd w:val="0"/>
                    <w:snapToGrid w:val="0"/>
                    <w:ind w:right="3"/>
                    <w:jc w:val="center"/>
                    <w:rPr>
                      <w:rFonts w:ascii="Times New Roman" w:hAnsi="Times New Roman"/>
                      <w:szCs w:val="21"/>
                    </w:rPr>
                  </w:pPr>
                  <w:r>
                    <w:rPr>
                      <w:rFonts w:ascii="Calibri" w:hAnsi="Calibri"/>
                      <w:szCs w:val="21"/>
                    </w:rPr>
                    <w:drawing>
                      <wp:inline distT="0" distB="0" distL="0" distR="0">
                        <wp:extent cx="690245" cy="609600"/>
                        <wp:effectExtent l="0" t="0" r="0" b="0"/>
                        <wp:docPr id="297" name="图片 297" descr="image011"/>
                        <wp:cNvGraphicFramePr/>
                        <a:graphic xmlns:a="http://schemas.openxmlformats.org/drawingml/2006/main">
                          <a:graphicData uri="http://schemas.openxmlformats.org/drawingml/2006/picture">
                            <pic:pic xmlns:pic="http://schemas.openxmlformats.org/drawingml/2006/picture">
                              <pic:nvPicPr>
                                <pic:cNvPr id="297" name="图片 297" descr="image011"/>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90245" cy="609600"/>
                                </a:xfrm>
                                <a:prstGeom prst="rect">
                                  <a:avLst/>
                                </a:prstGeom>
                                <a:noFill/>
                                <a:ln>
                                  <a:noFill/>
                                </a:ln>
                              </pic:spPr>
                            </pic:pic>
                          </a:graphicData>
                        </a:graphic>
                      </wp:inline>
                    </w:drawing>
                  </w:r>
                </w:p>
              </w:tc>
              <w:tc>
                <w:tcPr>
                  <w:tcW w:w="1017" w:type="pct"/>
                  <w:vAlign w:val="center"/>
                </w:tcPr>
                <w:p w14:paraId="44A417DB">
                  <w:pPr>
                    <w:adjustRightInd w:val="0"/>
                    <w:snapToGrid w:val="0"/>
                    <w:ind w:right="3"/>
                    <w:jc w:val="center"/>
                    <w:rPr>
                      <w:rFonts w:ascii="Times New Roman" w:hAnsi="Times New Roman"/>
                      <w:szCs w:val="21"/>
                    </w:rPr>
                  </w:pPr>
                  <w:r>
                    <w:rPr>
                      <w:rFonts w:ascii="Calibri" w:hAnsi="Calibri"/>
                      <w:szCs w:val="21"/>
                    </w:rPr>
                    <w:drawing>
                      <wp:inline distT="0" distB="0" distL="0" distR="0">
                        <wp:extent cx="690245" cy="609600"/>
                        <wp:effectExtent l="0" t="0" r="0" b="0"/>
                        <wp:docPr id="296" name="图片 296" descr="image012"/>
                        <wp:cNvGraphicFramePr/>
                        <a:graphic xmlns:a="http://schemas.openxmlformats.org/drawingml/2006/main">
                          <a:graphicData uri="http://schemas.openxmlformats.org/drawingml/2006/picture">
                            <pic:pic xmlns:pic="http://schemas.openxmlformats.org/drawingml/2006/picture">
                              <pic:nvPicPr>
                                <pic:cNvPr id="296" name="图片 296" descr="image012"/>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690245" cy="609600"/>
                                </a:xfrm>
                                <a:prstGeom prst="rect">
                                  <a:avLst/>
                                </a:prstGeom>
                                <a:noFill/>
                                <a:ln>
                                  <a:noFill/>
                                </a:ln>
                              </pic:spPr>
                            </pic:pic>
                          </a:graphicData>
                        </a:graphic>
                      </wp:inline>
                    </w:drawing>
                  </w:r>
                </w:p>
              </w:tc>
              <w:tc>
                <w:tcPr>
                  <w:tcW w:w="875" w:type="pct"/>
                  <w:vAlign w:val="center"/>
                </w:tcPr>
                <w:p w14:paraId="6633F8E9">
                  <w:pPr>
                    <w:adjustRightInd w:val="0"/>
                    <w:snapToGrid w:val="0"/>
                    <w:ind w:right="3"/>
                    <w:jc w:val="center"/>
                    <w:rPr>
                      <w:rFonts w:ascii="Times New Roman" w:hAnsi="Times New Roman"/>
                      <w:szCs w:val="21"/>
                    </w:rPr>
                  </w:pPr>
                  <w:r>
                    <w:rPr>
                      <w:rFonts w:ascii="Times New Roman" w:hAnsi="Times New Roman"/>
                      <w:szCs w:val="21"/>
                    </w:rPr>
                    <w:t>噪声排放源</w:t>
                  </w:r>
                </w:p>
              </w:tc>
              <w:tc>
                <w:tcPr>
                  <w:tcW w:w="1507" w:type="pct"/>
                  <w:vAlign w:val="center"/>
                </w:tcPr>
                <w:p w14:paraId="72E0E001">
                  <w:pPr>
                    <w:adjustRightInd w:val="0"/>
                    <w:snapToGrid w:val="0"/>
                    <w:ind w:right="3"/>
                    <w:jc w:val="center"/>
                    <w:rPr>
                      <w:rFonts w:ascii="Times New Roman" w:hAnsi="Times New Roman"/>
                      <w:szCs w:val="21"/>
                    </w:rPr>
                  </w:pPr>
                  <w:r>
                    <w:rPr>
                      <w:rFonts w:ascii="Times New Roman" w:hAnsi="Times New Roman"/>
                      <w:szCs w:val="21"/>
                    </w:rPr>
                    <w:t>表示噪声向外环境排放</w:t>
                  </w:r>
                </w:p>
              </w:tc>
            </w:tr>
            <w:tr w14:paraId="634CB2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vAlign w:val="center"/>
                </w:tcPr>
                <w:p w14:paraId="369AA72C">
                  <w:pPr>
                    <w:adjustRightInd w:val="0"/>
                    <w:snapToGrid w:val="0"/>
                    <w:ind w:right="3"/>
                    <w:jc w:val="center"/>
                    <w:rPr>
                      <w:rFonts w:ascii="Times New Roman" w:hAnsi="Times New Roman"/>
                      <w:szCs w:val="21"/>
                    </w:rPr>
                  </w:pPr>
                  <w:r>
                    <w:rPr>
                      <w:rFonts w:ascii="Times New Roman" w:hAnsi="Times New Roman"/>
                      <w:szCs w:val="21"/>
                    </w:rPr>
                    <w:t>3</w:t>
                  </w:r>
                </w:p>
              </w:tc>
              <w:tc>
                <w:tcPr>
                  <w:tcW w:w="1121" w:type="pct"/>
                  <w:vAlign w:val="center"/>
                </w:tcPr>
                <w:p w14:paraId="660C036C">
                  <w:pPr>
                    <w:adjustRightInd w:val="0"/>
                    <w:snapToGrid w:val="0"/>
                    <w:ind w:right="3"/>
                    <w:jc w:val="center"/>
                    <w:rPr>
                      <w:rFonts w:ascii="Times New Roman" w:hAnsi="Times New Roman"/>
                      <w:szCs w:val="21"/>
                    </w:rPr>
                  </w:pPr>
                  <w:r>
                    <w:rPr>
                      <w:rFonts w:ascii="Calibri" w:hAnsi="Calibri"/>
                      <w:szCs w:val="21"/>
                    </w:rPr>
                    <w:drawing>
                      <wp:inline distT="0" distB="0" distL="0" distR="0">
                        <wp:extent cx="762000" cy="609600"/>
                        <wp:effectExtent l="0" t="0" r="0" b="0"/>
                        <wp:docPr id="288" name="图片 288" descr="14001"/>
                        <wp:cNvGraphicFramePr/>
                        <a:graphic xmlns:a="http://schemas.openxmlformats.org/drawingml/2006/main">
                          <a:graphicData uri="http://schemas.openxmlformats.org/drawingml/2006/picture">
                            <pic:pic xmlns:pic="http://schemas.openxmlformats.org/drawingml/2006/picture">
                              <pic:nvPicPr>
                                <pic:cNvPr id="288" name="图片 288" descr="14001"/>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762000" cy="609600"/>
                                </a:xfrm>
                                <a:prstGeom prst="rect">
                                  <a:avLst/>
                                </a:prstGeom>
                                <a:noFill/>
                                <a:ln>
                                  <a:noFill/>
                                </a:ln>
                              </pic:spPr>
                            </pic:pic>
                          </a:graphicData>
                        </a:graphic>
                      </wp:inline>
                    </w:drawing>
                  </w:r>
                </w:p>
              </w:tc>
              <w:tc>
                <w:tcPr>
                  <w:tcW w:w="1017" w:type="pct"/>
                  <w:vAlign w:val="center"/>
                </w:tcPr>
                <w:p w14:paraId="75EC282A">
                  <w:pPr>
                    <w:adjustRightInd w:val="0"/>
                    <w:snapToGrid w:val="0"/>
                    <w:ind w:right="3"/>
                    <w:jc w:val="center"/>
                    <w:rPr>
                      <w:rFonts w:ascii="Times New Roman" w:hAnsi="Times New Roman"/>
                      <w:szCs w:val="21"/>
                    </w:rPr>
                  </w:pPr>
                  <w:r>
                    <w:rPr>
                      <w:rFonts w:ascii="Calibri" w:hAnsi="Calibri"/>
                      <w:szCs w:val="21"/>
                    </w:rPr>
                    <w:drawing>
                      <wp:inline distT="0" distB="0" distL="0" distR="0">
                        <wp:extent cx="690245" cy="609600"/>
                        <wp:effectExtent l="0" t="0" r="0" b="0"/>
                        <wp:docPr id="63" name="图片 63" descr="14002"/>
                        <wp:cNvGraphicFramePr/>
                        <a:graphic xmlns:a="http://schemas.openxmlformats.org/drawingml/2006/main">
                          <a:graphicData uri="http://schemas.openxmlformats.org/drawingml/2006/picture">
                            <pic:pic xmlns:pic="http://schemas.openxmlformats.org/drawingml/2006/picture">
                              <pic:nvPicPr>
                                <pic:cNvPr id="63" name="图片 63" descr="14002"/>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690245" cy="609600"/>
                                </a:xfrm>
                                <a:prstGeom prst="rect">
                                  <a:avLst/>
                                </a:prstGeom>
                                <a:noFill/>
                                <a:ln>
                                  <a:noFill/>
                                </a:ln>
                              </pic:spPr>
                            </pic:pic>
                          </a:graphicData>
                        </a:graphic>
                      </wp:inline>
                    </w:drawing>
                  </w:r>
                </w:p>
              </w:tc>
              <w:tc>
                <w:tcPr>
                  <w:tcW w:w="875" w:type="pct"/>
                  <w:vAlign w:val="center"/>
                </w:tcPr>
                <w:p w14:paraId="7FCDBC9A">
                  <w:pPr>
                    <w:adjustRightInd w:val="0"/>
                    <w:snapToGrid w:val="0"/>
                    <w:ind w:right="3"/>
                    <w:jc w:val="center"/>
                    <w:rPr>
                      <w:rFonts w:ascii="Times New Roman" w:hAnsi="Times New Roman"/>
                      <w:szCs w:val="21"/>
                    </w:rPr>
                  </w:pPr>
                  <w:r>
                    <w:rPr>
                      <w:rFonts w:ascii="Times New Roman" w:hAnsi="Times New Roman"/>
                      <w:szCs w:val="21"/>
                    </w:rPr>
                    <w:t>一般固</w:t>
                  </w:r>
                </w:p>
                <w:p w14:paraId="12C96F23">
                  <w:pPr>
                    <w:adjustRightInd w:val="0"/>
                    <w:snapToGrid w:val="0"/>
                    <w:ind w:right="3"/>
                    <w:jc w:val="center"/>
                    <w:rPr>
                      <w:rFonts w:ascii="Times New Roman" w:hAnsi="Times New Roman"/>
                      <w:szCs w:val="21"/>
                    </w:rPr>
                  </w:pPr>
                  <w:r>
                    <w:rPr>
                      <w:rFonts w:ascii="Times New Roman" w:hAnsi="Times New Roman"/>
                      <w:szCs w:val="21"/>
                    </w:rPr>
                    <w:t>体废物</w:t>
                  </w:r>
                </w:p>
              </w:tc>
              <w:tc>
                <w:tcPr>
                  <w:tcW w:w="1507" w:type="pct"/>
                  <w:vAlign w:val="center"/>
                </w:tcPr>
                <w:p w14:paraId="54B949AF">
                  <w:pPr>
                    <w:adjustRightInd w:val="0"/>
                    <w:snapToGrid w:val="0"/>
                    <w:ind w:right="3"/>
                    <w:jc w:val="center"/>
                    <w:rPr>
                      <w:rFonts w:ascii="Times New Roman" w:hAnsi="Times New Roman"/>
                      <w:szCs w:val="21"/>
                    </w:rPr>
                  </w:pPr>
                  <w:r>
                    <w:rPr>
                      <w:rFonts w:ascii="Times New Roman" w:hAnsi="Times New Roman"/>
                      <w:szCs w:val="21"/>
                    </w:rPr>
                    <w:t>表示一般固体废物贮存、处置场</w:t>
                  </w:r>
                </w:p>
              </w:tc>
            </w:tr>
            <w:tr w14:paraId="02A980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vAlign w:val="center"/>
                </w:tcPr>
                <w:p w14:paraId="1070DECA">
                  <w:pPr>
                    <w:adjustRightInd w:val="0"/>
                    <w:snapToGrid w:val="0"/>
                    <w:ind w:right="3"/>
                    <w:jc w:val="center"/>
                    <w:rPr>
                      <w:rFonts w:ascii="Times New Roman" w:hAnsi="Times New Roman"/>
                      <w:szCs w:val="21"/>
                    </w:rPr>
                  </w:pPr>
                  <w:r>
                    <w:rPr>
                      <w:rFonts w:ascii="Times New Roman" w:hAnsi="Times New Roman"/>
                      <w:szCs w:val="21"/>
                    </w:rPr>
                    <w:t>4</w:t>
                  </w:r>
                </w:p>
              </w:tc>
              <w:tc>
                <w:tcPr>
                  <w:tcW w:w="1121" w:type="pct"/>
                  <w:vAlign w:val="center"/>
                </w:tcPr>
                <w:p w14:paraId="551FA9B9">
                  <w:pPr>
                    <w:adjustRightInd w:val="0"/>
                    <w:snapToGrid w:val="0"/>
                    <w:ind w:right="3"/>
                    <w:jc w:val="center"/>
                    <w:rPr>
                      <w:rFonts w:ascii="Times New Roman" w:hAnsi="Times New Roman"/>
                      <w:szCs w:val="21"/>
                    </w:rPr>
                  </w:pPr>
                  <w:r>
                    <w:rPr>
                      <w:rFonts w:ascii="Times New Roman" w:hAnsi="Times New Roman"/>
                      <w:szCs w:val="21"/>
                    </w:rPr>
                    <w:t>/</w:t>
                  </w:r>
                </w:p>
              </w:tc>
              <w:tc>
                <w:tcPr>
                  <w:tcW w:w="1017" w:type="pct"/>
                  <w:vAlign w:val="center"/>
                </w:tcPr>
                <w:p w14:paraId="3ABEFCD8">
                  <w:pPr>
                    <w:adjustRightInd w:val="0"/>
                    <w:snapToGrid w:val="0"/>
                    <w:ind w:right="3"/>
                    <w:jc w:val="center"/>
                    <w:rPr>
                      <w:rFonts w:ascii="Times New Roman" w:hAnsi="Times New Roman"/>
                      <w:szCs w:val="21"/>
                    </w:rPr>
                  </w:pPr>
                  <w:r>
                    <w:rPr>
                      <w:rFonts w:ascii="Calibri" w:hAnsi="Calibri"/>
                      <w:szCs w:val="21"/>
                    </w:rPr>
                    <w:drawing>
                      <wp:inline distT="0" distB="0" distL="0" distR="0">
                        <wp:extent cx="716915" cy="645160"/>
                        <wp:effectExtent l="0" t="0" r="6985"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716915" cy="645160"/>
                                </a:xfrm>
                                <a:prstGeom prst="rect">
                                  <a:avLst/>
                                </a:prstGeom>
                                <a:noFill/>
                                <a:ln>
                                  <a:noFill/>
                                </a:ln>
                              </pic:spPr>
                            </pic:pic>
                          </a:graphicData>
                        </a:graphic>
                      </wp:inline>
                    </w:drawing>
                  </w:r>
                </w:p>
              </w:tc>
              <w:tc>
                <w:tcPr>
                  <w:tcW w:w="875" w:type="pct"/>
                  <w:vAlign w:val="center"/>
                </w:tcPr>
                <w:p w14:paraId="4BF6ADC1">
                  <w:pPr>
                    <w:adjustRightInd w:val="0"/>
                    <w:snapToGrid w:val="0"/>
                    <w:ind w:right="3"/>
                    <w:jc w:val="center"/>
                    <w:rPr>
                      <w:rFonts w:ascii="Times New Roman" w:hAnsi="Times New Roman"/>
                      <w:szCs w:val="21"/>
                    </w:rPr>
                  </w:pPr>
                  <w:r>
                    <w:rPr>
                      <w:rFonts w:ascii="Times New Roman" w:hAnsi="Times New Roman"/>
                      <w:szCs w:val="21"/>
                    </w:rPr>
                    <w:t>危险废物</w:t>
                  </w:r>
                </w:p>
              </w:tc>
              <w:tc>
                <w:tcPr>
                  <w:tcW w:w="1507" w:type="pct"/>
                  <w:vAlign w:val="center"/>
                </w:tcPr>
                <w:p w14:paraId="5174A34C">
                  <w:pPr>
                    <w:adjustRightInd w:val="0"/>
                    <w:snapToGrid w:val="0"/>
                    <w:ind w:right="3"/>
                    <w:jc w:val="center"/>
                    <w:rPr>
                      <w:rFonts w:ascii="Times New Roman" w:hAnsi="Times New Roman"/>
                      <w:szCs w:val="21"/>
                    </w:rPr>
                  </w:pPr>
                  <w:r>
                    <w:rPr>
                      <w:rFonts w:ascii="Times New Roman" w:hAnsi="Times New Roman"/>
                      <w:szCs w:val="21"/>
                    </w:rPr>
                    <w:t>表示危险废物贮存、处置场</w:t>
                  </w:r>
                </w:p>
              </w:tc>
            </w:tr>
          </w:tbl>
          <w:p w14:paraId="370833F4">
            <w:pPr>
              <w:pStyle w:val="12"/>
              <w:rPr>
                <w:kern w:val="2"/>
                <w:sz w:val="21"/>
                <w:szCs w:val="24"/>
              </w:rPr>
            </w:pPr>
          </w:p>
          <w:p w14:paraId="24C3CE24"/>
          <w:p w14:paraId="434D7EC3">
            <w:pPr>
              <w:pStyle w:val="12"/>
            </w:pPr>
          </w:p>
          <w:p w14:paraId="46475069"/>
          <w:p w14:paraId="37F41862">
            <w:pPr>
              <w:pStyle w:val="12"/>
            </w:pPr>
          </w:p>
          <w:p w14:paraId="13EADF39"/>
          <w:p w14:paraId="02F4A64B">
            <w:pPr>
              <w:pStyle w:val="12"/>
            </w:pPr>
          </w:p>
          <w:p w14:paraId="4D77D5DA"/>
          <w:p w14:paraId="7375EFE3">
            <w:pPr>
              <w:pStyle w:val="12"/>
            </w:pPr>
          </w:p>
          <w:p w14:paraId="7CD0B00B"/>
          <w:p w14:paraId="399F5121">
            <w:pPr>
              <w:snapToGrid w:val="0"/>
              <w:spacing w:line="360" w:lineRule="auto"/>
              <w:rPr>
                <w:b/>
                <w:bCs/>
                <w:sz w:val="24"/>
              </w:rPr>
            </w:pPr>
          </w:p>
          <w:p w14:paraId="14F67EE2">
            <w:pPr>
              <w:snapToGrid w:val="0"/>
              <w:spacing w:line="360" w:lineRule="auto"/>
              <w:rPr>
                <w:b/>
                <w:bCs/>
                <w:sz w:val="24"/>
              </w:rPr>
            </w:pPr>
          </w:p>
          <w:p w14:paraId="2007250B">
            <w:pPr>
              <w:snapToGrid w:val="0"/>
              <w:spacing w:line="360" w:lineRule="auto"/>
              <w:rPr>
                <w:b/>
                <w:bCs/>
                <w:sz w:val="24"/>
              </w:rPr>
            </w:pPr>
          </w:p>
          <w:p w14:paraId="716CEA74">
            <w:pPr>
              <w:snapToGrid w:val="0"/>
              <w:spacing w:line="360" w:lineRule="auto"/>
              <w:rPr>
                <w:b/>
                <w:bCs/>
                <w:sz w:val="24"/>
              </w:rPr>
            </w:pPr>
          </w:p>
          <w:p w14:paraId="618DF715">
            <w:pPr>
              <w:snapToGrid w:val="0"/>
              <w:spacing w:line="360" w:lineRule="auto"/>
              <w:rPr>
                <w:b/>
                <w:bCs/>
                <w:sz w:val="24"/>
              </w:rPr>
            </w:pPr>
          </w:p>
          <w:p w14:paraId="35E9E1AC">
            <w:pPr>
              <w:snapToGrid w:val="0"/>
              <w:spacing w:line="360" w:lineRule="auto"/>
              <w:rPr>
                <w:b/>
                <w:bCs/>
                <w:sz w:val="24"/>
              </w:rPr>
            </w:pPr>
          </w:p>
          <w:p w14:paraId="4AD7AF11">
            <w:pPr>
              <w:snapToGrid w:val="0"/>
              <w:spacing w:line="360" w:lineRule="auto"/>
              <w:rPr>
                <w:b/>
                <w:bCs/>
                <w:sz w:val="24"/>
              </w:rPr>
            </w:pPr>
          </w:p>
          <w:p w14:paraId="6241F88B">
            <w:pPr>
              <w:snapToGrid w:val="0"/>
              <w:spacing w:line="360" w:lineRule="auto"/>
              <w:rPr>
                <w:b/>
                <w:bCs/>
                <w:sz w:val="24"/>
              </w:rPr>
            </w:pPr>
          </w:p>
          <w:p w14:paraId="43248A96">
            <w:pPr>
              <w:snapToGrid w:val="0"/>
              <w:spacing w:line="360" w:lineRule="auto"/>
              <w:rPr>
                <w:b/>
                <w:bCs/>
                <w:sz w:val="24"/>
              </w:rPr>
            </w:pPr>
            <w:r>
              <w:rPr>
                <w:b/>
                <w:bCs/>
                <w:sz w:val="24"/>
              </w:rPr>
              <w:t>九、环保投资估算</w:t>
            </w:r>
          </w:p>
          <w:p w14:paraId="6BE56728">
            <w:pPr>
              <w:snapToGrid w:val="0"/>
              <w:spacing w:line="360" w:lineRule="auto"/>
              <w:ind w:firstLine="480" w:firstLineChars="200"/>
              <w:rPr>
                <w:sz w:val="24"/>
              </w:rPr>
            </w:pPr>
            <w:r>
              <w:rPr>
                <w:bCs/>
                <w:sz w:val="24"/>
              </w:rPr>
              <w:t>本项目总投资2500万元。</w:t>
            </w:r>
            <w:r>
              <w:rPr>
                <w:sz w:val="24"/>
              </w:rPr>
              <w:t>其中环保投资70万元，</w:t>
            </w:r>
            <w:r>
              <w:rPr>
                <w:bCs/>
                <w:sz w:val="24"/>
              </w:rPr>
              <w:t>约占环保总投资的2.8%，主要用于废气、固体废物和噪声污染的治理。</w:t>
            </w:r>
          </w:p>
          <w:p w14:paraId="5AB356C7">
            <w:pPr>
              <w:pStyle w:val="52"/>
              <w:numPr>
                <w:ilvl w:val="0"/>
                <w:numId w:val="0"/>
              </w:numPr>
              <w:spacing w:line="360" w:lineRule="auto"/>
              <w:ind w:left="420" w:leftChars="0" w:hanging="132" w:firstLineChars="0"/>
              <w:rPr>
                <w:rFonts w:cs="Times New Roman"/>
              </w:rPr>
            </w:pPr>
            <w:r>
              <w:rPr>
                <w:rFonts w:hint="eastAsia" w:ascii="Times New Roman" w:hAnsi="Times New Roman" w:eastAsia="宋体" w:cs="Times New Roman"/>
                <w:b/>
                <w:kern w:val="0"/>
                <w:sz w:val="21"/>
                <w:szCs w:val="21"/>
                <w:lang w:val="en-US" w:eastAsia="zh-CN" w:bidi="ar-SA"/>
              </w:rPr>
              <w:t>表4-</w:t>
            </w:r>
            <w:r>
              <w:rPr>
                <w:rFonts w:hint="eastAsia" w:cs="Times New Roman"/>
                <w:b/>
                <w:kern w:val="0"/>
                <w:sz w:val="21"/>
                <w:szCs w:val="21"/>
                <w:lang w:val="en-US" w:eastAsia="zh-CN" w:bidi="ar-SA"/>
              </w:rPr>
              <w:t>20</w:t>
            </w:r>
            <w:r>
              <w:rPr>
                <w:rFonts w:cs="Times New Roman"/>
              </w:rPr>
              <w:t>项目环保防治措施及投资估算表</w:t>
            </w:r>
          </w:p>
          <w:tbl>
            <w:tblPr>
              <w:tblStyle w:val="75"/>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32"/>
              <w:gridCol w:w="1929"/>
              <w:gridCol w:w="3718"/>
              <w:gridCol w:w="1797"/>
            </w:tblGrid>
            <w:tr w14:paraId="09BBEE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vAlign w:val="center"/>
                </w:tcPr>
                <w:p w14:paraId="1D82102F">
                  <w:pPr>
                    <w:autoSpaceDE w:val="0"/>
                    <w:autoSpaceDN w:val="0"/>
                    <w:adjustRightInd w:val="0"/>
                    <w:jc w:val="center"/>
                    <w:rPr>
                      <w:rFonts w:ascii="Times New Roman" w:hAnsi="Times New Roman"/>
                      <w:bCs/>
                      <w:szCs w:val="21"/>
                      <w:lang w:val="zh-CN"/>
                    </w:rPr>
                  </w:pPr>
                  <w:r>
                    <w:rPr>
                      <w:rFonts w:ascii="Times New Roman" w:hAnsi="Times New Roman"/>
                      <w:bCs/>
                      <w:szCs w:val="21"/>
                      <w:lang w:val="zh-CN"/>
                    </w:rPr>
                    <w:t>污染源</w:t>
                  </w:r>
                </w:p>
              </w:tc>
              <w:tc>
                <w:tcPr>
                  <w:tcW w:w="5647" w:type="dxa"/>
                  <w:gridSpan w:val="2"/>
                  <w:vAlign w:val="center"/>
                </w:tcPr>
                <w:p w14:paraId="21B39838">
                  <w:pPr>
                    <w:autoSpaceDE w:val="0"/>
                    <w:autoSpaceDN w:val="0"/>
                    <w:adjustRightInd w:val="0"/>
                    <w:jc w:val="center"/>
                    <w:rPr>
                      <w:rFonts w:ascii="Times New Roman" w:hAnsi="Times New Roman"/>
                      <w:bCs/>
                      <w:szCs w:val="21"/>
                      <w:lang w:val="zh-CN"/>
                    </w:rPr>
                  </w:pPr>
                  <w:r>
                    <w:rPr>
                      <w:rFonts w:ascii="Times New Roman" w:hAnsi="Times New Roman"/>
                      <w:bCs/>
                      <w:szCs w:val="21"/>
                      <w:lang w:val="zh-CN"/>
                    </w:rPr>
                    <w:t>环境污染防治项目</w:t>
                  </w:r>
                </w:p>
              </w:tc>
              <w:tc>
                <w:tcPr>
                  <w:tcW w:w="1797" w:type="dxa"/>
                  <w:vAlign w:val="center"/>
                </w:tcPr>
                <w:p w14:paraId="01E35837">
                  <w:pPr>
                    <w:autoSpaceDE w:val="0"/>
                    <w:autoSpaceDN w:val="0"/>
                    <w:adjustRightInd w:val="0"/>
                    <w:jc w:val="center"/>
                    <w:rPr>
                      <w:rFonts w:ascii="Times New Roman" w:hAnsi="Times New Roman"/>
                      <w:bCs/>
                      <w:szCs w:val="21"/>
                      <w:lang w:val="zh-CN"/>
                    </w:rPr>
                  </w:pPr>
                  <w:r>
                    <w:rPr>
                      <w:rFonts w:ascii="Times New Roman" w:hAnsi="Times New Roman"/>
                      <w:bCs/>
                      <w:szCs w:val="21"/>
                      <w:lang w:val="zh-CN"/>
                    </w:rPr>
                    <w:t>环保投资（万元）</w:t>
                  </w:r>
                </w:p>
              </w:tc>
            </w:tr>
            <w:tr w14:paraId="7B8C87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vAlign w:val="center"/>
                </w:tcPr>
                <w:p w14:paraId="09B89684">
                  <w:pPr>
                    <w:autoSpaceDE w:val="0"/>
                    <w:autoSpaceDN w:val="0"/>
                    <w:adjustRightInd w:val="0"/>
                    <w:jc w:val="center"/>
                    <w:rPr>
                      <w:rFonts w:ascii="Times New Roman" w:hAnsi="Times New Roman"/>
                      <w:bCs/>
                      <w:szCs w:val="21"/>
                      <w:lang w:val="zh-CN"/>
                    </w:rPr>
                  </w:pPr>
                  <w:r>
                    <w:rPr>
                      <w:rFonts w:ascii="Times New Roman" w:hAnsi="Times New Roman"/>
                      <w:bCs/>
                      <w:szCs w:val="21"/>
                      <w:lang w:val="zh-CN"/>
                    </w:rPr>
                    <w:t>废水</w:t>
                  </w:r>
                </w:p>
              </w:tc>
              <w:tc>
                <w:tcPr>
                  <w:tcW w:w="5647" w:type="dxa"/>
                  <w:gridSpan w:val="2"/>
                  <w:vAlign w:val="center"/>
                </w:tcPr>
                <w:p w14:paraId="09730869">
                  <w:pPr>
                    <w:autoSpaceDE w:val="0"/>
                    <w:autoSpaceDN w:val="0"/>
                    <w:adjustRightInd w:val="0"/>
                    <w:jc w:val="left"/>
                    <w:rPr>
                      <w:rFonts w:ascii="Times New Roman" w:hAnsi="Times New Roman"/>
                      <w:bCs/>
                      <w:szCs w:val="21"/>
                      <w:lang w:val="zh-CN"/>
                    </w:rPr>
                  </w:pPr>
                  <w:r>
                    <w:rPr>
                      <w:rFonts w:ascii="Times New Roman" w:hAnsi="Times New Roman"/>
                      <w:bCs/>
                      <w:szCs w:val="21"/>
                      <w:lang w:val="zh-CN"/>
                    </w:rPr>
                    <w:t>雨污分流；化粪池</w:t>
                  </w:r>
                </w:p>
              </w:tc>
              <w:tc>
                <w:tcPr>
                  <w:tcW w:w="1797" w:type="dxa"/>
                  <w:vAlign w:val="center"/>
                </w:tcPr>
                <w:p w14:paraId="1D164CC9">
                  <w:pPr>
                    <w:autoSpaceDE w:val="0"/>
                    <w:autoSpaceDN w:val="0"/>
                    <w:adjustRightInd w:val="0"/>
                    <w:jc w:val="center"/>
                    <w:rPr>
                      <w:rFonts w:ascii="Times New Roman" w:hAnsi="Times New Roman"/>
                      <w:bCs/>
                      <w:szCs w:val="21"/>
                    </w:rPr>
                  </w:pPr>
                  <w:r>
                    <w:rPr>
                      <w:rFonts w:ascii="Times New Roman" w:hAnsi="Times New Roman"/>
                      <w:bCs/>
                      <w:szCs w:val="21"/>
                    </w:rPr>
                    <w:t>依托</w:t>
                  </w:r>
                </w:p>
              </w:tc>
            </w:tr>
            <w:tr w14:paraId="3DAEFB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vAlign w:val="center"/>
                </w:tcPr>
                <w:p w14:paraId="59292949">
                  <w:pPr>
                    <w:autoSpaceDE w:val="0"/>
                    <w:autoSpaceDN w:val="0"/>
                    <w:adjustRightInd w:val="0"/>
                    <w:jc w:val="center"/>
                    <w:rPr>
                      <w:rFonts w:ascii="Times New Roman" w:hAnsi="Times New Roman"/>
                      <w:bCs/>
                      <w:szCs w:val="21"/>
                      <w:lang w:val="zh-CN"/>
                    </w:rPr>
                  </w:pPr>
                  <w:r>
                    <w:rPr>
                      <w:rFonts w:ascii="Times New Roman" w:hAnsi="Times New Roman"/>
                      <w:bCs/>
                      <w:szCs w:val="21"/>
                      <w:lang w:val="zh-CN"/>
                    </w:rPr>
                    <w:t>废气</w:t>
                  </w:r>
                </w:p>
              </w:tc>
              <w:tc>
                <w:tcPr>
                  <w:tcW w:w="5647" w:type="dxa"/>
                  <w:gridSpan w:val="2"/>
                  <w:vAlign w:val="center"/>
                </w:tcPr>
                <w:p w14:paraId="775F61EF">
                  <w:pPr>
                    <w:autoSpaceDE w:val="0"/>
                    <w:autoSpaceDN w:val="0"/>
                    <w:adjustRightInd w:val="0"/>
                    <w:jc w:val="left"/>
                    <w:rPr>
                      <w:rFonts w:hint="eastAsia"/>
                      <w:szCs w:val="21"/>
                      <w:lang w:eastAsia="zh-CN"/>
                    </w:rPr>
                  </w:pPr>
                  <w:r>
                    <w:rPr>
                      <w:rFonts w:ascii="Times New Roman" w:hAnsi="Times New Roman"/>
                      <w:szCs w:val="21"/>
                    </w:rPr>
                    <w:t>在注塑机上方设置集气罩和集气管道，废气经收集后通过二级活性炭吸附装置处理后引至15m高排气筒（DA001）排放</w:t>
                  </w:r>
                  <w:r>
                    <w:rPr>
                      <w:rFonts w:hint="eastAsia"/>
                      <w:szCs w:val="21"/>
                      <w:lang w:eastAsia="zh-CN"/>
                    </w:rPr>
                    <w:t>。</w:t>
                  </w:r>
                </w:p>
                <w:p w14:paraId="091F82E8">
                  <w:pPr>
                    <w:autoSpaceDE w:val="0"/>
                    <w:autoSpaceDN w:val="0"/>
                    <w:adjustRightInd w:val="0"/>
                    <w:jc w:val="left"/>
                    <w:rPr>
                      <w:rFonts w:hint="eastAsia"/>
                      <w:szCs w:val="21"/>
                      <w:lang w:val="en-US" w:eastAsia="zh-CN"/>
                    </w:rPr>
                  </w:pPr>
                  <w:r>
                    <w:rPr>
                      <w:rFonts w:hint="eastAsia"/>
                      <w:szCs w:val="21"/>
                      <w:lang w:val="en-US" w:eastAsia="zh-CN"/>
                    </w:rPr>
                    <w:t>在焊机处设置焊接烟尘净化器1台。</w:t>
                  </w:r>
                </w:p>
                <w:p w14:paraId="5BA71EFA">
                  <w:pPr>
                    <w:pStyle w:val="2"/>
                    <w:rPr>
                      <w:rFonts w:hint="default"/>
                      <w:lang w:val="en-US" w:eastAsia="zh-CN"/>
                    </w:rPr>
                  </w:pPr>
                  <w:r>
                    <w:rPr>
                      <w:rFonts w:hint="eastAsia" w:ascii="Times New Roman" w:hAnsi="Times New Roman" w:eastAsia="宋体" w:cs="Times New Roman"/>
                      <w:color w:val="auto"/>
                      <w:kern w:val="2"/>
                      <w:sz w:val="21"/>
                      <w:szCs w:val="21"/>
                      <w:lang w:val="en-US" w:eastAsia="zh-CN" w:bidi="ar-SA"/>
                    </w:rPr>
                    <w:t>在破碎机上方设置</w:t>
                  </w:r>
                  <w:r>
                    <w:rPr>
                      <w:rFonts w:ascii="Times New Roman" w:hAnsi="Times New Roman" w:eastAsia="宋体" w:cs="Times New Roman"/>
                      <w:color w:val="auto"/>
                      <w:kern w:val="2"/>
                      <w:sz w:val="21"/>
                      <w:szCs w:val="21"/>
                      <w:lang w:val="en-US" w:eastAsia="zh-CN" w:bidi="ar-SA"/>
                    </w:rPr>
                    <w:t>集气罩和集气管道，废气经收集后通过</w:t>
                  </w:r>
                  <w:r>
                    <w:rPr>
                      <w:rFonts w:hint="eastAsia" w:ascii="Times New Roman" w:hAnsi="Times New Roman" w:eastAsia="宋体" w:cs="Times New Roman"/>
                      <w:color w:val="auto"/>
                      <w:kern w:val="2"/>
                      <w:sz w:val="21"/>
                      <w:szCs w:val="21"/>
                      <w:lang w:val="en-US" w:eastAsia="zh-CN" w:bidi="ar-SA"/>
                    </w:rPr>
                    <w:t>布袋除尘器</w:t>
                  </w:r>
                  <w:r>
                    <w:rPr>
                      <w:rFonts w:ascii="Times New Roman" w:hAnsi="Times New Roman" w:eastAsia="宋体" w:cs="Times New Roman"/>
                      <w:color w:val="auto"/>
                      <w:kern w:val="2"/>
                      <w:sz w:val="21"/>
                      <w:szCs w:val="21"/>
                      <w:lang w:val="en-US" w:eastAsia="zh-CN" w:bidi="ar-SA"/>
                    </w:rPr>
                    <w:t>处理后引至15m高排气筒（DA0</w:t>
                  </w:r>
                  <w:r>
                    <w:rPr>
                      <w:rFonts w:hint="eastAsia" w:ascii="Times New Roman" w:hAnsi="Times New Roman" w:eastAsia="宋体" w:cs="Times New Roman"/>
                      <w:color w:val="auto"/>
                      <w:kern w:val="2"/>
                      <w:sz w:val="21"/>
                      <w:szCs w:val="21"/>
                      <w:lang w:val="en-US" w:eastAsia="zh-CN" w:bidi="ar-SA"/>
                    </w:rPr>
                    <w:t>02</w:t>
                  </w:r>
                  <w:r>
                    <w:rPr>
                      <w:rFonts w:ascii="Times New Roman" w:hAnsi="Times New Roman" w:eastAsia="宋体" w:cs="Times New Roman"/>
                      <w:color w:val="auto"/>
                      <w:kern w:val="2"/>
                      <w:sz w:val="21"/>
                      <w:szCs w:val="21"/>
                      <w:lang w:val="en-US" w:eastAsia="zh-CN" w:bidi="ar-SA"/>
                    </w:rPr>
                    <w:t>）排放</w:t>
                  </w:r>
                  <w:r>
                    <w:rPr>
                      <w:rFonts w:hint="eastAsia" w:ascii="Times New Roman" w:hAnsi="Times New Roman" w:eastAsia="宋体" w:cs="Times New Roman"/>
                      <w:color w:val="auto"/>
                      <w:kern w:val="2"/>
                      <w:sz w:val="21"/>
                      <w:szCs w:val="21"/>
                      <w:lang w:val="en-US" w:eastAsia="zh-CN" w:bidi="ar-SA"/>
                    </w:rPr>
                    <w:t>。</w:t>
                  </w:r>
                </w:p>
              </w:tc>
              <w:tc>
                <w:tcPr>
                  <w:tcW w:w="1797" w:type="dxa"/>
                  <w:vAlign w:val="center"/>
                </w:tcPr>
                <w:p w14:paraId="213D09D5">
                  <w:pPr>
                    <w:autoSpaceDE w:val="0"/>
                    <w:autoSpaceDN w:val="0"/>
                    <w:adjustRightInd w:val="0"/>
                    <w:jc w:val="center"/>
                    <w:rPr>
                      <w:rFonts w:ascii="Times New Roman" w:hAnsi="Times New Roman"/>
                      <w:bCs/>
                      <w:szCs w:val="21"/>
                    </w:rPr>
                  </w:pPr>
                  <w:r>
                    <w:rPr>
                      <w:rFonts w:ascii="Times New Roman" w:hAnsi="Times New Roman"/>
                      <w:bCs/>
                      <w:szCs w:val="21"/>
                    </w:rPr>
                    <w:t>30</w:t>
                  </w:r>
                </w:p>
              </w:tc>
            </w:tr>
            <w:tr w14:paraId="793629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vAlign w:val="center"/>
                </w:tcPr>
                <w:p w14:paraId="7CF4715C">
                  <w:pPr>
                    <w:autoSpaceDE w:val="0"/>
                    <w:autoSpaceDN w:val="0"/>
                    <w:adjustRightInd w:val="0"/>
                    <w:jc w:val="center"/>
                    <w:rPr>
                      <w:rFonts w:ascii="Times New Roman" w:hAnsi="Times New Roman"/>
                      <w:bCs/>
                      <w:szCs w:val="21"/>
                      <w:lang w:val="zh-CN"/>
                    </w:rPr>
                  </w:pPr>
                  <w:r>
                    <w:rPr>
                      <w:rFonts w:ascii="Times New Roman" w:hAnsi="Times New Roman"/>
                      <w:bCs/>
                      <w:szCs w:val="21"/>
                      <w:lang w:val="zh-CN"/>
                    </w:rPr>
                    <w:t>噪声</w:t>
                  </w:r>
                </w:p>
              </w:tc>
              <w:tc>
                <w:tcPr>
                  <w:tcW w:w="5647" w:type="dxa"/>
                  <w:gridSpan w:val="2"/>
                  <w:vAlign w:val="center"/>
                </w:tcPr>
                <w:p w14:paraId="48ADD846">
                  <w:pPr>
                    <w:autoSpaceDE w:val="0"/>
                    <w:autoSpaceDN w:val="0"/>
                    <w:adjustRightInd w:val="0"/>
                    <w:jc w:val="left"/>
                    <w:rPr>
                      <w:rFonts w:ascii="Times New Roman" w:hAnsi="Times New Roman"/>
                      <w:bCs/>
                      <w:szCs w:val="21"/>
                      <w:lang w:val="zh-CN"/>
                    </w:rPr>
                  </w:pPr>
                  <w:r>
                    <w:rPr>
                      <w:rFonts w:ascii="Times New Roman" w:hAnsi="Times New Roman"/>
                      <w:szCs w:val="21"/>
                    </w:rPr>
                    <w:t>安装低噪声设备、消声、隔声、减振等</w:t>
                  </w:r>
                </w:p>
              </w:tc>
              <w:tc>
                <w:tcPr>
                  <w:tcW w:w="1797" w:type="dxa"/>
                  <w:vAlign w:val="center"/>
                </w:tcPr>
                <w:p w14:paraId="504EC707">
                  <w:pPr>
                    <w:autoSpaceDE w:val="0"/>
                    <w:autoSpaceDN w:val="0"/>
                    <w:adjustRightInd w:val="0"/>
                    <w:jc w:val="center"/>
                    <w:rPr>
                      <w:rFonts w:ascii="Times New Roman" w:hAnsi="Times New Roman"/>
                      <w:bCs/>
                      <w:szCs w:val="21"/>
                    </w:rPr>
                  </w:pPr>
                  <w:r>
                    <w:rPr>
                      <w:rFonts w:ascii="Times New Roman" w:hAnsi="Times New Roman"/>
                      <w:bCs/>
                      <w:szCs w:val="21"/>
                    </w:rPr>
                    <w:t>20</w:t>
                  </w:r>
                </w:p>
              </w:tc>
            </w:tr>
            <w:tr w14:paraId="572815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vMerge w:val="restart"/>
                  <w:vAlign w:val="center"/>
                </w:tcPr>
                <w:p w14:paraId="2DF4BB14">
                  <w:pPr>
                    <w:autoSpaceDE w:val="0"/>
                    <w:autoSpaceDN w:val="0"/>
                    <w:adjustRightInd w:val="0"/>
                    <w:jc w:val="center"/>
                    <w:rPr>
                      <w:rFonts w:ascii="Times New Roman" w:hAnsi="Times New Roman"/>
                      <w:bCs/>
                      <w:szCs w:val="21"/>
                      <w:lang w:val="zh-CN"/>
                    </w:rPr>
                  </w:pPr>
                  <w:r>
                    <w:rPr>
                      <w:rFonts w:ascii="Times New Roman" w:hAnsi="Times New Roman"/>
                      <w:bCs/>
                      <w:szCs w:val="21"/>
                      <w:lang w:val="zh-CN"/>
                    </w:rPr>
                    <w:t>固废</w:t>
                  </w:r>
                </w:p>
              </w:tc>
              <w:tc>
                <w:tcPr>
                  <w:tcW w:w="1929" w:type="dxa"/>
                  <w:vAlign w:val="center"/>
                </w:tcPr>
                <w:p w14:paraId="20B9B9B8">
                  <w:pPr>
                    <w:autoSpaceDE w:val="0"/>
                    <w:autoSpaceDN w:val="0"/>
                    <w:adjustRightInd w:val="0"/>
                    <w:jc w:val="left"/>
                    <w:rPr>
                      <w:rFonts w:ascii="Times New Roman" w:hAnsi="Times New Roman"/>
                      <w:bCs/>
                      <w:szCs w:val="21"/>
                      <w:lang w:val="zh-CN"/>
                    </w:rPr>
                  </w:pPr>
                  <w:r>
                    <w:rPr>
                      <w:rFonts w:ascii="Times New Roman" w:hAnsi="Times New Roman"/>
                      <w:bCs/>
                      <w:szCs w:val="21"/>
                      <w:lang w:val="zh-CN"/>
                    </w:rPr>
                    <w:t>生活垃圾</w:t>
                  </w:r>
                </w:p>
              </w:tc>
              <w:tc>
                <w:tcPr>
                  <w:tcW w:w="3718" w:type="dxa"/>
                  <w:vAlign w:val="center"/>
                </w:tcPr>
                <w:p w14:paraId="10169E50">
                  <w:pPr>
                    <w:autoSpaceDE w:val="0"/>
                    <w:autoSpaceDN w:val="0"/>
                    <w:adjustRightInd w:val="0"/>
                    <w:jc w:val="left"/>
                    <w:rPr>
                      <w:rFonts w:ascii="Times New Roman" w:hAnsi="Times New Roman"/>
                      <w:bCs/>
                      <w:szCs w:val="21"/>
                      <w:lang w:val="zh-CN"/>
                    </w:rPr>
                  </w:pPr>
                  <w:r>
                    <w:rPr>
                      <w:rFonts w:ascii="Times New Roman" w:hAnsi="Times New Roman"/>
                      <w:bCs/>
                      <w:szCs w:val="21"/>
                      <w:lang w:val="zh-CN"/>
                    </w:rPr>
                    <w:t>垃圾桶等</w:t>
                  </w:r>
                </w:p>
              </w:tc>
              <w:tc>
                <w:tcPr>
                  <w:tcW w:w="1797" w:type="dxa"/>
                  <w:vAlign w:val="center"/>
                </w:tcPr>
                <w:p w14:paraId="4EC42E11">
                  <w:pPr>
                    <w:autoSpaceDE w:val="0"/>
                    <w:autoSpaceDN w:val="0"/>
                    <w:adjustRightInd w:val="0"/>
                    <w:jc w:val="center"/>
                    <w:rPr>
                      <w:rFonts w:ascii="Times New Roman" w:hAnsi="Times New Roman"/>
                      <w:bCs/>
                      <w:szCs w:val="21"/>
                    </w:rPr>
                  </w:pPr>
                  <w:r>
                    <w:rPr>
                      <w:rFonts w:ascii="Times New Roman" w:hAnsi="Times New Roman"/>
                      <w:bCs/>
                      <w:szCs w:val="21"/>
                    </w:rPr>
                    <w:t>5</w:t>
                  </w:r>
                </w:p>
              </w:tc>
            </w:tr>
            <w:tr w14:paraId="546F0C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vMerge w:val="continue"/>
                  <w:vAlign w:val="center"/>
                </w:tcPr>
                <w:p w14:paraId="37C202E5">
                  <w:pPr>
                    <w:autoSpaceDE w:val="0"/>
                    <w:autoSpaceDN w:val="0"/>
                    <w:adjustRightInd w:val="0"/>
                    <w:jc w:val="center"/>
                    <w:rPr>
                      <w:rFonts w:ascii="Times New Roman" w:hAnsi="Times New Roman"/>
                      <w:bCs/>
                      <w:szCs w:val="21"/>
                      <w:lang w:val="zh-CN"/>
                    </w:rPr>
                  </w:pPr>
                </w:p>
              </w:tc>
              <w:tc>
                <w:tcPr>
                  <w:tcW w:w="1929" w:type="dxa"/>
                  <w:vAlign w:val="center"/>
                </w:tcPr>
                <w:p w14:paraId="28F5DBF7">
                  <w:pPr>
                    <w:autoSpaceDE w:val="0"/>
                    <w:autoSpaceDN w:val="0"/>
                    <w:adjustRightInd w:val="0"/>
                    <w:jc w:val="left"/>
                    <w:rPr>
                      <w:rFonts w:ascii="Times New Roman" w:hAnsi="Times New Roman"/>
                      <w:bCs/>
                      <w:szCs w:val="21"/>
                      <w:lang w:val="zh-CN"/>
                    </w:rPr>
                  </w:pPr>
                  <w:r>
                    <w:rPr>
                      <w:rFonts w:ascii="Times New Roman" w:hAnsi="Times New Roman"/>
                      <w:bCs/>
                      <w:szCs w:val="21"/>
                      <w:lang w:val="zh-CN"/>
                    </w:rPr>
                    <w:t>一般工业固体废物</w:t>
                  </w:r>
                </w:p>
              </w:tc>
              <w:tc>
                <w:tcPr>
                  <w:tcW w:w="3718" w:type="dxa"/>
                  <w:vAlign w:val="center"/>
                </w:tcPr>
                <w:p w14:paraId="7B046539">
                  <w:pPr>
                    <w:autoSpaceDE w:val="0"/>
                    <w:autoSpaceDN w:val="0"/>
                    <w:adjustRightInd w:val="0"/>
                    <w:jc w:val="left"/>
                    <w:rPr>
                      <w:rFonts w:ascii="Times New Roman" w:hAnsi="Times New Roman"/>
                      <w:bCs/>
                      <w:szCs w:val="21"/>
                      <w:lang w:val="zh-CN"/>
                    </w:rPr>
                  </w:pPr>
                  <w:r>
                    <w:rPr>
                      <w:rFonts w:ascii="Times New Roman" w:hAnsi="Times New Roman"/>
                      <w:szCs w:val="21"/>
                      <w:lang w:val="zh-CN"/>
                    </w:rPr>
                    <w:t>1处</w:t>
                  </w:r>
                  <w:r>
                    <w:rPr>
                      <w:rFonts w:ascii="Times New Roman" w:hAnsi="Times New Roman"/>
                      <w:bCs/>
                      <w:szCs w:val="21"/>
                      <w:lang w:val="zh-CN"/>
                    </w:rPr>
                    <w:t>工业固体废物暂存场所</w:t>
                  </w:r>
                  <w:r>
                    <w:rPr>
                      <w:rFonts w:ascii="Times New Roman" w:hAnsi="Times New Roman"/>
                      <w:szCs w:val="21"/>
                      <w:lang w:val="zh-CN"/>
                    </w:rPr>
                    <w:t>（10m</w:t>
                  </w:r>
                  <w:r>
                    <w:rPr>
                      <w:rFonts w:ascii="Times New Roman" w:hAnsi="Times New Roman"/>
                      <w:szCs w:val="21"/>
                      <w:vertAlign w:val="superscript"/>
                      <w:lang w:val="zh-CN"/>
                    </w:rPr>
                    <w:t>2</w:t>
                  </w:r>
                  <w:r>
                    <w:rPr>
                      <w:rFonts w:ascii="Times New Roman" w:hAnsi="Times New Roman"/>
                      <w:szCs w:val="21"/>
                      <w:lang w:val="zh-CN"/>
                    </w:rPr>
                    <w:t>）</w:t>
                  </w:r>
                </w:p>
              </w:tc>
              <w:tc>
                <w:tcPr>
                  <w:tcW w:w="1797" w:type="dxa"/>
                  <w:vAlign w:val="center"/>
                </w:tcPr>
                <w:p w14:paraId="72AC3B62">
                  <w:pPr>
                    <w:autoSpaceDE w:val="0"/>
                    <w:autoSpaceDN w:val="0"/>
                    <w:adjustRightInd w:val="0"/>
                    <w:jc w:val="center"/>
                    <w:rPr>
                      <w:rFonts w:ascii="Times New Roman" w:hAnsi="Times New Roman"/>
                      <w:bCs/>
                      <w:szCs w:val="21"/>
                    </w:rPr>
                  </w:pPr>
                  <w:r>
                    <w:rPr>
                      <w:rFonts w:ascii="Times New Roman" w:hAnsi="Times New Roman"/>
                      <w:bCs/>
                      <w:szCs w:val="21"/>
                    </w:rPr>
                    <w:t>5</w:t>
                  </w:r>
                </w:p>
              </w:tc>
            </w:tr>
            <w:tr w14:paraId="03314E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vMerge w:val="continue"/>
                  <w:vAlign w:val="center"/>
                </w:tcPr>
                <w:p w14:paraId="0558E4C4">
                  <w:pPr>
                    <w:autoSpaceDE w:val="0"/>
                    <w:autoSpaceDN w:val="0"/>
                    <w:adjustRightInd w:val="0"/>
                    <w:jc w:val="center"/>
                    <w:rPr>
                      <w:rFonts w:ascii="Times New Roman" w:hAnsi="Times New Roman"/>
                      <w:bCs/>
                      <w:szCs w:val="21"/>
                      <w:lang w:val="zh-CN"/>
                    </w:rPr>
                  </w:pPr>
                </w:p>
              </w:tc>
              <w:tc>
                <w:tcPr>
                  <w:tcW w:w="1929" w:type="dxa"/>
                  <w:vAlign w:val="center"/>
                </w:tcPr>
                <w:p w14:paraId="3E4CDB97">
                  <w:pPr>
                    <w:autoSpaceDE w:val="0"/>
                    <w:autoSpaceDN w:val="0"/>
                    <w:adjustRightInd w:val="0"/>
                    <w:jc w:val="left"/>
                    <w:rPr>
                      <w:rFonts w:ascii="Times New Roman" w:hAnsi="Times New Roman"/>
                      <w:bCs/>
                      <w:szCs w:val="21"/>
                      <w:lang w:val="zh-CN"/>
                    </w:rPr>
                  </w:pPr>
                  <w:r>
                    <w:rPr>
                      <w:rFonts w:ascii="Times New Roman" w:hAnsi="Times New Roman"/>
                      <w:szCs w:val="21"/>
                      <w:lang w:val="zh-CN"/>
                    </w:rPr>
                    <w:t>危险废物</w:t>
                  </w:r>
                </w:p>
              </w:tc>
              <w:tc>
                <w:tcPr>
                  <w:tcW w:w="3718" w:type="dxa"/>
                  <w:vAlign w:val="center"/>
                </w:tcPr>
                <w:p w14:paraId="25910606">
                  <w:pPr>
                    <w:autoSpaceDE w:val="0"/>
                    <w:autoSpaceDN w:val="0"/>
                    <w:adjustRightInd w:val="0"/>
                    <w:jc w:val="left"/>
                    <w:rPr>
                      <w:rFonts w:ascii="Times New Roman" w:hAnsi="Times New Roman"/>
                      <w:bCs/>
                      <w:szCs w:val="21"/>
                      <w:lang w:val="zh-CN"/>
                    </w:rPr>
                  </w:pPr>
                  <w:r>
                    <w:rPr>
                      <w:rFonts w:ascii="Times New Roman" w:hAnsi="Times New Roman"/>
                      <w:szCs w:val="21"/>
                      <w:lang w:val="zh-CN"/>
                    </w:rPr>
                    <w:t>1处危险废物暂存间（</w:t>
                  </w:r>
                  <w:r>
                    <w:rPr>
                      <w:rFonts w:hint="eastAsia"/>
                      <w:szCs w:val="21"/>
                      <w:lang w:val="en-US" w:eastAsia="zh-CN"/>
                    </w:rPr>
                    <w:t>6</w:t>
                  </w:r>
                  <w:r>
                    <w:rPr>
                      <w:rFonts w:ascii="Times New Roman" w:hAnsi="Times New Roman"/>
                      <w:szCs w:val="21"/>
                      <w:lang w:val="zh-CN"/>
                    </w:rPr>
                    <w:t>m</w:t>
                  </w:r>
                  <w:r>
                    <w:rPr>
                      <w:rFonts w:ascii="Times New Roman" w:hAnsi="Times New Roman"/>
                      <w:szCs w:val="21"/>
                      <w:vertAlign w:val="superscript"/>
                      <w:lang w:val="zh-CN"/>
                    </w:rPr>
                    <w:t>2</w:t>
                  </w:r>
                  <w:r>
                    <w:rPr>
                      <w:rFonts w:ascii="Times New Roman" w:hAnsi="Times New Roman"/>
                      <w:szCs w:val="21"/>
                      <w:lang w:val="zh-CN"/>
                    </w:rPr>
                    <w:t>）</w:t>
                  </w:r>
                </w:p>
              </w:tc>
              <w:tc>
                <w:tcPr>
                  <w:tcW w:w="1797" w:type="dxa"/>
                  <w:vAlign w:val="center"/>
                </w:tcPr>
                <w:p w14:paraId="47A0E9AC">
                  <w:pPr>
                    <w:autoSpaceDE w:val="0"/>
                    <w:autoSpaceDN w:val="0"/>
                    <w:adjustRightInd w:val="0"/>
                    <w:jc w:val="center"/>
                    <w:rPr>
                      <w:rFonts w:ascii="Times New Roman" w:hAnsi="Times New Roman"/>
                      <w:bCs/>
                      <w:szCs w:val="21"/>
                    </w:rPr>
                  </w:pPr>
                  <w:r>
                    <w:rPr>
                      <w:rFonts w:ascii="Times New Roman" w:hAnsi="Times New Roman"/>
                      <w:bCs/>
                      <w:szCs w:val="21"/>
                    </w:rPr>
                    <w:t>10</w:t>
                  </w:r>
                </w:p>
              </w:tc>
            </w:tr>
            <w:tr w14:paraId="148C7D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79" w:type="dxa"/>
                  <w:gridSpan w:val="3"/>
                  <w:vAlign w:val="center"/>
                </w:tcPr>
                <w:p w14:paraId="4334B6A8">
                  <w:pPr>
                    <w:autoSpaceDE w:val="0"/>
                    <w:autoSpaceDN w:val="0"/>
                    <w:adjustRightInd w:val="0"/>
                    <w:jc w:val="center"/>
                    <w:rPr>
                      <w:rFonts w:ascii="Times New Roman" w:hAnsi="Times New Roman"/>
                      <w:bCs/>
                      <w:szCs w:val="21"/>
                      <w:lang w:val="zh-CN"/>
                    </w:rPr>
                  </w:pPr>
                  <w:r>
                    <w:rPr>
                      <w:rFonts w:ascii="Times New Roman" w:hAnsi="Times New Roman"/>
                      <w:bCs/>
                      <w:szCs w:val="21"/>
                      <w:lang w:val="zh-CN"/>
                    </w:rPr>
                    <w:t>合计</w:t>
                  </w:r>
                </w:p>
              </w:tc>
              <w:tc>
                <w:tcPr>
                  <w:tcW w:w="1797" w:type="dxa"/>
                  <w:vAlign w:val="center"/>
                </w:tcPr>
                <w:p w14:paraId="58501D9A">
                  <w:pPr>
                    <w:autoSpaceDE w:val="0"/>
                    <w:autoSpaceDN w:val="0"/>
                    <w:adjustRightInd w:val="0"/>
                    <w:jc w:val="center"/>
                    <w:rPr>
                      <w:rFonts w:ascii="Times New Roman" w:hAnsi="Times New Roman"/>
                      <w:bCs/>
                      <w:szCs w:val="21"/>
                    </w:rPr>
                  </w:pPr>
                  <w:r>
                    <w:rPr>
                      <w:rFonts w:ascii="Times New Roman" w:hAnsi="Times New Roman"/>
                      <w:bCs/>
                      <w:szCs w:val="21"/>
                    </w:rPr>
                    <w:t>70</w:t>
                  </w:r>
                </w:p>
              </w:tc>
            </w:tr>
          </w:tbl>
          <w:p w14:paraId="51E54EDD">
            <w:pPr>
              <w:pStyle w:val="18"/>
              <w:snapToGrid w:val="0"/>
              <w:spacing w:after="0" w:line="360" w:lineRule="auto"/>
              <w:ind w:left="0" w:leftChars="0" w:firstLine="0"/>
              <w:rPr>
                <w:szCs w:val="24"/>
              </w:rPr>
            </w:pPr>
          </w:p>
          <w:p w14:paraId="650F46C7"/>
          <w:p w14:paraId="171CD4FE"/>
          <w:p w14:paraId="4823DD54">
            <w:pPr>
              <w:pStyle w:val="12"/>
            </w:pPr>
          </w:p>
          <w:p w14:paraId="22EEBD2E">
            <w:pPr>
              <w:pStyle w:val="12"/>
            </w:pPr>
          </w:p>
          <w:p w14:paraId="3BDC4323"/>
          <w:p w14:paraId="0C085CC0"/>
          <w:p w14:paraId="37DAECB8">
            <w:pPr>
              <w:pStyle w:val="12"/>
            </w:pPr>
          </w:p>
          <w:p w14:paraId="64B826CF">
            <w:pPr>
              <w:pStyle w:val="12"/>
            </w:pPr>
          </w:p>
          <w:p w14:paraId="07B5B67C"/>
          <w:p w14:paraId="61265A02"/>
          <w:p w14:paraId="34C16D7A"/>
          <w:p w14:paraId="7B91A1AE">
            <w:pPr>
              <w:pStyle w:val="12"/>
            </w:pPr>
          </w:p>
          <w:p w14:paraId="4AE70CFF">
            <w:pPr>
              <w:pStyle w:val="12"/>
            </w:pPr>
          </w:p>
          <w:p w14:paraId="1CEA5DB8">
            <w:pPr>
              <w:pStyle w:val="12"/>
            </w:pPr>
          </w:p>
          <w:p w14:paraId="661A2678"/>
          <w:p w14:paraId="3B28C3AA"/>
          <w:p w14:paraId="5BB217AF">
            <w:pPr>
              <w:pStyle w:val="12"/>
            </w:pPr>
          </w:p>
          <w:p w14:paraId="42CF4E07"/>
          <w:p w14:paraId="25F1417B">
            <w:pPr>
              <w:pStyle w:val="12"/>
            </w:pPr>
          </w:p>
        </w:tc>
      </w:tr>
    </w:tbl>
    <w:p w14:paraId="3AD0694D">
      <w:pPr>
        <w:pStyle w:val="26"/>
        <w:snapToGrid w:val="0"/>
        <w:spacing w:before="0" w:beforeAutospacing="0" w:after="0" w:afterAutospacing="0" w:line="360" w:lineRule="auto"/>
        <w:jc w:val="center"/>
        <w:outlineLvl w:val="0"/>
        <w:rPr>
          <w:rFonts w:ascii="Times New Roman" w:hAnsi="Times New Roman"/>
          <w:b/>
          <w:bCs/>
          <w:snapToGrid w:val="0"/>
          <w:sz w:val="30"/>
          <w:szCs w:val="30"/>
        </w:rPr>
        <w:sectPr>
          <w:pgSz w:w="11906" w:h="16838"/>
          <w:pgMar w:top="1440" w:right="1418" w:bottom="1440" w:left="1418" w:header="851" w:footer="851" w:gutter="0"/>
          <w:cols w:space="720" w:num="1"/>
          <w:docGrid w:linePitch="312" w:charSpace="0"/>
        </w:sectPr>
      </w:pPr>
    </w:p>
    <w:p w14:paraId="2BBA38AF">
      <w:pPr>
        <w:pStyle w:val="26"/>
        <w:snapToGrid w:val="0"/>
        <w:spacing w:before="0" w:beforeAutospacing="0" w:after="0" w:afterAutospacing="0" w:line="360" w:lineRule="auto"/>
        <w:jc w:val="center"/>
        <w:outlineLvl w:val="0"/>
        <w:rPr>
          <w:rFonts w:ascii="Times New Roman" w:hAnsi="Times New Roman"/>
          <w:b/>
          <w:bCs/>
          <w:snapToGrid w:val="0"/>
          <w:sz w:val="30"/>
          <w:szCs w:val="30"/>
        </w:rPr>
      </w:pPr>
      <w:r>
        <w:rPr>
          <w:rFonts w:ascii="Times New Roman" w:hAnsi="Times New Roman"/>
          <w:b/>
          <w:bCs/>
          <w:snapToGrid w:val="0"/>
          <w:sz w:val="30"/>
          <w:szCs w:val="30"/>
        </w:rPr>
        <w:t>五、</w:t>
      </w:r>
      <w:bookmarkStart w:id="12" w:name="_Hlk54167917"/>
      <w:r>
        <w:rPr>
          <w:rFonts w:ascii="Times New Roman" w:hAnsi="Times New Roman"/>
          <w:b/>
          <w:bCs/>
          <w:snapToGrid w:val="0"/>
          <w:sz w:val="30"/>
          <w:szCs w:val="30"/>
        </w:rPr>
        <w:t>环境保护措施监督检查清单</w:t>
      </w:r>
      <w:bookmarkEnd w:id="12"/>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02"/>
        <w:gridCol w:w="1581"/>
        <w:gridCol w:w="1362"/>
        <w:gridCol w:w="3269"/>
        <w:gridCol w:w="2272"/>
      </w:tblGrid>
      <w:tr w14:paraId="3067B8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32" w:type="pct"/>
            <w:tcBorders>
              <w:top w:val="single" w:color="auto" w:sz="12" w:space="0"/>
              <w:left w:val="single" w:color="auto" w:sz="12" w:space="0"/>
              <w:bottom w:val="single" w:color="auto" w:sz="4" w:space="0"/>
              <w:right w:val="single" w:color="auto" w:sz="4" w:space="0"/>
              <w:tl2br w:val="single" w:color="auto" w:sz="8" w:space="0"/>
            </w:tcBorders>
          </w:tcPr>
          <w:p w14:paraId="78B90ECD">
            <w:pPr>
              <w:adjustRightInd w:val="0"/>
              <w:snapToGrid w:val="0"/>
              <w:rPr>
                <w:szCs w:val="21"/>
              </w:rPr>
            </w:pPr>
            <w:r>
              <w:rPr>
                <w:szCs w:val="21"/>
              </w:rPr>
              <w:t>内容</w:t>
            </w:r>
          </w:p>
          <w:p w14:paraId="6E79D02C">
            <w:pPr>
              <w:adjustRightInd w:val="0"/>
              <w:snapToGrid w:val="0"/>
              <w:rPr>
                <w:szCs w:val="21"/>
              </w:rPr>
            </w:pPr>
            <w:r>
              <w:rPr>
                <w:szCs w:val="21"/>
              </w:rPr>
              <w:t>要素</w:t>
            </w:r>
          </w:p>
        </w:tc>
        <w:tc>
          <w:tcPr>
            <w:tcW w:w="851" w:type="pct"/>
            <w:tcBorders>
              <w:top w:val="single" w:color="auto" w:sz="12" w:space="0"/>
              <w:left w:val="single" w:color="auto" w:sz="4" w:space="0"/>
              <w:bottom w:val="single" w:color="auto" w:sz="4" w:space="0"/>
              <w:right w:val="single" w:color="auto" w:sz="4" w:space="0"/>
            </w:tcBorders>
            <w:vAlign w:val="center"/>
          </w:tcPr>
          <w:p w14:paraId="52341202">
            <w:pPr>
              <w:adjustRightInd w:val="0"/>
              <w:snapToGrid w:val="0"/>
              <w:jc w:val="center"/>
              <w:rPr>
                <w:szCs w:val="21"/>
              </w:rPr>
            </w:pPr>
            <w:r>
              <w:rPr>
                <w:szCs w:val="21"/>
              </w:rPr>
              <w:t>排放口（编号、名称）/污染源</w:t>
            </w:r>
          </w:p>
        </w:tc>
        <w:tc>
          <w:tcPr>
            <w:tcW w:w="733" w:type="pct"/>
            <w:tcBorders>
              <w:top w:val="single" w:color="auto" w:sz="12" w:space="0"/>
              <w:left w:val="single" w:color="auto" w:sz="4" w:space="0"/>
              <w:bottom w:val="single" w:color="auto" w:sz="4" w:space="0"/>
              <w:right w:val="single" w:color="auto" w:sz="4" w:space="0"/>
            </w:tcBorders>
            <w:vAlign w:val="center"/>
          </w:tcPr>
          <w:p w14:paraId="32A3B177">
            <w:pPr>
              <w:adjustRightInd w:val="0"/>
              <w:snapToGrid w:val="0"/>
              <w:jc w:val="center"/>
              <w:rPr>
                <w:szCs w:val="21"/>
              </w:rPr>
            </w:pPr>
            <w:r>
              <w:rPr>
                <w:szCs w:val="21"/>
              </w:rPr>
              <w:t>污染物项目</w:t>
            </w:r>
          </w:p>
        </w:tc>
        <w:tc>
          <w:tcPr>
            <w:tcW w:w="1760" w:type="pct"/>
            <w:tcBorders>
              <w:top w:val="single" w:color="auto" w:sz="12" w:space="0"/>
              <w:left w:val="single" w:color="auto" w:sz="4" w:space="0"/>
              <w:bottom w:val="single" w:color="auto" w:sz="4" w:space="0"/>
              <w:right w:val="single" w:color="auto" w:sz="4" w:space="0"/>
            </w:tcBorders>
            <w:vAlign w:val="center"/>
          </w:tcPr>
          <w:p w14:paraId="4CDBFACC">
            <w:pPr>
              <w:adjustRightInd w:val="0"/>
              <w:snapToGrid w:val="0"/>
              <w:jc w:val="center"/>
              <w:rPr>
                <w:szCs w:val="21"/>
              </w:rPr>
            </w:pPr>
            <w:r>
              <w:rPr>
                <w:szCs w:val="21"/>
              </w:rPr>
              <w:t>环境保护措施</w:t>
            </w:r>
          </w:p>
        </w:tc>
        <w:tc>
          <w:tcPr>
            <w:tcW w:w="1222" w:type="pct"/>
            <w:tcBorders>
              <w:top w:val="single" w:color="auto" w:sz="12" w:space="0"/>
              <w:left w:val="single" w:color="auto" w:sz="4" w:space="0"/>
              <w:bottom w:val="single" w:color="auto" w:sz="4" w:space="0"/>
              <w:right w:val="single" w:color="auto" w:sz="12" w:space="0"/>
            </w:tcBorders>
            <w:vAlign w:val="center"/>
          </w:tcPr>
          <w:p w14:paraId="2E313269">
            <w:pPr>
              <w:adjustRightInd w:val="0"/>
              <w:snapToGrid w:val="0"/>
              <w:jc w:val="center"/>
              <w:rPr>
                <w:szCs w:val="21"/>
              </w:rPr>
            </w:pPr>
            <w:r>
              <w:rPr>
                <w:szCs w:val="21"/>
              </w:rPr>
              <w:t>执行标准</w:t>
            </w:r>
          </w:p>
        </w:tc>
      </w:tr>
      <w:tr w14:paraId="132A39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433" w:hRule="atLeast"/>
          <w:jc w:val="center"/>
        </w:trPr>
        <w:tc>
          <w:tcPr>
            <w:tcW w:w="432" w:type="pct"/>
            <w:vMerge w:val="restart"/>
            <w:tcBorders>
              <w:top w:val="single" w:color="auto" w:sz="4" w:space="0"/>
              <w:left w:val="single" w:color="auto" w:sz="12" w:space="0"/>
              <w:right w:val="single" w:color="auto" w:sz="4" w:space="0"/>
            </w:tcBorders>
            <w:vAlign w:val="center"/>
          </w:tcPr>
          <w:p w14:paraId="162BE482">
            <w:pPr>
              <w:adjustRightInd w:val="0"/>
              <w:snapToGrid w:val="0"/>
              <w:jc w:val="center"/>
              <w:rPr>
                <w:szCs w:val="21"/>
              </w:rPr>
            </w:pPr>
            <w:r>
              <w:rPr>
                <w:szCs w:val="21"/>
              </w:rPr>
              <w:t>大气环境</w:t>
            </w:r>
          </w:p>
        </w:tc>
        <w:tc>
          <w:tcPr>
            <w:tcW w:w="851" w:type="pct"/>
            <w:tcBorders>
              <w:top w:val="single" w:color="auto" w:sz="4" w:space="0"/>
              <w:left w:val="single" w:color="auto" w:sz="4" w:space="0"/>
              <w:bottom w:val="single" w:color="auto" w:sz="4" w:space="0"/>
              <w:right w:val="single" w:color="auto" w:sz="4" w:space="0"/>
            </w:tcBorders>
            <w:vAlign w:val="center"/>
          </w:tcPr>
          <w:p w14:paraId="2CEA0A1F">
            <w:pPr>
              <w:autoSpaceDE w:val="0"/>
              <w:autoSpaceDN w:val="0"/>
              <w:adjustRightInd w:val="0"/>
              <w:jc w:val="center"/>
              <w:rPr>
                <w:szCs w:val="21"/>
              </w:rPr>
            </w:pPr>
            <w:r>
              <w:rPr>
                <w:szCs w:val="21"/>
              </w:rPr>
              <w:t>注塑加热</w:t>
            </w:r>
          </w:p>
        </w:tc>
        <w:tc>
          <w:tcPr>
            <w:tcW w:w="733" w:type="pct"/>
            <w:tcBorders>
              <w:top w:val="single" w:color="auto" w:sz="4" w:space="0"/>
              <w:left w:val="single" w:color="auto" w:sz="4" w:space="0"/>
              <w:bottom w:val="single" w:color="auto" w:sz="4" w:space="0"/>
              <w:right w:val="single" w:color="auto" w:sz="4" w:space="0"/>
            </w:tcBorders>
            <w:vAlign w:val="center"/>
          </w:tcPr>
          <w:p w14:paraId="29931843">
            <w:pPr>
              <w:autoSpaceDE w:val="0"/>
              <w:autoSpaceDN w:val="0"/>
              <w:adjustRightInd w:val="0"/>
              <w:jc w:val="center"/>
              <w:rPr>
                <w:szCs w:val="21"/>
              </w:rPr>
            </w:pPr>
            <w:r>
              <w:rPr>
                <w:szCs w:val="21"/>
              </w:rPr>
              <w:t>非甲烷总烃</w:t>
            </w:r>
          </w:p>
        </w:tc>
        <w:tc>
          <w:tcPr>
            <w:tcW w:w="1760" w:type="pct"/>
            <w:tcBorders>
              <w:top w:val="single" w:color="auto" w:sz="4" w:space="0"/>
              <w:left w:val="single" w:color="auto" w:sz="4" w:space="0"/>
              <w:bottom w:val="single" w:color="auto" w:sz="4" w:space="0"/>
              <w:right w:val="single" w:color="auto" w:sz="4" w:space="0"/>
            </w:tcBorders>
            <w:vAlign w:val="center"/>
          </w:tcPr>
          <w:p w14:paraId="0B168362">
            <w:pPr>
              <w:autoSpaceDE w:val="0"/>
              <w:autoSpaceDN w:val="0"/>
              <w:adjustRightInd w:val="0"/>
              <w:jc w:val="center"/>
              <w:rPr>
                <w:szCs w:val="21"/>
              </w:rPr>
            </w:pPr>
            <w:r>
              <w:rPr>
                <w:szCs w:val="21"/>
              </w:rPr>
              <w:t>在注塑机上方设置集气罩和集气管道，废气经收集后通过二级活性炭吸附装置处理后引至15m高排气筒（DA001）排放</w:t>
            </w:r>
          </w:p>
        </w:tc>
        <w:tc>
          <w:tcPr>
            <w:tcW w:w="1222" w:type="pct"/>
            <w:tcBorders>
              <w:top w:val="single" w:color="auto" w:sz="4" w:space="0"/>
              <w:left w:val="single" w:color="auto" w:sz="4" w:space="0"/>
              <w:bottom w:val="single" w:color="auto" w:sz="4" w:space="0"/>
              <w:right w:val="single" w:color="auto" w:sz="12" w:space="0"/>
            </w:tcBorders>
            <w:vAlign w:val="center"/>
          </w:tcPr>
          <w:p w14:paraId="79BAED30">
            <w:pPr>
              <w:autoSpaceDE w:val="0"/>
              <w:autoSpaceDN w:val="0"/>
              <w:adjustRightInd w:val="0"/>
              <w:jc w:val="center"/>
              <w:rPr>
                <w:szCs w:val="21"/>
              </w:rPr>
            </w:pPr>
            <w:r>
              <w:rPr>
                <w:rFonts w:hint="eastAsia"/>
                <w:szCs w:val="21"/>
              </w:rPr>
              <w:t>安徽省《固定源挥发性有机物综合排放标准 第6部分 其他行业》（DB34/4812.6-2024）中表1挥发性有机物基本污染物项目排放限值塑料制品工业相关标准</w:t>
            </w:r>
            <w:r>
              <w:rPr>
                <w:szCs w:val="21"/>
              </w:rPr>
              <w:t>及表9企业边界大气污染物浓度</w:t>
            </w:r>
          </w:p>
        </w:tc>
      </w:tr>
      <w:tr w14:paraId="45E864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83" w:hRule="atLeast"/>
          <w:jc w:val="center"/>
        </w:trPr>
        <w:tc>
          <w:tcPr>
            <w:tcW w:w="432" w:type="pct"/>
            <w:vMerge w:val="continue"/>
            <w:tcBorders>
              <w:left w:val="single" w:color="auto" w:sz="12" w:space="0"/>
              <w:right w:val="single" w:color="auto" w:sz="4" w:space="0"/>
            </w:tcBorders>
            <w:vAlign w:val="center"/>
          </w:tcPr>
          <w:p w14:paraId="49E9394F">
            <w:pPr>
              <w:adjustRightInd w:val="0"/>
              <w:snapToGrid w:val="0"/>
              <w:jc w:val="center"/>
              <w:rPr>
                <w:szCs w:val="21"/>
              </w:rPr>
            </w:pPr>
          </w:p>
        </w:tc>
        <w:tc>
          <w:tcPr>
            <w:tcW w:w="851" w:type="pct"/>
            <w:tcBorders>
              <w:top w:val="single" w:color="auto" w:sz="4" w:space="0"/>
              <w:left w:val="single" w:color="auto" w:sz="4" w:space="0"/>
              <w:bottom w:val="single" w:color="auto" w:sz="4" w:space="0"/>
              <w:right w:val="single" w:color="auto" w:sz="4" w:space="0"/>
            </w:tcBorders>
            <w:vAlign w:val="center"/>
          </w:tcPr>
          <w:p w14:paraId="065666F9">
            <w:pPr>
              <w:autoSpaceDE w:val="0"/>
              <w:autoSpaceDN w:val="0"/>
              <w:adjustRightInd w:val="0"/>
              <w:jc w:val="center"/>
              <w:rPr>
                <w:rFonts w:hint="eastAsia" w:eastAsia="宋体"/>
                <w:szCs w:val="21"/>
                <w:lang w:val="en-US" w:eastAsia="zh-CN"/>
              </w:rPr>
            </w:pPr>
            <w:r>
              <w:rPr>
                <w:rFonts w:hint="eastAsia"/>
                <w:szCs w:val="21"/>
                <w:lang w:val="en-US" w:eastAsia="zh-CN"/>
              </w:rPr>
              <w:t>破碎</w:t>
            </w:r>
          </w:p>
        </w:tc>
        <w:tc>
          <w:tcPr>
            <w:tcW w:w="733" w:type="pct"/>
            <w:tcBorders>
              <w:top w:val="single" w:color="auto" w:sz="4" w:space="0"/>
              <w:left w:val="single" w:color="auto" w:sz="4" w:space="0"/>
              <w:bottom w:val="single" w:color="auto" w:sz="4" w:space="0"/>
              <w:right w:val="single" w:color="auto" w:sz="4" w:space="0"/>
            </w:tcBorders>
            <w:vAlign w:val="center"/>
          </w:tcPr>
          <w:p w14:paraId="59A661EF">
            <w:pPr>
              <w:autoSpaceDE w:val="0"/>
              <w:autoSpaceDN w:val="0"/>
              <w:adjustRightInd w:val="0"/>
              <w:jc w:val="center"/>
              <w:rPr>
                <w:rFonts w:hint="default" w:eastAsia="宋体"/>
                <w:szCs w:val="21"/>
                <w:lang w:val="en-US" w:eastAsia="zh-CN"/>
              </w:rPr>
            </w:pPr>
            <w:r>
              <w:rPr>
                <w:rFonts w:hint="eastAsia"/>
                <w:szCs w:val="21"/>
                <w:lang w:val="en-US" w:eastAsia="zh-CN"/>
              </w:rPr>
              <w:t>粉尘</w:t>
            </w:r>
          </w:p>
        </w:tc>
        <w:tc>
          <w:tcPr>
            <w:tcW w:w="1760" w:type="pct"/>
            <w:tcBorders>
              <w:top w:val="single" w:color="auto" w:sz="4" w:space="0"/>
              <w:left w:val="single" w:color="auto" w:sz="4" w:space="0"/>
              <w:bottom w:val="single" w:color="auto" w:sz="4" w:space="0"/>
              <w:right w:val="single" w:color="auto" w:sz="4" w:space="0"/>
            </w:tcBorders>
            <w:vAlign w:val="center"/>
          </w:tcPr>
          <w:p w14:paraId="7B240F3B">
            <w:pPr>
              <w:autoSpaceDE w:val="0"/>
              <w:autoSpaceDN w:val="0"/>
              <w:adjustRightInd w:val="0"/>
              <w:jc w:val="center"/>
              <w:rPr>
                <w:rFonts w:hint="default" w:eastAsia="宋体"/>
                <w:szCs w:val="21"/>
                <w:lang w:val="en-US" w:eastAsia="zh-CN"/>
              </w:rPr>
            </w:pPr>
            <w:r>
              <w:rPr>
                <w:rFonts w:hint="eastAsia"/>
                <w:szCs w:val="21"/>
                <w:lang w:val="en-US" w:eastAsia="zh-CN"/>
              </w:rPr>
              <w:t>在破碎机上方设置</w:t>
            </w:r>
            <w:r>
              <w:rPr>
                <w:szCs w:val="21"/>
              </w:rPr>
              <w:t>集气罩和集气管道，废气经收集后通过</w:t>
            </w:r>
            <w:r>
              <w:rPr>
                <w:rFonts w:hint="eastAsia"/>
                <w:szCs w:val="21"/>
                <w:lang w:val="en-US" w:eastAsia="zh-CN"/>
              </w:rPr>
              <w:t>布袋除尘器</w:t>
            </w:r>
            <w:r>
              <w:rPr>
                <w:szCs w:val="21"/>
              </w:rPr>
              <w:t>处理后引至15m高排气筒（DA00</w:t>
            </w:r>
            <w:r>
              <w:rPr>
                <w:rFonts w:hint="eastAsia"/>
                <w:szCs w:val="21"/>
                <w:lang w:val="en-US" w:eastAsia="zh-CN"/>
              </w:rPr>
              <w:t>2</w:t>
            </w:r>
            <w:r>
              <w:rPr>
                <w:szCs w:val="21"/>
              </w:rPr>
              <w:t>）排放</w:t>
            </w:r>
          </w:p>
        </w:tc>
        <w:tc>
          <w:tcPr>
            <w:tcW w:w="1222" w:type="pct"/>
            <w:tcBorders>
              <w:top w:val="single" w:color="auto" w:sz="4" w:space="0"/>
              <w:left w:val="single" w:color="auto" w:sz="4" w:space="0"/>
              <w:bottom w:val="single" w:color="auto" w:sz="4" w:space="0"/>
              <w:right w:val="single" w:color="auto" w:sz="12" w:space="0"/>
            </w:tcBorders>
            <w:vAlign w:val="center"/>
          </w:tcPr>
          <w:p w14:paraId="3967D58D">
            <w:pPr>
              <w:autoSpaceDE w:val="0"/>
              <w:autoSpaceDN w:val="0"/>
              <w:adjustRightInd w:val="0"/>
              <w:jc w:val="center"/>
              <w:rPr>
                <w:szCs w:val="21"/>
              </w:rPr>
            </w:pPr>
            <w:r>
              <w:rPr>
                <w:rFonts w:hint="eastAsia"/>
                <w:szCs w:val="21"/>
              </w:rPr>
              <w:t>《合成树脂工业污染物排放标准》（GB 31572-2015）</w:t>
            </w:r>
          </w:p>
        </w:tc>
      </w:tr>
      <w:tr w14:paraId="46169B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12" w:hRule="atLeast"/>
          <w:jc w:val="center"/>
        </w:trPr>
        <w:tc>
          <w:tcPr>
            <w:tcW w:w="432" w:type="pct"/>
            <w:vMerge w:val="continue"/>
            <w:tcBorders>
              <w:left w:val="single" w:color="auto" w:sz="12" w:space="0"/>
              <w:bottom w:val="single" w:color="auto" w:sz="4" w:space="0"/>
              <w:right w:val="single" w:color="auto" w:sz="4" w:space="0"/>
            </w:tcBorders>
            <w:vAlign w:val="center"/>
          </w:tcPr>
          <w:p w14:paraId="448A5B34">
            <w:pPr>
              <w:adjustRightInd w:val="0"/>
              <w:snapToGrid w:val="0"/>
              <w:jc w:val="center"/>
              <w:rPr>
                <w:szCs w:val="21"/>
              </w:rPr>
            </w:pPr>
          </w:p>
        </w:tc>
        <w:tc>
          <w:tcPr>
            <w:tcW w:w="851" w:type="pct"/>
            <w:tcBorders>
              <w:top w:val="single" w:color="auto" w:sz="4" w:space="0"/>
              <w:left w:val="single" w:color="auto" w:sz="4" w:space="0"/>
              <w:bottom w:val="single" w:color="auto" w:sz="4" w:space="0"/>
              <w:right w:val="single" w:color="auto" w:sz="4" w:space="0"/>
            </w:tcBorders>
            <w:vAlign w:val="center"/>
          </w:tcPr>
          <w:p w14:paraId="7B6709EE">
            <w:pPr>
              <w:autoSpaceDE w:val="0"/>
              <w:autoSpaceDN w:val="0"/>
              <w:adjustRightInd w:val="0"/>
              <w:jc w:val="center"/>
              <w:rPr>
                <w:rFonts w:hint="default" w:eastAsia="宋体"/>
                <w:szCs w:val="21"/>
                <w:lang w:val="en-US" w:eastAsia="zh-CN"/>
              </w:rPr>
            </w:pPr>
            <w:r>
              <w:rPr>
                <w:rFonts w:hint="eastAsia"/>
                <w:szCs w:val="21"/>
                <w:lang w:val="en-US" w:eastAsia="zh-CN"/>
              </w:rPr>
              <w:t>切割</w:t>
            </w:r>
          </w:p>
        </w:tc>
        <w:tc>
          <w:tcPr>
            <w:tcW w:w="733" w:type="pct"/>
            <w:tcBorders>
              <w:top w:val="single" w:color="auto" w:sz="4" w:space="0"/>
              <w:left w:val="single" w:color="auto" w:sz="4" w:space="0"/>
              <w:bottom w:val="single" w:color="auto" w:sz="4" w:space="0"/>
              <w:right w:val="single" w:color="auto" w:sz="4" w:space="0"/>
            </w:tcBorders>
            <w:vAlign w:val="center"/>
          </w:tcPr>
          <w:p w14:paraId="771EAD87">
            <w:pPr>
              <w:autoSpaceDE w:val="0"/>
              <w:autoSpaceDN w:val="0"/>
              <w:adjustRightInd w:val="0"/>
              <w:jc w:val="center"/>
              <w:rPr>
                <w:rFonts w:hint="default" w:eastAsia="宋体"/>
                <w:szCs w:val="21"/>
                <w:lang w:val="en-US" w:eastAsia="zh-CN"/>
              </w:rPr>
            </w:pPr>
            <w:r>
              <w:rPr>
                <w:rFonts w:hint="eastAsia"/>
                <w:szCs w:val="21"/>
                <w:lang w:val="en-US" w:eastAsia="zh-CN"/>
              </w:rPr>
              <w:t>粉尘</w:t>
            </w:r>
          </w:p>
        </w:tc>
        <w:tc>
          <w:tcPr>
            <w:tcW w:w="3269" w:type="dxa"/>
            <w:tcBorders>
              <w:top w:val="single" w:color="auto" w:sz="4" w:space="0"/>
              <w:left w:val="single" w:color="auto" w:sz="4" w:space="0"/>
              <w:bottom w:val="single" w:color="auto" w:sz="4" w:space="0"/>
              <w:right w:val="single" w:color="auto" w:sz="4" w:space="0"/>
            </w:tcBorders>
            <w:vAlign w:val="center"/>
          </w:tcPr>
          <w:p w14:paraId="2CC75DBC">
            <w:pPr>
              <w:autoSpaceDE w:val="0"/>
              <w:autoSpaceDN w:val="0"/>
              <w:adjustRightInd w:val="0"/>
              <w:jc w:val="center"/>
              <w:rPr>
                <w:rFonts w:hint="default" w:eastAsia="宋体"/>
                <w:szCs w:val="21"/>
                <w:lang w:val="en-US" w:eastAsia="zh-CN"/>
              </w:rPr>
            </w:pPr>
            <w:r>
              <w:rPr>
                <w:rFonts w:hint="eastAsia"/>
                <w:szCs w:val="21"/>
                <w:lang w:val="en-US" w:eastAsia="zh-CN"/>
              </w:rPr>
              <w:t>车间沉降，厂房阻隔</w:t>
            </w:r>
          </w:p>
        </w:tc>
        <w:tc>
          <w:tcPr>
            <w:tcW w:w="2272" w:type="dxa"/>
            <w:tcBorders>
              <w:top w:val="single" w:color="auto" w:sz="4" w:space="0"/>
              <w:left w:val="single" w:color="auto" w:sz="4" w:space="0"/>
              <w:bottom w:val="single" w:color="auto" w:sz="4" w:space="0"/>
              <w:right w:val="single" w:color="auto" w:sz="12" w:space="0"/>
            </w:tcBorders>
            <w:vAlign w:val="center"/>
          </w:tcPr>
          <w:p w14:paraId="230165D3">
            <w:pPr>
              <w:autoSpaceDE w:val="0"/>
              <w:autoSpaceDN w:val="0"/>
              <w:adjustRightInd w:val="0"/>
              <w:jc w:val="center"/>
              <w:rPr>
                <w:rFonts w:hint="eastAsia" w:eastAsia="宋体"/>
                <w:szCs w:val="21"/>
                <w:lang w:val="en-US" w:eastAsia="zh-CN"/>
              </w:rPr>
            </w:pPr>
            <w:r>
              <w:rPr>
                <w:rFonts w:hint="eastAsia"/>
                <w:szCs w:val="21"/>
              </w:rPr>
              <w:t>《大气污染物综合排放标准》（GB 16297-1996）</w:t>
            </w:r>
          </w:p>
        </w:tc>
      </w:tr>
      <w:tr w14:paraId="507251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432" w:type="pct"/>
            <w:vMerge w:val="continue"/>
            <w:tcBorders>
              <w:left w:val="single" w:color="auto" w:sz="12" w:space="0"/>
              <w:bottom w:val="single" w:color="auto" w:sz="4" w:space="0"/>
              <w:right w:val="single" w:color="auto" w:sz="4" w:space="0"/>
            </w:tcBorders>
            <w:vAlign w:val="center"/>
          </w:tcPr>
          <w:p w14:paraId="7E286CB2">
            <w:pPr>
              <w:adjustRightInd w:val="0"/>
              <w:snapToGrid w:val="0"/>
              <w:jc w:val="center"/>
              <w:rPr>
                <w:szCs w:val="21"/>
              </w:rPr>
            </w:pPr>
          </w:p>
        </w:tc>
        <w:tc>
          <w:tcPr>
            <w:tcW w:w="851" w:type="pct"/>
            <w:tcBorders>
              <w:top w:val="single" w:color="auto" w:sz="4" w:space="0"/>
              <w:left w:val="single" w:color="auto" w:sz="4" w:space="0"/>
              <w:bottom w:val="single" w:color="auto" w:sz="4" w:space="0"/>
              <w:right w:val="single" w:color="auto" w:sz="4" w:space="0"/>
            </w:tcBorders>
            <w:shd w:val="clear" w:color="auto" w:fill="auto"/>
            <w:vAlign w:val="center"/>
          </w:tcPr>
          <w:p w14:paraId="2ED95049">
            <w:pPr>
              <w:autoSpaceDE w:val="0"/>
              <w:autoSpaceDN w:val="0"/>
              <w:adjustRightInd w:val="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焊接</w:t>
            </w:r>
          </w:p>
        </w:tc>
        <w:tc>
          <w:tcPr>
            <w:tcW w:w="733" w:type="pct"/>
            <w:tcBorders>
              <w:top w:val="single" w:color="auto" w:sz="4" w:space="0"/>
              <w:left w:val="single" w:color="auto" w:sz="4" w:space="0"/>
              <w:bottom w:val="single" w:color="auto" w:sz="4" w:space="0"/>
              <w:right w:val="single" w:color="auto" w:sz="4" w:space="0"/>
            </w:tcBorders>
            <w:shd w:val="clear" w:color="auto" w:fill="auto"/>
            <w:vAlign w:val="center"/>
          </w:tcPr>
          <w:p w14:paraId="7AF1B556">
            <w:pPr>
              <w:autoSpaceDE w:val="0"/>
              <w:autoSpaceDN w:val="0"/>
              <w:adjustRightInd w:val="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烟尘</w:t>
            </w:r>
          </w:p>
        </w:tc>
        <w:tc>
          <w:tcPr>
            <w:tcW w:w="1760" w:type="pct"/>
            <w:tcBorders>
              <w:top w:val="single" w:color="auto" w:sz="4" w:space="0"/>
              <w:left w:val="single" w:color="auto" w:sz="4" w:space="0"/>
              <w:bottom w:val="single" w:color="auto" w:sz="4" w:space="0"/>
              <w:right w:val="single" w:color="auto" w:sz="4" w:space="0"/>
            </w:tcBorders>
            <w:shd w:val="clear" w:color="auto" w:fill="auto"/>
            <w:vAlign w:val="center"/>
          </w:tcPr>
          <w:p w14:paraId="2EC9FDC6">
            <w:pPr>
              <w:autoSpaceDE w:val="0"/>
              <w:autoSpaceDN w:val="0"/>
              <w:adjustRightInd w:val="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焊接烟尘净化器</w:t>
            </w:r>
          </w:p>
        </w:tc>
        <w:tc>
          <w:tcPr>
            <w:tcW w:w="1222" w:type="pct"/>
            <w:tcBorders>
              <w:top w:val="single" w:color="auto" w:sz="4" w:space="0"/>
              <w:left w:val="single" w:color="auto" w:sz="4" w:space="0"/>
              <w:bottom w:val="single" w:color="auto" w:sz="4" w:space="0"/>
              <w:right w:val="single" w:color="auto" w:sz="12" w:space="0"/>
            </w:tcBorders>
            <w:shd w:val="clear" w:color="auto" w:fill="auto"/>
            <w:vAlign w:val="center"/>
          </w:tcPr>
          <w:p w14:paraId="2DB63DE9">
            <w:pPr>
              <w:autoSpaceDE w:val="0"/>
              <w:autoSpaceDN w:val="0"/>
              <w:adjustRightInd w:val="0"/>
              <w:jc w:val="center"/>
              <w:rPr>
                <w:rFonts w:hint="eastAsia" w:ascii="Times New Roman" w:hAnsi="Times New Roman" w:eastAsia="宋体" w:cs="Times New Roman"/>
                <w:kern w:val="2"/>
                <w:sz w:val="21"/>
                <w:szCs w:val="21"/>
                <w:lang w:val="en-US" w:eastAsia="zh-CN" w:bidi="ar-SA"/>
              </w:rPr>
            </w:pPr>
            <w:r>
              <w:rPr>
                <w:rFonts w:hint="eastAsia"/>
                <w:szCs w:val="21"/>
              </w:rPr>
              <w:t>《大气污染物综合排放标准》（GB 16297-1996）</w:t>
            </w:r>
          </w:p>
        </w:tc>
      </w:tr>
      <w:tr w14:paraId="44363B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32" w:type="pct"/>
            <w:tcBorders>
              <w:top w:val="single" w:color="auto" w:sz="4" w:space="0"/>
              <w:left w:val="single" w:color="auto" w:sz="12" w:space="0"/>
              <w:bottom w:val="single" w:color="auto" w:sz="4" w:space="0"/>
              <w:right w:val="single" w:color="auto" w:sz="4" w:space="0"/>
            </w:tcBorders>
            <w:vAlign w:val="center"/>
          </w:tcPr>
          <w:p w14:paraId="6564E301">
            <w:pPr>
              <w:adjustRightInd w:val="0"/>
              <w:snapToGrid w:val="0"/>
              <w:jc w:val="center"/>
              <w:rPr>
                <w:szCs w:val="21"/>
              </w:rPr>
            </w:pPr>
            <w:r>
              <w:rPr>
                <w:szCs w:val="21"/>
              </w:rPr>
              <w:t>地表水环境</w:t>
            </w:r>
          </w:p>
        </w:tc>
        <w:tc>
          <w:tcPr>
            <w:tcW w:w="851" w:type="pct"/>
            <w:tcBorders>
              <w:top w:val="single" w:color="auto" w:sz="4" w:space="0"/>
              <w:left w:val="single" w:color="auto" w:sz="4" w:space="0"/>
              <w:bottom w:val="single" w:color="auto" w:sz="4" w:space="0"/>
              <w:right w:val="single" w:color="auto" w:sz="4" w:space="0"/>
            </w:tcBorders>
            <w:vAlign w:val="center"/>
          </w:tcPr>
          <w:p w14:paraId="6A658A3B">
            <w:pPr>
              <w:adjustRightInd w:val="0"/>
              <w:snapToGrid w:val="0"/>
              <w:jc w:val="center"/>
              <w:rPr>
                <w:szCs w:val="21"/>
              </w:rPr>
            </w:pPr>
            <w:r>
              <w:rPr>
                <w:szCs w:val="21"/>
              </w:rPr>
              <w:t>员工生活污水</w:t>
            </w:r>
          </w:p>
        </w:tc>
        <w:tc>
          <w:tcPr>
            <w:tcW w:w="733" w:type="pct"/>
            <w:tcBorders>
              <w:top w:val="single" w:color="auto" w:sz="4" w:space="0"/>
              <w:left w:val="single" w:color="auto" w:sz="4" w:space="0"/>
              <w:bottom w:val="single" w:color="auto" w:sz="4" w:space="0"/>
              <w:right w:val="single" w:color="auto" w:sz="4" w:space="0"/>
            </w:tcBorders>
            <w:vAlign w:val="center"/>
          </w:tcPr>
          <w:p w14:paraId="5474F6B6">
            <w:pPr>
              <w:adjustRightInd w:val="0"/>
              <w:snapToGrid w:val="0"/>
              <w:jc w:val="center"/>
              <w:rPr>
                <w:szCs w:val="21"/>
              </w:rPr>
            </w:pPr>
            <w:r>
              <w:rPr>
                <w:szCs w:val="21"/>
              </w:rPr>
              <w:t>pH、COD、NH</w:t>
            </w:r>
            <w:r>
              <w:rPr>
                <w:szCs w:val="21"/>
                <w:vertAlign w:val="subscript"/>
              </w:rPr>
              <w:t>3</w:t>
            </w:r>
            <w:r>
              <w:rPr>
                <w:szCs w:val="21"/>
              </w:rPr>
              <w:t>-N、SS、TP</w:t>
            </w:r>
          </w:p>
        </w:tc>
        <w:tc>
          <w:tcPr>
            <w:tcW w:w="1760" w:type="pct"/>
            <w:tcBorders>
              <w:top w:val="single" w:color="auto" w:sz="4" w:space="0"/>
              <w:left w:val="single" w:color="auto" w:sz="4" w:space="0"/>
              <w:bottom w:val="single" w:color="auto" w:sz="4" w:space="0"/>
              <w:right w:val="single" w:color="auto" w:sz="4" w:space="0"/>
            </w:tcBorders>
            <w:vAlign w:val="center"/>
          </w:tcPr>
          <w:p w14:paraId="262998EF">
            <w:pPr>
              <w:adjustRightInd w:val="0"/>
              <w:snapToGrid w:val="0"/>
              <w:jc w:val="center"/>
              <w:rPr>
                <w:szCs w:val="21"/>
              </w:rPr>
            </w:pPr>
            <w:r>
              <w:rPr>
                <w:szCs w:val="21"/>
              </w:rPr>
              <w:t>生活污水经化粪池预处理后由吸粪车定期抽运</w:t>
            </w:r>
          </w:p>
        </w:tc>
        <w:tc>
          <w:tcPr>
            <w:tcW w:w="1222" w:type="pct"/>
            <w:tcBorders>
              <w:top w:val="single" w:color="auto" w:sz="4" w:space="0"/>
              <w:left w:val="single" w:color="auto" w:sz="4" w:space="0"/>
              <w:bottom w:val="single" w:color="auto" w:sz="4" w:space="0"/>
              <w:right w:val="single" w:color="auto" w:sz="12" w:space="0"/>
            </w:tcBorders>
            <w:vAlign w:val="center"/>
          </w:tcPr>
          <w:p w14:paraId="24DCC31F">
            <w:pPr>
              <w:adjustRightInd w:val="0"/>
              <w:snapToGrid w:val="0"/>
              <w:jc w:val="center"/>
              <w:rPr>
                <w:szCs w:val="21"/>
              </w:rPr>
            </w:pPr>
            <w:r>
              <w:rPr>
                <w:szCs w:val="21"/>
              </w:rPr>
              <w:t>不外排</w:t>
            </w:r>
          </w:p>
        </w:tc>
      </w:tr>
      <w:tr w14:paraId="40F196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32" w:type="pct"/>
            <w:tcBorders>
              <w:top w:val="single" w:color="auto" w:sz="4" w:space="0"/>
              <w:left w:val="single" w:color="auto" w:sz="12" w:space="0"/>
              <w:bottom w:val="single" w:color="auto" w:sz="4" w:space="0"/>
              <w:right w:val="single" w:color="auto" w:sz="4" w:space="0"/>
            </w:tcBorders>
            <w:vAlign w:val="center"/>
          </w:tcPr>
          <w:p w14:paraId="58760019">
            <w:pPr>
              <w:adjustRightInd w:val="0"/>
              <w:snapToGrid w:val="0"/>
              <w:jc w:val="center"/>
              <w:rPr>
                <w:szCs w:val="21"/>
              </w:rPr>
            </w:pPr>
            <w:r>
              <w:rPr>
                <w:szCs w:val="21"/>
              </w:rPr>
              <w:t>声环境</w:t>
            </w:r>
          </w:p>
        </w:tc>
        <w:tc>
          <w:tcPr>
            <w:tcW w:w="851" w:type="pct"/>
            <w:tcBorders>
              <w:top w:val="single" w:color="auto" w:sz="4" w:space="0"/>
              <w:left w:val="single" w:color="auto" w:sz="4" w:space="0"/>
              <w:bottom w:val="single" w:color="auto" w:sz="4" w:space="0"/>
              <w:right w:val="single" w:color="auto" w:sz="4" w:space="0"/>
            </w:tcBorders>
            <w:vAlign w:val="center"/>
          </w:tcPr>
          <w:p w14:paraId="41EEA7AF">
            <w:pPr>
              <w:adjustRightInd w:val="0"/>
              <w:snapToGrid w:val="0"/>
              <w:jc w:val="center"/>
              <w:rPr>
                <w:szCs w:val="21"/>
              </w:rPr>
            </w:pPr>
            <w:r>
              <w:rPr>
                <w:szCs w:val="21"/>
              </w:rPr>
              <w:t>厂界</w:t>
            </w:r>
          </w:p>
        </w:tc>
        <w:tc>
          <w:tcPr>
            <w:tcW w:w="733" w:type="pct"/>
            <w:tcBorders>
              <w:top w:val="single" w:color="auto" w:sz="4" w:space="0"/>
              <w:left w:val="single" w:color="auto" w:sz="4" w:space="0"/>
              <w:bottom w:val="single" w:color="auto" w:sz="4" w:space="0"/>
              <w:right w:val="single" w:color="auto" w:sz="4" w:space="0"/>
            </w:tcBorders>
            <w:vAlign w:val="center"/>
          </w:tcPr>
          <w:p w14:paraId="7BA3ADED">
            <w:pPr>
              <w:adjustRightInd w:val="0"/>
              <w:snapToGrid w:val="0"/>
              <w:jc w:val="center"/>
              <w:rPr>
                <w:szCs w:val="21"/>
              </w:rPr>
            </w:pPr>
            <w:r>
              <w:rPr>
                <w:szCs w:val="21"/>
              </w:rPr>
              <w:t>噪声</w:t>
            </w:r>
          </w:p>
        </w:tc>
        <w:tc>
          <w:tcPr>
            <w:tcW w:w="1760" w:type="pct"/>
            <w:tcBorders>
              <w:top w:val="single" w:color="auto" w:sz="4" w:space="0"/>
              <w:left w:val="single" w:color="auto" w:sz="4" w:space="0"/>
              <w:bottom w:val="single" w:color="auto" w:sz="4" w:space="0"/>
              <w:right w:val="single" w:color="auto" w:sz="4" w:space="0"/>
            </w:tcBorders>
            <w:vAlign w:val="center"/>
          </w:tcPr>
          <w:p w14:paraId="515456A1">
            <w:pPr>
              <w:adjustRightInd w:val="0"/>
              <w:snapToGrid w:val="0"/>
              <w:jc w:val="center"/>
              <w:rPr>
                <w:szCs w:val="21"/>
              </w:rPr>
            </w:pPr>
            <w:r>
              <w:rPr>
                <w:szCs w:val="21"/>
              </w:rPr>
              <w:t>合理布局；对高噪声设备采取隔振减振措施；车间隔声；合理安排生产时间</w:t>
            </w:r>
          </w:p>
        </w:tc>
        <w:tc>
          <w:tcPr>
            <w:tcW w:w="1222" w:type="pct"/>
            <w:tcBorders>
              <w:top w:val="single" w:color="auto" w:sz="4" w:space="0"/>
              <w:left w:val="single" w:color="auto" w:sz="4" w:space="0"/>
              <w:bottom w:val="single" w:color="auto" w:sz="4" w:space="0"/>
              <w:right w:val="single" w:color="auto" w:sz="12" w:space="0"/>
            </w:tcBorders>
            <w:vAlign w:val="center"/>
          </w:tcPr>
          <w:p w14:paraId="2B8C504E">
            <w:pPr>
              <w:adjustRightInd w:val="0"/>
              <w:snapToGrid w:val="0"/>
              <w:jc w:val="center"/>
              <w:rPr>
                <w:szCs w:val="21"/>
              </w:rPr>
            </w:pPr>
            <w:r>
              <w:rPr>
                <w:szCs w:val="21"/>
              </w:rPr>
              <w:t>《工业企业厂界环境噪声排放标准》（GB12348-2008）中的3</w:t>
            </w:r>
            <w:r>
              <w:rPr>
                <w:kern w:val="0"/>
                <w:szCs w:val="21"/>
              </w:rPr>
              <w:t>类、</w:t>
            </w:r>
            <w:r>
              <w:rPr>
                <w:szCs w:val="21"/>
              </w:rPr>
              <w:t>4</w:t>
            </w:r>
            <w:r>
              <w:rPr>
                <w:kern w:val="0"/>
                <w:szCs w:val="21"/>
              </w:rPr>
              <w:t>类</w:t>
            </w:r>
            <w:r>
              <w:rPr>
                <w:szCs w:val="21"/>
              </w:rPr>
              <w:t>标准</w:t>
            </w:r>
          </w:p>
        </w:tc>
      </w:tr>
      <w:tr w14:paraId="76054D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32" w:type="pct"/>
            <w:tcBorders>
              <w:top w:val="single" w:color="auto" w:sz="4" w:space="0"/>
              <w:left w:val="single" w:color="auto" w:sz="12" w:space="0"/>
              <w:bottom w:val="single" w:color="auto" w:sz="4" w:space="0"/>
              <w:right w:val="single" w:color="auto" w:sz="4" w:space="0"/>
            </w:tcBorders>
            <w:vAlign w:val="center"/>
          </w:tcPr>
          <w:p w14:paraId="0F3327D8">
            <w:pPr>
              <w:adjustRightInd w:val="0"/>
              <w:snapToGrid w:val="0"/>
              <w:jc w:val="center"/>
              <w:rPr>
                <w:szCs w:val="21"/>
              </w:rPr>
            </w:pPr>
            <w:r>
              <w:rPr>
                <w:szCs w:val="21"/>
              </w:rPr>
              <w:t>电磁辐射</w:t>
            </w:r>
          </w:p>
        </w:tc>
        <w:tc>
          <w:tcPr>
            <w:tcW w:w="4567" w:type="pct"/>
            <w:gridSpan w:val="4"/>
            <w:tcBorders>
              <w:top w:val="single" w:color="auto" w:sz="4" w:space="0"/>
              <w:left w:val="single" w:color="auto" w:sz="4" w:space="0"/>
              <w:bottom w:val="single" w:color="auto" w:sz="4" w:space="0"/>
              <w:right w:val="single" w:color="auto" w:sz="12" w:space="0"/>
            </w:tcBorders>
            <w:vAlign w:val="center"/>
          </w:tcPr>
          <w:p w14:paraId="388C3620">
            <w:pPr>
              <w:adjustRightInd w:val="0"/>
              <w:snapToGrid w:val="0"/>
              <w:jc w:val="center"/>
              <w:rPr>
                <w:szCs w:val="21"/>
              </w:rPr>
            </w:pPr>
            <w:r>
              <w:rPr>
                <w:szCs w:val="21"/>
              </w:rPr>
              <w:t>无</w:t>
            </w:r>
          </w:p>
        </w:tc>
      </w:tr>
      <w:tr w14:paraId="23709F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265" w:hRule="atLeast"/>
          <w:jc w:val="center"/>
        </w:trPr>
        <w:tc>
          <w:tcPr>
            <w:tcW w:w="432" w:type="pct"/>
            <w:tcBorders>
              <w:top w:val="single" w:color="auto" w:sz="4" w:space="0"/>
              <w:left w:val="single" w:color="auto" w:sz="12" w:space="0"/>
              <w:bottom w:val="single" w:color="auto" w:sz="4" w:space="0"/>
              <w:right w:val="single" w:color="auto" w:sz="4" w:space="0"/>
            </w:tcBorders>
            <w:vAlign w:val="center"/>
          </w:tcPr>
          <w:p w14:paraId="44756CD5">
            <w:pPr>
              <w:adjustRightInd w:val="0"/>
              <w:snapToGrid w:val="0"/>
              <w:jc w:val="center"/>
              <w:rPr>
                <w:szCs w:val="21"/>
              </w:rPr>
            </w:pPr>
            <w:r>
              <w:rPr>
                <w:szCs w:val="21"/>
              </w:rPr>
              <w:t>固体废物</w:t>
            </w:r>
          </w:p>
        </w:tc>
        <w:tc>
          <w:tcPr>
            <w:tcW w:w="4567" w:type="pct"/>
            <w:gridSpan w:val="4"/>
            <w:tcBorders>
              <w:top w:val="single" w:color="auto" w:sz="4" w:space="0"/>
              <w:left w:val="single" w:color="auto" w:sz="4" w:space="0"/>
              <w:bottom w:val="single" w:color="auto" w:sz="4" w:space="0"/>
              <w:right w:val="single" w:color="auto" w:sz="12" w:space="0"/>
            </w:tcBorders>
            <w:vAlign w:val="center"/>
          </w:tcPr>
          <w:p w14:paraId="67DCFA06">
            <w:pPr>
              <w:adjustRightInd w:val="0"/>
              <w:snapToGrid w:val="0"/>
              <w:spacing w:line="360" w:lineRule="auto"/>
              <w:jc w:val="left"/>
              <w:rPr>
                <w:szCs w:val="21"/>
              </w:rPr>
            </w:pPr>
            <w:r>
              <w:rPr>
                <w:szCs w:val="21"/>
              </w:rPr>
              <w:t>本项目产生的一般工业固废废边角料、废包装袋，统一外售。危险废物废活性炭、废液压油经于厂内危废暂存场所暂存后委托有资质单位妥善处置；生活垃圾委托环卫部门统一处理。</w:t>
            </w:r>
          </w:p>
        </w:tc>
      </w:tr>
      <w:tr w14:paraId="37921E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32" w:type="pct"/>
            <w:tcBorders>
              <w:top w:val="single" w:color="auto" w:sz="4" w:space="0"/>
              <w:left w:val="single" w:color="auto" w:sz="12" w:space="0"/>
              <w:bottom w:val="single" w:color="auto" w:sz="4" w:space="0"/>
              <w:right w:val="single" w:color="auto" w:sz="4" w:space="0"/>
            </w:tcBorders>
            <w:vAlign w:val="center"/>
          </w:tcPr>
          <w:p w14:paraId="32A12457">
            <w:pPr>
              <w:adjustRightInd w:val="0"/>
              <w:snapToGrid w:val="0"/>
              <w:jc w:val="center"/>
              <w:rPr>
                <w:szCs w:val="21"/>
              </w:rPr>
            </w:pPr>
            <w:r>
              <w:rPr>
                <w:szCs w:val="21"/>
              </w:rPr>
              <w:t>土壤及地下水</w:t>
            </w:r>
          </w:p>
          <w:p w14:paraId="6AFBEE3A">
            <w:pPr>
              <w:adjustRightInd w:val="0"/>
              <w:snapToGrid w:val="0"/>
              <w:jc w:val="center"/>
              <w:rPr>
                <w:szCs w:val="21"/>
              </w:rPr>
            </w:pPr>
            <w:r>
              <w:rPr>
                <w:szCs w:val="21"/>
              </w:rPr>
              <w:t>污染防治措施</w:t>
            </w:r>
          </w:p>
        </w:tc>
        <w:tc>
          <w:tcPr>
            <w:tcW w:w="4567" w:type="pct"/>
            <w:gridSpan w:val="4"/>
            <w:tcBorders>
              <w:top w:val="single" w:color="auto" w:sz="4" w:space="0"/>
              <w:left w:val="single" w:color="auto" w:sz="4" w:space="0"/>
              <w:bottom w:val="single" w:color="auto" w:sz="4" w:space="0"/>
              <w:right w:val="single" w:color="auto" w:sz="12" w:space="0"/>
            </w:tcBorders>
            <w:vAlign w:val="center"/>
          </w:tcPr>
          <w:p w14:paraId="5DEF11FE">
            <w:pPr>
              <w:adjustRightInd w:val="0"/>
              <w:snapToGrid w:val="0"/>
              <w:spacing w:line="360" w:lineRule="auto"/>
              <w:jc w:val="left"/>
              <w:rPr>
                <w:szCs w:val="21"/>
              </w:rPr>
            </w:pPr>
            <w:r>
              <w:rPr>
                <w:szCs w:val="21"/>
              </w:rPr>
              <w:t>/</w:t>
            </w:r>
          </w:p>
        </w:tc>
      </w:tr>
      <w:tr w14:paraId="4DFDEC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925" w:hRule="atLeast"/>
          <w:jc w:val="center"/>
        </w:trPr>
        <w:tc>
          <w:tcPr>
            <w:tcW w:w="432" w:type="pct"/>
            <w:tcBorders>
              <w:top w:val="single" w:color="auto" w:sz="4" w:space="0"/>
              <w:left w:val="single" w:color="auto" w:sz="12" w:space="0"/>
              <w:bottom w:val="single" w:color="auto" w:sz="4" w:space="0"/>
              <w:right w:val="single" w:color="auto" w:sz="4" w:space="0"/>
            </w:tcBorders>
            <w:vAlign w:val="center"/>
          </w:tcPr>
          <w:p w14:paraId="7BB877C1">
            <w:pPr>
              <w:adjustRightInd w:val="0"/>
              <w:snapToGrid w:val="0"/>
              <w:jc w:val="center"/>
              <w:rPr>
                <w:szCs w:val="21"/>
              </w:rPr>
            </w:pPr>
            <w:r>
              <w:rPr>
                <w:szCs w:val="21"/>
              </w:rPr>
              <w:t>生态保护措施</w:t>
            </w:r>
          </w:p>
        </w:tc>
        <w:tc>
          <w:tcPr>
            <w:tcW w:w="4567" w:type="pct"/>
            <w:gridSpan w:val="4"/>
            <w:tcBorders>
              <w:top w:val="single" w:color="auto" w:sz="4" w:space="0"/>
              <w:left w:val="single" w:color="auto" w:sz="4" w:space="0"/>
              <w:bottom w:val="single" w:color="auto" w:sz="4" w:space="0"/>
              <w:right w:val="single" w:color="auto" w:sz="12" w:space="0"/>
            </w:tcBorders>
            <w:vAlign w:val="center"/>
          </w:tcPr>
          <w:p w14:paraId="6ED72045">
            <w:pPr>
              <w:adjustRightInd w:val="0"/>
              <w:snapToGrid w:val="0"/>
              <w:spacing w:line="360" w:lineRule="auto"/>
              <w:jc w:val="left"/>
              <w:rPr>
                <w:szCs w:val="21"/>
              </w:rPr>
            </w:pPr>
            <w:r>
              <w:rPr>
                <w:szCs w:val="21"/>
              </w:rPr>
              <w:t>项目区域附近无自然保护区，人文景观和名胜古迹等环境敏感点，周围没有需要特殊保护的生态环境。项目建设不会对周围生态环境造成影响。</w:t>
            </w:r>
          </w:p>
        </w:tc>
      </w:tr>
      <w:tr w14:paraId="39D96D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32" w:type="pct"/>
            <w:tcBorders>
              <w:top w:val="single" w:color="auto" w:sz="4" w:space="0"/>
              <w:left w:val="single" w:color="auto" w:sz="12" w:space="0"/>
              <w:bottom w:val="single" w:color="auto" w:sz="4" w:space="0"/>
              <w:right w:val="single" w:color="auto" w:sz="4" w:space="0"/>
            </w:tcBorders>
            <w:vAlign w:val="center"/>
          </w:tcPr>
          <w:p w14:paraId="031F1EE3">
            <w:pPr>
              <w:adjustRightInd w:val="0"/>
              <w:snapToGrid w:val="0"/>
              <w:jc w:val="center"/>
              <w:rPr>
                <w:spacing w:val="-8"/>
                <w:szCs w:val="21"/>
              </w:rPr>
            </w:pPr>
            <w:r>
              <w:rPr>
                <w:spacing w:val="-8"/>
                <w:szCs w:val="21"/>
              </w:rPr>
              <w:t>环境风险防范措施</w:t>
            </w:r>
          </w:p>
        </w:tc>
        <w:tc>
          <w:tcPr>
            <w:tcW w:w="4567" w:type="pct"/>
            <w:gridSpan w:val="4"/>
            <w:tcBorders>
              <w:top w:val="single" w:color="auto" w:sz="4" w:space="0"/>
              <w:left w:val="single" w:color="auto" w:sz="4" w:space="0"/>
              <w:bottom w:val="single" w:color="auto" w:sz="4" w:space="0"/>
              <w:right w:val="single" w:color="auto" w:sz="12" w:space="0"/>
            </w:tcBorders>
            <w:vAlign w:val="center"/>
          </w:tcPr>
          <w:p w14:paraId="191D2012">
            <w:pPr>
              <w:adjustRightInd w:val="0"/>
              <w:snapToGrid w:val="0"/>
              <w:spacing w:line="360" w:lineRule="auto"/>
              <w:jc w:val="left"/>
              <w:rPr>
                <w:szCs w:val="21"/>
              </w:rPr>
            </w:pPr>
            <w:r>
              <w:rPr>
                <w:szCs w:val="21"/>
              </w:rPr>
              <w:t>/</w:t>
            </w:r>
          </w:p>
          <w:p w14:paraId="5BF0A43C">
            <w:pPr>
              <w:pStyle w:val="12"/>
            </w:pPr>
          </w:p>
        </w:tc>
      </w:tr>
      <w:tr w14:paraId="6BFA3E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1331" w:hRule="atLeast"/>
          <w:jc w:val="center"/>
        </w:trPr>
        <w:tc>
          <w:tcPr>
            <w:tcW w:w="432" w:type="pct"/>
            <w:tcBorders>
              <w:top w:val="single" w:color="auto" w:sz="4" w:space="0"/>
              <w:left w:val="single" w:color="auto" w:sz="12" w:space="0"/>
              <w:bottom w:val="single" w:color="auto" w:sz="12" w:space="0"/>
              <w:right w:val="single" w:color="auto" w:sz="4" w:space="0"/>
            </w:tcBorders>
            <w:vAlign w:val="center"/>
          </w:tcPr>
          <w:p w14:paraId="2F6462A3">
            <w:pPr>
              <w:adjustRightInd w:val="0"/>
              <w:snapToGrid w:val="0"/>
              <w:jc w:val="center"/>
              <w:rPr>
                <w:spacing w:val="-8"/>
                <w:szCs w:val="21"/>
              </w:rPr>
            </w:pPr>
            <w:r>
              <w:rPr>
                <w:spacing w:val="-8"/>
                <w:szCs w:val="21"/>
              </w:rPr>
              <w:t>其他环境管理要求</w:t>
            </w:r>
          </w:p>
        </w:tc>
        <w:tc>
          <w:tcPr>
            <w:tcW w:w="4567" w:type="pct"/>
            <w:gridSpan w:val="4"/>
            <w:tcBorders>
              <w:top w:val="single" w:color="auto" w:sz="4" w:space="0"/>
              <w:left w:val="single" w:color="auto" w:sz="4" w:space="0"/>
              <w:bottom w:val="single" w:color="auto" w:sz="12" w:space="0"/>
              <w:right w:val="single" w:color="auto" w:sz="12" w:space="0"/>
            </w:tcBorders>
          </w:tcPr>
          <w:p w14:paraId="3928DEE2">
            <w:pPr>
              <w:adjustRightInd w:val="0"/>
              <w:snapToGrid w:val="0"/>
              <w:spacing w:line="360" w:lineRule="auto"/>
              <w:jc w:val="left"/>
              <w:rPr>
                <w:szCs w:val="21"/>
              </w:rPr>
            </w:pPr>
            <w:r>
              <w:rPr>
                <w:szCs w:val="21"/>
              </w:rPr>
              <w:t>（1）本项目环保责任主体为宿州市博众塑业有限公司，有组织废气考核点为本项目排气筒进、出口，厂界废气和噪声考核点为公司厂区四至边界。</w:t>
            </w:r>
          </w:p>
          <w:p w14:paraId="6FFB4B81">
            <w:pPr>
              <w:adjustRightInd w:val="0"/>
              <w:snapToGrid w:val="0"/>
              <w:spacing w:line="360" w:lineRule="auto"/>
              <w:jc w:val="left"/>
              <w:rPr>
                <w:szCs w:val="21"/>
              </w:rPr>
            </w:pPr>
            <w:r>
              <w:rPr>
                <w:szCs w:val="21"/>
              </w:rPr>
              <w:t>（2）按《排污单位自行监测技术指南总则》（HJ 819-2017）中的监测要求，制定例行监测计划，定期进行监测。</w:t>
            </w:r>
          </w:p>
          <w:p w14:paraId="168C980A">
            <w:pPr>
              <w:adjustRightInd w:val="0"/>
              <w:snapToGrid w:val="0"/>
              <w:spacing w:line="360" w:lineRule="auto"/>
              <w:jc w:val="left"/>
              <w:rPr>
                <w:szCs w:val="21"/>
              </w:rPr>
            </w:pPr>
            <w:r>
              <w:rPr>
                <w:szCs w:val="21"/>
              </w:rPr>
              <w:t>（3）建设单位应按照国家及本市有关法律法规、建设项目竣工环境保护验收技术规范、建设项目环境影响报告表和审批决定等要求，开展相关验收工作。</w:t>
            </w:r>
          </w:p>
          <w:p w14:paraId="2AB17AFF">
            <w:pPr>
              <w:adjustRightInd w:val="0"/>
              <w:snapToGrid w:val="0"/>
              <w:spacing w:line="360" w:lineRule="auto"/>
              <w:jc w:val="left"/>
              <w:rPr>
                <w:szCs w:val="21"/>
              </w:rPr>
            </w:pPr>
            <w:r>
              <w:rPr>
                <w:szCs w:val="21"/>
              </w:rPr>
              <w:t>建设项目配套建设的环境保护设施经验收合格，方可投入生产或者使用；未经验收或者验收不合格的，不得投入生产或者使用。</w:t>
            </w:r>
          </w:p>
          <w:p w14:paraId="75C8476C">
            <w:pPr>
              <w:adjustRightInd w:val="0"/>
              <w:snapToGrid w:val="0"/>
              <w:spacing w:line="360" w:lineRule="auto"/>
              <w:jc w:val="left"/>
              <w:rPr>
                <w:szCs w:val="21"/>
              </w:rPr>
            </w:pPr>
            <w:r>
              <w:rPr>
                <w:szCs w:val="21"/>
              </w:rPr>
              <w:t>（4）本项目行业类别为C2190其他家具制造，对照《固定污染源排污许可分类管理名录》（2019年版），本项目</w:t>
            </w:r>
            <w:r>
              <w:rPr>
                <w:b/>
                <w:bCs/>
                <w:szCs w:val="21"/>
              </w:rPr>
              <w:t>属登记管理</w:t>
            </w:r>
            <w:r>
              <w:rPr>
                <w:szCs w:val="21"/>
              </w:rPr>
              <w:t>，根据《排污许可管理条例》（国务院令第 736 号）：“第二十四条 ......填报的信息发生变动的，应当自发生变动之日起20日内进行变更填报”；并依据《建设项目竣工环境保护验收暂行办法》，建设单位应当在启动本项目生产设施之前在全国排污许可证管理信息平台办理排污许可证登记。</w:t>
            </w:r>
          </w:p>
          <w:p w14:paraId="1F6902AE">
            <w:pPr>
              <w:adjustRightInd w:val="0"/>
              <w:snapToGrid w:val="0"/>
              <w:spacing w:line="360" w:lineRule="auto"/>
              <w:jc w:val="left"/>
              <w:rPr>
                <w:szCs w:val="21"/>
              </w:rPr>
            </w:pPr>
            <w:r>
              <w:rPr>
                <w:szCs w:val="21"/>
              </w:rPr>
              <w:t>（5）各污染源排放口设置专项图标，执行《环境图形标准排污口（源）》（GB15563.1 -1995）、《环境保护图形标志—固体废物贮存（处置）场》（GB15562.2-1995）的相关要求。根据规定要求各排污口（源）提示标志形状采用正方形边框，背景颜色采用绿色，图形颜色采用白色。标志牌应设在与之功能相应的醒目处，并保持清晰、完整。</w:t>
            </w:r>
          </w:p>
          <w:p w14:paraId="1A989E36">
            <w:pPr>
              <w:pStyle w:val="12"/>
              <w:rPr>
                <w:szCs w:val="24"/>
              </w:rPr>
            </w:pPr>
          </w:p>
        </w:tc>
      </w:tr>
    </w:tbl>
    <w:p w14:paraId="6603BD8C">
      <w:pPr>
        <w:pStyle w:val="41"/>
        <w:ind w:firstLine="420"/>
        <w:rPr>
          <w:snapToGrid w:val="0"/>
        </w:rPr>
      </w:pPr>
    </w:p>
    <w:p w14:paraId="56B3F16E">
      <w:pPr>
        <w:pStyle w:val="52"/>
        <w:rPr>
          <w:rFonts w:cs="Times New Roman"/>
        </w:rPr>
        <w:sectPr>
          <w:pgSz w:w="11906" w:h="16838"/>
          <w:pgMar w:top="1440" w:right="1418" w:bottom="1440" w:left="1418" w:header="851" w:footer="851" w:gutter="0"/>
          <w:cols w:space="720" w:num="1"/>
          <w:docGrid w:linePitch="312" w:charSpace="0"/>
        </w:sectPr>
      </w:pPr>
      <w:r>
        <w:rPr>
          <w:rFonts w:cs="Times New Roman"/>
        </w:rPr>
        <w:t xml:space="preserve"> </w:t>
      </w:r>
    </w:p>
    <w:p w14:paraId="7BAE5691">
      <w:pPr>
        <w:pStyle w:val="26"/>
        <w:snapToGrid w:val="0"/>
        <w:spacing w:before="0" w:beforeAutospacing="0" w:after="0" w:afterAutospacing="0" w:line="360" w:lineRule="auto"/>
        <w:jc w:val="center"/>
        <w:outlineLvl w:val="0"/>
        <w:rPr>
          <w:rFonts w:ascii="Times New Roman" w:hAnsi="Times New Roman"/>
          <w:b/>
          <w:bCs/>
          <w:snapToGrid w:val="0"/>
          <w:sz w:val="30"/>
          <w:szCs w:val="30"/>
        </w:rPr>
      </w:pPr>
      <w:r>
        <w:rPr>
          <w:rFonts w:ascii="Times New Roman" w:hAnsi="Times New Roman"/>
          <w:b/>
          <w:bCs/>
          <w:snapToGrid w:val="0"/>
          <w:sz w:val="30"/>
          <w:szCs w:val="30"/>
        </w:rPr>
        <w:t>六、结论</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42024F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5000" w:type="pct"/>
            <w:tcBorders>
              <w:tl2br w:val="nil"/>
              <w:tr2bl w:val="nil"/>
            </w:tcBorders>
            <w:vAlign w:val="center"/>
          </w:tcPr>
          <w:p w14:paraId="6A3BFAAD">
            <w:pPr>
              <w:adjustRightInd w:val="0"/>
              <w:snapToGrid w:val="0"/>
              <w:spacing w:line="360" w:lineRule="auto"/>
              <w:ind w:firstLine="480" w:firstLineChars="200"/>
              <w:jc w:val="left"/>
              <w:rPr>
                <w:sz w:val="24"/>
              </w:rPr>
            </w:pPr>
            <w:r>
              <w:rPr>
                <w:sz w:val="24"/>
              </w:rPr>
              <w:t>宿州市博众塑业有限公司年产</w:t>
            </w:r>
            <w:r>
              <w:rPr>
                <w:rFonts w:hint="eastAsia"/>
                <w:sz w:val="24"/>
                <w:lang w:val="en-US" w:eastAsia="zh-CN"/>
              </w:rPr>
              <w:t>3</w:t>
            </w:r>
            <w:r>
              <w:rPr>
                <w:sz w:val="24"/>
              </w:rPr>
              <w:t>万张电竞椅生产项目的建设符合生态环境功能区规划的要求；项目产生的污染物采取相应措施后，其排放污染物符合国家、省规定的污染物排放标准和主要污染物排放总量指标；项目建设造成的环境影响符合建设项目所在地环境功能区划确定的环境质量要求，建设项目符合所在地区功能区规划、土地利用总体规划和城乡规划，同时也符合国家和省产业政策等的要求。</w:t>
            </w:r>
          </w:p>
          <w:p w14:paraId="1A0C9E62">
            <w:pPr>
              <w:adjustRightInd w:val="0"/>
              <w:snapToGrid w:val="0"/>
              <w:spacing w:line="360" w:lineRule="auto"/>
              <w:ind w:firstLine="480" w:firstLineChars="200"/>
              <w:jc w:val="left"/>
              <w:rPr>
                <w:sz w:val="24"/>
              </w:rPr>
            </w:pPr>
            <w:r>
              <w:rPr>
                <w:sz w:val="24"/>
              </w:rPr>
              <w:t>因此环评认为，只要工程在运行期严格执行有关环保法规规定，切实落实报告提出的各项污染防治措施，严格执行“三同时”制度，确保污染物达标排放，</w:t>
            </w:r>
            <w:r>
              <w:rPr>
                <w:sz w:val="24"/>
                <w:szCs w:val="28"/>
              </w:rPr>
              <w:t>因而从环境保护的角度而言，该项目是可行的。</w:t>
            </w:r>
          </w:p>
          <w:p w14:paraId="7124DFC7">
            <w:pPr>
              <w:rPr>
                <w:color w:val="0000FF"/>
              </w:rPr>
            </w:pPr>
          </w:p>
          <w:p w14:paraId="2EA9CEC1">
            <w:pPr>
              <w:rPr>
                <w:color w:val="0000FF"/>
              </w:rPr>
            </w:pPr>
          </w:p>
          <w:p w14:paraId="436D8686">
            <w:pPr>
              <w:rPr>
                <w:color w:val="0000FF"/>
              </w:rPr>
            </w:pPr>
          </w:p>
          <w:p w14:paraId="5BCE964C">
            <w:pPr>
              <w:rPr>
                <w:color w:val="0000FF"/>
              </w:rPr>
            </w:pPr>
          </w:p>
          <w:p w14:paraId="1F68D6B9">
            <w:pPr>
              <w:rPr>
                <w:color w:val="0000FF"/>
              </w:rPr>
            </w:pPr>
          </w:p>
          <w:p w14:paraId="14024D61">
            <w:pPr>
              <w:rPr>
                <w:color w:val="0000FF"/>
              </w:rPr>
            </w:pPr>
          </w:p>
          <w:p w14:paraId="375F315E">
            <w:pPr>
              <w:rPr>
                <w:color w:val="0000FF"/>
              </w:rPr>
            </w:pPr>
          </w:p>
          <w:p w14:paraId="59F5C6A7">
            <w:pPr>
              <w:rPr>
                <w:color w:val="0000FF"/>
              </w:rPr>
            </w:pPr>
          </w:p>
          <w:p w14:paraId="44D2D6E6">
            <w:pPr>
              <w:rPr>
                <w:color w:val="0000FF"/>
              </w:rPr>
            </w:pPr>
          </w:p>
          <w:p w14:paraId="678B1469">
            <w:pPr>
              <w:rPr>
                <w:color w:val="0000FF"/>
              </w:rPr>
            </w:pPr>
          </w:p>
          <w:p w14:paraId="5D9AFEB2">
            <w:pPr>
              <w:rPr>
                <w:color w:val="0000FF"/>
              </w:rPr>
            </w:pPr>
          </w:p>
          <w:p w14:paraId="1E29EADA">
            <w:pPr>
              <w:rPr>
                <w:color w:val="0000FF"/>
              </w:rPr>
            </w:pPr>
          </w:p>
          <w:p w14:paraId="49236E28">
            <w:pPr>
              <w:rPr>
                <w:color w:val="0000FF"/>
              </w:rPr>
            </w:pPr>
          </w:p>
          <w:p w14:paraId="6F45E0E0">
            <w:pPr>
              <w:rPr>
                <w:color w:val="0000FF"/>
              </w:rPr>
            </w:pPr>
          </w:p>
          <w:p w14:paraId="66D0E43D">
            <w:pPr>
              <w:rPr>
                <w:color w:val="0000FF"/>
              </w:rPr>
            </w:pPr>
          </w:p>
          <w:p w14:paraId="76D0E388">
            <w:pPr>
              <w:rPr>
                <w:color w:val="0000FF"/>
              </w:rPr>
            </w:pPr>
          </w:p>
          <w:p w14:paraId="46B5BD69">
            <w:pPr>
              <w:rPr>
                <w:color w:val="0000FF"/>
              </w:rPr>
            </w:pPr>
          </w:p>
          <w:p w14:paraId="4530394A">
            <w:pPr>
              <w:rPr>
                <w:color w:val="0000FF"/>
              </w:rPr>
            </w:pPr>
          </w:p>
          <w:p w14:paraId="6612A50C">
            <w:pPr>
              <w:rPr>
                <w:color w:val="0000FF"/>
              </w:rPr>
            </w:pPr>
          </w:p>
          <w:p w14:paraId="74529D0A">
            <w:pPr>
              <w:rPr>
                <w:color w:val="0000FF"/>
              </w:rPr>
            </w:pPr>
          </w:p>
          <w:p w14:paraId="205F871D">
            <w:pPr>
              <w:rPr>
                <w:color w:val="0000FF"/>
              </w:rPr>
            </w:pPr>
          </w:p>
          <w:p w14:paraId="0BCF2E64">
            <w:pPr>
              <w:rPr>
                <w:color w:val="0000FF"/>
              </w:rPr>
            </w:pPr>
          </w:p>
          <w:p w14:paraId="2633776A">
            <w:pPr>
              <w:rPr>
                <w:color w:val="0000FF"/>
              </w:rPr>
            </w:pPr>
          </w:p>
          <w:p w14:paraId="1F78E31E">
            <w:pPr>
              <w:rPr>
                <w:color w:val="0000FF"/>
              </w:rPr>
            </w:pPr>
          </w:p>
          <w:p w14:paraId="7BADC5EB">
            <w:pPr>
              <w:rPr>
                <w:color w:val="0000FF"/>
              </w:rPr>
            </w:pPr>
          </w:p>
          <w:p w14:paraId="548EC846">
            <w:pPr>
              <w:rPr>
                <w:color w:val="0000FF"/>
              </w:rPr>
            </w:pPr>
          </w:p>
          <w:p w14:paraId="04A601AC">
            <w:pPr>
              <w:rPr>
                <w:color w:val="0000FF"/>
              </w:rPr>
            </w:pPr>
          </w:p>
          <w:p w14:paraId="6F9AC799">
            <w:pPr>
              <w:rPr>
                <w:color w:val="0000FF"/>
              </w:rPr>
            </w:pPr>
          </w:p>
          <w:p w14:paraId="1FE8278E">
            <w:pPr>
              <w:rPr>
                <w:color w:val="0000FF"/>
              </w:rPr>
            </w:pPr>
          </w:p>
          <w:p w14:paraId="28422683">
            <w:pPr>
              <w:rPr>
                <w:color w:val="0000FF"/>
              </w:rPr>
            </w:pPr>
          </w:p>
          <w:p w14:paraId="0CCC44B6">
            <w:pPr>
              <w:rPr>
                <w:color w:val="0000FF"/>
              </w:rPr>
            </w:pPr>
          </w:p>
          <w:p w14:paraId="1374BAC9">
            <w:pPr>
              <w:rPr>
                <w:color w:val="0000FF"/>
              </w:rPr>
            </w:pPr>
          </w:p>
          <w:p w14:paraId="002E5B22">
            <w:pPr>
              <w:rPr>
                <w:color w:val="0000FF"/>
              </w:rPr>
            </w:pPr>
          </w:p>
          <w:p w14:paraId="75BFE1B9">
            <w:pPr>
              <w:rPr>
                <w:color w:val="0000FF"/>
              </w:rPr>
            </w:pPr>
          </w:p>
          <w:p w14:paraId="4810AA03">
            <w:pPr>
              <w:rPr>
                <w:color w:val="0000FF"/>
              </w:rPr>
            </w:pPr>
          </w:p>
          <w:p w14:paraId="5AD026B3">
            <w:pPr>
              <w:rPr>
                <w:color w:val="0000FF"/>
              </w:rPr>
            </w:pPr>
          </w:p>
          <w:p w14:paraId="1829AFFA">
            <w:pPr>
              <w:rPr>
                <w:color w:val="0000FF"/>
              </w:rPr>
            </w:pPr>
          </w:p>
          <w:p w14:paraId="605D4CA5">
            <w:pPr>
              <w:rPr>
                <w:color w:val="0000FF"/>
              </w:rPr>
            </w:pPr>
          </w:p>
          <w:p w14:paraId="0D6ADDFA">
            <w:pPr>
              <w:rPr>
                <w:color w:val="0000FF"/>
              </w:rPr>
            </w:pPr>
          </w:p>
          <w:p w14:paraId="37B74A93">
            <w:pPr>
              <w:spacing w:line="360" w:lineRule="auto"/>
              <w:rPr>
                <w:b/>
                <w:sz w:val="24"/>
                <w:szCs w:val="32"/>
              </w:rPr>
            </w:pPr>
            <w:bookmarkStart w:id="13" w:name="_Hlk173770062"/>
            <w:r>
              <w:rPr>
                <w:b/>
                <w:sz w:val="24"/>
                <w:szCs w:val="32"/>
              </w:rPr>
              <w:t>本报告表应附以下附件、附图：</w:t>
            </w:r>
          </w:p>
          <w:p w14:paraId="0DB4C7E4">
            <w:pPr>
              <w:spacing w:line="360" w:lineRule="auto"/>
              <w:ind w:firstLine="482" w:firstLineChars="200"/>
              <w:rPr>
                <w:b/>
                <w:sz w:val="24"/>
              </w:rPr>
            </w:pPr>
            <w:r>
              <w:rPr>
                <w:b/>
                <w:sz w:val="24"/>
              </w:rPr>
              <w:t>附件</w:t>
            </w:r>
          </w:p>
          <w:p w14:paraId="6B652B2D">
            <w:pPr>
              <w:numPr>
                <w:ilvl w:val="0"/>
                <w:numId w:val="6"/>
              </w:numPr>
              <w:spacing w:line="312" w:lineRule="auto"/>
              <w:ind w:firstLine="480" w:firstLineChars="200"/>
              <w:jc w:val="left"/>
              <w:rPr>
                <w:sz w:val="24"/>
                <w:szCs w:val="32"/>
              </w:rPr>
            </w:pPr>
            <w:r>
              <w:rPr>
                <w:sz w:val="24"/>
                <w:szCs w:val="32"/>
              </w:rPr>
              <w:t>环评委托书</w:t>
            </w:r>
          </w:p>
          <w:p w14:paraId="233643C7">
            <w:pPr>
              <w:numPr>
                <w:ilvl w:val="0"/>
                <w:numId w:val="6"/>
              </w:numPr>
              <w:spacing w:line="312" w:lineRule="auto"/>
              <w:ind w:firstLine="480" w:firstLineChars="200"/>
              <w:jc w:val="left"/>
            </w:pPr>
            <w:r>
              <w:rPr>
                <w:sz w:val="24"/>
                <w:szCs w:val="32"/>
              </w:rPr>
              <w:t>备案表</w:t>
            </w:r>
          </w:p>
          <w:p w14:paraId="73D2E874">
            <w:pPr>
              <w:numPr>
                <w:ilvl w:val="0"/>
                <w:numId w:val="6"/>
              </w:numPr>
              <w:spacing w:line="312" w:lineRule="auto"/>
              <w:ind w:firstLine="480" w:firstLineChars="200"/>
              <w:jc w:val="left"/>
              <w:rPr>
                <w:sz w:val="24"/>
                <w:szCs w:val="32"/>
              </w:rPr>
            </w:pPr>
            <w:r>
              <w:rPr>
                <w:sz w:val="24"/>
                <w:szCs w:val="32"/>
              </w:rPr>
              <w:t>营业执照</w:t>
            </w:r>
          </w:p>
          <w:p w14:paraId="536AF2EB">
            <w:pPr>
              <w:numPr>
                <w:ilvl w:val="0"/>
                <w:numId w:val="6"/>
              </w:numPr>
              <w:spacing w:line="312" w:lineRule="auto"/>
              <w:ind w:firstLine="480" w:firstLineChars="200"/>
              <w:jc w:val="left"/>
              <w:rPr>
                <w:sz w:val="24"/>
                <w:szCs w:val="32"/>
              </w:rPr>
            </w:pPr>
            <w:r>
              <w:rPr>
                <w:rFonts w:hint="eastAsia"/>
                <w:sz w:val="24"/>
                <w:szCs w:val="32"/>
                <w:lang w:val="en-US" w:eastAsia="zh-CN"/>
              </w:rPr>
              <w:t>地方政府证明</w:t>
            </w:r>
          </w:p>
          <w:p w14:paraId="4BF00D03">
            <w:pPr>
              <w:numPr>
                <w:ilvl w:val="0"/>
                <w:numId w:val="6"/>
              </w:numPr>
              <w:spacing w:line="312" w:lineRule="auto"/>
              <w:ind w:firstLine="480" w:firstLineChars="200"/>
              <w:jc w:val="left"/>
              <w:rPr>
                <w:sz w:val="24"/>
                <w:szCs w:val="32"/>
              </w:rPr>
            </w:pPr>
            <w:r>
              <w:rPr>
                <w:rFonts w:hint="eastAsia"/>
                <w:sz w:val="24"/>
                <w:szCs w:val="32"/>
                <w:lang w:val="en-US" w:eastAsia="zh-CN"/>
              </w:rPr>
              <w:t>未批先建处罚证明</w:t>
            </w:r>
          </w:p>
          <w:p w14:paraId="0C621829">
            <w:pPr>
              <w:numPr>
                <w:ilvl w:val="0"/>
                <w:numId w:val="6"/>
              </w:numPr>
              <w:spacing w:line="312" w:lineRule="auto"/>
              <w:ind w:firstLine="480" w:firstLineChars="200"/>
              <w:jc w:val="left"/>
              <w:rPr>
                <w:rFonts w:hint="eastAsia" w:ascii="Times New Roman" w:hAnsi="Times New Roman" w:eastAsia="宋体" w:cs="Times New Roman"/>
                <w:sz w:val="24"/>
                <w:szCs w:val="32"/>
                <w:lang w:val="en-US" w:eastAsia="zh-CN"/>
              </w:rPr>
            </w:pPr>
            <w:r>
              <w:rPr>
                <w:rFonts w:hint="eastAsia"/>
                <w:sz w:val="24"/>
                <w:szCs w:val="32"/>
                <w:lang w:val="en-US" w:eastAsia="zh-CN"/>
              </w:rPr>
              <w:t>三线一单管控要</w:t>
            </w:r>
            <w:r>
              <w:rPr>
                <w:rFonts w:hint="eastAsia" w:ascii="Times New Roman" w:hAnsi="Times New Roman" w:eastAsia="宋体" w:cs="Times New Roman"/>
                <w:sz w:val="24"/>
                <w:szCs w:val="32"/>
                <w:lang w:val="en-US" w:eastAsia="zh-CN"/>
              </w:rPr>
              <w:t>求</w:t>
            </w:r>
          </w:p>
          <w:p w14:paraId="32306F7C">
            <w:pPr>
              <w:numPr>
                <w:ilvl w:val="0"/>
                <w:numId w:val="6"/>
              </w:numPr>
              <w:spacing w:line="312" w:lineRule="auto"/>
              <w:ind w:firstLine="480" w:firstLineChars="200"/>
              <w:jc w:val="left"/>
              <w:rPr>
                <w:rFonts w:hint="eastAsia" w:ascii="Times New Roman" w:hAnsi="Times New Roman" w:eastAsia="宋体" w:cs="Times New Roman"/>
                <w:sz w:val="24"/>
                <w:szCs w:val="32"/>
                <w:lang w:val="en-US" w:eastAsia="zh-CN"/>
              </w:rPr>
            </w:pPr>
            <w:r>
              <w:rPr>
                <w:rFonts w:hint="eastAsia" w:ascii="Times New Roman" w:hAnsi="Times New Roman" w:eastAsia="宋体" w:cs="Times New Roman"/>
                <w:sz w:val="24"/>
                <w:szCs w:val="32"/>
                <w:lang w:val="en-US" w:eastAsia="zh-CN"/>
              </w:rPr>
              <w:t>总量来源证明</w:t>
            </w:r>
          </w:p>
          <w:p w14:paraId="4155D49A">
            <w:pPr>
              <w:pStyle w:val="2"/>
              <w:rPr>
                <w:rFonts w:hint="default"/>
                <w:lang w:val="en-US" w:eastAsia="zh-CN"/>
              </w:rPr>
            </w:pPr>
            <w:r>
              <w:rPr>
                <w:rFonts w:hint="eastAsia" w:cs="Times New Roman"/>
                <w:sz w:val="24"/>
                <w:szCs w:val="32"/>
                <w:lang w:val="en-US" w:eastAsia="zh-CN"/>
              </w:rPr>
              <w:t xml:space="preserve">    附件8   主要污染物新增排放容量核定表</w:t>
            </w:r>
          </w:p>
          <w:p w14:paraId="07EFEAC5">
            <w:pPr>
              <w:pStyle w:val="2"/>
            </w:pPr>
          </w:p>
          <w:p w14:paraId="0F0BF8B6">
            <w:pPr>
              <w:tabs>
                <w:tab w:val="left" w:pos="420"/>
              </w:tabs>
              <w:spacing w:line="312" w:lineRule="auto"/>
              <w:jc w:val="left"/>
              <w:rPr>
                <w:sz w:val="24"/>
                <w:szCs w:val="32"/>
              </w:rPr>
            </w:pPr>
          </w:p>
          <w:p w14:paraId="30D7D1C1">
            <w:pPr>
              <w:spacing w:before="120" w:beforeLines="50" w:line="360" w:lineRule="auto"/>
              <w:ind w:firstLine="482" w:firstLineChars="200"/>
              <w:rPr>
                <w:b/>
                <w:sz w:val="24"/>
              </w:rPr>
            </w:pPr>
            <w:r>
              <w:rPr>
                <w:b/>
                <w:sz w:val="24"/>
              </w:rPr>
              <w:t>附图</w:t>
            </w:r>
          </w:p>
          <w:p w14:paraId="62969FFE">
            <w:pPr>
              <w:numPr>
                <w:ilvl w:val="0"/>
                <w:numId w:val="7"/>
              </w:numPr>
              <w:spacing w:line="360" w:lineRule="auto"/>
              <w:ind w:firstLine="480" w:firstLineChars="200"/>
              <w:jc w:val="left"/>
              <w:rPr>
                <w:sz w:val="24"/>
                <w:szCs w:val="32"/>
              </w:rPr>
            </w:pPr>
            <w:r>
              <w:rPr>
                <w:sz w:val="24"/>
                <w:szCs w:val="32"/>
              </w:rPr>
              <w:t>建设项目地理位置图</w:t>
            </w:r>
          </w:p>
          <w:p w14:paraId="4D3A5C0C">
            <w:pPr>
              <w:numPr>
                <w:ilvl w:val="0"/>
                <w:numId w:val="7"/>
              </w:numPr>
              <w:spacing w:line="360" w:lineRule="auto"/>
              <w:ind w:firstLine="480" w:firstLineChars="200"/>
              <w:jc w:val="left"/>
              <w:rPr>
                <w:sz w:val="24"/>
                <w:szCs w:val="32"/>
              </w:rPr>
            </w:pPr>
            <w:r>
              <w:rPr>
                <w:sz w:val="24"/>
                <w:szCs w:val="32"/>
              </w:rPr>
              <w:t>建设项目周边概况图</w:t>
            </w:r>
          </w:p>
          <w:p w14:paraId="3ADF2E76">
            <w:pPr>
              <w:numPr>
                <w:ilvl w:val="0"/>
                <w:numId w:val="7"/>
              </w:numPr>
              <w:spacing w:line="360" w:lineRule="auto"/>
              <w:ind w:firstLine="480" w:firstLineChars="200"/>
              <w:jc w:val="left"/>
              <w:rPr>
                <w:sz w:val="24"/>
                <w:szCs w:val="32"/>
              </w:rPr>
            </w:pPr>
            <w:r>
              <w:rPr>
                <w:rFonts w:hint="eastAsia"/>
                <w:sz w:val="24"/>
                <w:szCs w:val="32"/>
              </w:rPr>
              <w:t>项目周边环境保护目标分布图</w:t>
            </w:r>
          </w:p>
          <w:p w14:paraId="31BBEB7D">
            <w:pPr>
              <w:numPr>
                <w:ilvl w:val="0"/>
                <w:numId w:val="7"/>
              </w:numPr>
              <w:spacing w:line="360" w:lineRule="auto"/>
              <w:ind w:firstLine="480" w:firstLineChars="200"/>
              <w:jc w:val="left"/>
              <w:rPr>
                <w:sz w:val="24"/>
                <w:szCs w:val="32"/>
              </w:rPr>
            </w:pPr>
            <w:r>
              <w:rPr>
                <w:rFonts w:hint="eastAsia"/>
                <w:sz w:val="24"/>
                <w:szCs w:val="32"/>
              </w:rPr>
              <w:t>全厂总平面布局图</w:t>
            </w:r>
          </w:p>
          <w:p w14:paraId="6AE7BB8B">
            <w:pPr>
              <w:numPr>
                <w:ilvl w:val="0"/>
                <w:numId w:val="7"/>
              </w:numPr>
              <w:spacing w:line="360" w:lineRule="auto"/>
              <w:ind w:firstLine="480" w:firstLineChars="200"/>
              <w:jc w:val="left"/>
              <w:rPr>
                <w:sz w:val="24"/>
                <w:szCs w:val="32"/>
              </w:rPr>
            </w:pPr>
            <w:r>
              <w:rPr>
                <w:rFonts w:hint="eastAsia"/>
                <w:sz w:val="24"/>
                <w:szCs w:val="32"/>
              </w:rPr>
              <w:t>环境</w:t>
            </w:r>
            <w:r>
              <w:rPr>
                <w:sz w:val="24"/>
                <w:szCs w:val="32"/>
              </w:rPr>
              <w:t>管控</w:t>
            </w:r>
            <w:r>
              <w:rPr>
                <w:rFonts w:hint="eastAsia"/>
                <w:sz w:val="24"/>
                <w:szCs w:val="32"/>
              </w:rPr>
              <w:t>单元</w:t>
            </w:r>
            <w:r>
              <w:rPr>
                <w:sz w:val="24"/>
                <w:szCs w:val="32"/>
              </w:rPr>
              <w:t>图</w:t>
            </w:r>
          </w:p>
          <w:p w14:paraId="72978D07">
            <w:pPr>
              <w:numPr>
                <w:ilvl w:val="0"/>
                <w:numId w:val="7"/>
              </w:numPr>
              <w:spacing w:line="360" w:lineRule="auto"/>
              <w:ind w:firstLine="480" w:firstLineChars="200"/>
              <w:jc w:val="left"/>
              <w:rPr>
                <w:sz w:val="24"/>
                <w:szCs w:val="32"/>
              </w:rPr>
            </w:pPr>
            <w:r>
              <w:rPr>
                <w:rFonts w:hint="eastAsia"/>
                <w:sz w:val="24"/>
                <w:szCs w:val="32"/>
              </w:rPr>
              <w:t>项目分区防渗图</w:t>
            </w:r>
          </w:p>
          <w:p w14:paraId="1B10CB19">
            <w:pPr>
              <w:numPr>
                <w:ilvl w:val="0"/>
                <w:numId w:val="7"/>
              </w:numPr>
              <w:spacing w:line="360" w:lineRule="auto"/>
              <w:ind w:firstLine="480" w:firstLineChars="200"/>
              <w:jc w:val="left"/>
              <w:rPr>
                <w:sz w:val="24"/>
                <w:szCs w:val="32"/>
              </w:rPr>
            </w:pPr>
            <w:r>
              <w:rPr>
                <w:rFonts w:hint="eastAsia"/>
                <w:sz w:val="24"/>
                <w:szCs w:val="32"/>
                <w:lang w:val="en-US" w:eastAsia="zh-CN"/>
              </w:rPr>
              <w:t>符离镇土地规划图</w:t>
            </w:r>
          </w:p>
          <w:p w14:paraId="1A83E8BF">
            <w:pPr>
              <w:spacing w:before="120" w:beforeLines="50" w:line="360" w:lineRule="auto"/>
              <w:ind w:firstLine="482" w:firstLineChars="200"/>
              <w:rPr>
                <w:b/>
                <w:sz w:val="24"/>
              </w:rPr>
            </w:pPr>
            <w:r>
              <w:rPr>
                <w:b/>
                <w:sz w:val="24"/>
              </w:rPr>
              <w:t>附表</w:t>
            </w:r>
          </w:p>
          <w:p w14:paraId="5184A607">
            <w:pPr>
              <w:pStyle w:val="24"/>
              <w:spacing w:after="0" w:line="360" w:lineRule="auto"/>
              <w:ind w:firstLine="480" w:firstLineChars="200"/>
              <w:rPr>
                <w:sz w:val="24"/>
              </w:rPr>
            </w:pPr>
            <w:r>
              <w:rPr>
                <w:sz w:val="24"/>
                <w:szCs w:val="32"/>
              </w:rPr>
              <w:t>建设项</w:t>
            </w:r>
            <w:r>
              <w:rPr>
                <w:sz w:val="24"/>
              </w:rPr>
              <w:t>目污染物排放量汇总表</w:t>
            </w:r>
          </w:p>
          <w:bookmarkEnd w:id="13"/>
          <w:p w14:paraId="4AF452F1">
            <w:pPr>
              <w:rPr>
                <w:color w:val="0000FF"/>
              </w:rPr>
            </w:pPr>
          </w:p>
        </w:tc>
      </w:tr>
    </w:tbl>
    <w:p w14:paraId="32E3DDD9">
      <w:pPr>
        <w:rPr>
          <w:color w:val="0000FF"/>
        </w:rPr>
        <w:sectPr>
          <w:pgSz w:w="11906" w:h="16838"/>
          <w:pgMar w:top="1440" w:right="1418" w:bottom="1440" w:left="1418" w:header="851" w:footer="851" w:gutter="0"/>
          <w:cols w:space="720" w:num="1"/>
          <w:docGrid w:linePitch="312" w:charSpace="0"/>
        </w:sectPr>
      </w:pPr>
    </w:p>
    <w:p w14:paraId="1082C671">
      <w:pPr>
        <w:pStyle w:val="26"/>
        <w:adjustRightInd w:val="0"/>
        <w:snapToGrid w:val="0"/>
        <w:spacing w:before="0" w:beforeAutospacing="0" w:after="0" w:afterAutospacing="0" w:line="360" w:lineRule="auto"/>
        <w:jc w:val="center"/>
        <w:outlineLvl w:val="0"/>
        <w:rPr>
          <w:rFonts w:ascii="Times New Roman" w:hAnsi="Times New Roman"/>
          <w:b/>
          <w:bCs/>
          <w:snapToGrid w:val="0"/>
          <w:sz w:val="38"/>
          <w:szCs w:val="38"/>
        </w:rPr>
      </w:pPr>
      <w:r>
        <w:rPr>
          <w:rFonts w:ascii="Times New Roman" w:hAnsi="Times New Roman"/>
          <w:b/>
          <w:bCs/>
          <w:snapToGrid w:val="0"/>
          <w:sz w:val="38"/>
          <w:szCs w:val="38"/>
        </w:rPr>
        <w:t>建设项目污染物排放量汇总表</w:t>
      </w:r>
    </w:p>
    <w:tbl>
      <w:tblPr>
        <w:tblStyle w:val="28"/>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59"/>
        <w:gridCol w:w="1050"/>
        <w:gridCol w:w="2028"/>
        <w:gridCol w:w="1101"/>
        <w:gridCol w:w="2028"/>
        <w:gridCol w:w="2233"/>
        <w:gridCol w:w="1087"/>
        <w:gridCol w:w="2545"/>
        <w:gridCol w:w="1227"/>
      </w:tblGrid>
      <w:tr w14:paraId="0CE862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0" w:type="auto"/>
            <w:tcBorders>
              <w:tl2br w:val="single" w:color="auto" w:sz="4" w:space="0"/>
            </w:tcBorders>
            <w:tcMar>
              <w:left w:w="28" w:type="dxa"/>
              <w:right w:w="28" w:type="dxa"/>
            </w:tcMar>
            <w:vAlign w:val="center"/>
          </w:tcPr>
          <w:p w14:paraId="0403989F">
            <w:pPr>
              <w:pStyle w:val="44"/>
              <w:spacing w:beforeLines="0" w:afterLines="0" w:line="240" w:lineRule="auto"/>
              <w:jc w:val="right"/>
              <w:rPr>
                <w:rFonts w:ascii="Times New Roman"/>
                <w:snapToGrid w:val="0"/>
                <w:spacing w:val="-6"/>
                <w:kern w:val="21"/>
                <w:szCs w:val="21"/>
              </w:rPr>
            </w:pPr>
            <w:r>
              <w:rPr>
                <w:rFonts w:ascii="Times New Roman"/>
                <w:snapToGrid w:val="0"/>
                <w:spacing w:val="-6"/>
                <w:kern w:val="21"/>
                <w:szCs w:val="21"/>
              </w:rPr>
              <w:t>项目</w:t>
            </w:r>
          </w:p>
          <w:p w14:paraId="1902CEC0">
            <w:pPr>
              <w:pStyle w:val="44"/>
              <w:spacing w:beforeLines="0" w:afterLines="0" w:line="240" w:lineRule="auto"/>
              <w:jc w:val="left"/>
              <w:rPr>
                <w:rFonts w:ascii="Times New Roman"/>
                <w:snapToGrid w:val="0"/>
                <w:spacing w:val="-6"/>
                <w:kern w:val="21"/>
                <w:szCs w:val="21"/>
              </w:rPr>
            </w:pPr>
            <w:r>
              <w:rPr>
                <w:rFonts w:ascii="Times New Roman"/>
                <w:snapToGrid w:val="0"/>
                <w:spacing w:val="-6"/>
                <w:kern w:val="21"/>
                <w:szCs w:val="21"/>
              </w:rPr>
              <w:t>分类</w:t>
            </w:r>
          </w:p>
        </w:tc>
        <w:tc>
          <w:tcPr>
            <w:tcW w:w="0" w:type="auto"/>
            <w:tcMar>
              <w:left w:w="28" w:type="dxa"/>
              <w:right w:w="28" w:type="dxa"/>
            </w:tcMar>
            <w:vAlign w:val="center"/>
          </w:tcPr>
          <w:p w14:paraId="1BC25E10">
            <w:pPr>
              <w:pStyle w:val="44"/>
              <w:spacing w:beforeLines="0" w:afterLines="0" w:line="240" w:lineRule="auto"/>
              <w:rPr>
                <w:rFonts w:ascii="Times New Roman"/>
                <w:snapToGrid w:val="0"/>
                <w:spacing w:val="-6"/>
                <w:kern w:val="21"/>
                <w:szCs w:val="21"/>
              </w:rPr>
            </w:pPr>
            <w:r>
              <w:rPr>
                <w:rFonts w:ascii="Times New Roman"/>
                <w:snapToGrid w:val="0"/>
                <w:spacing w:val="-6"/>
                <w:kern w:val="21"/>
                <w:szCs w:val="21"/>
              </w:rPr>
              <w:t>污染物名称</w:t>
            </w:r>
          </w:p>
        </w:tc>
        <w:tc>
          <w:tcPr>
            <w:tcW w:w="0" w:type="auto"/>
            <w:tcMar>
              <w:left w:w="28" w:type="dxa"/>
              <w:right w:w="28" w:type="dxa"/>
            </w:tcMar>
            <w:vAlign w:val="center"/>
          </w:tcPr>
          <w:p w14:paraId="0A9F5C24">
            <w:pPr>
              <w:pStyle w:val="44"/>
              <w:spacing w:beforeLines="0" w:afterLines="0" w:line="240" w:lineRule="auto"/>
              <w:rPr>
                <w:rFonts w:ascii="Times New Roman"/>
                <w:snapToGrid w:val="0"/>
                <w:spacing w:val="-6"/>
                <w:kern w:val="21"/>
                <w:szCs w:val="21"/>
              </w:rPr>
            </w:pPr>
            <w:r>
              <w:rPr>
                <w:rFonts w:ascii="Times New Roman"/>
                <w:snapToGrid w:val="0"/>
                <w:spacing w:val="-6"/>
                <w:kern w:val="21"/>
                <w:szCs w:val="21"/>
              </w:rPr>
              <w:t>现有工程排放量（固体废物产生量）</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hint="eastAsia" w:hAnsi="宋体" w:cs="宋体"/>
                <w:kern w:val="2"/>
                <w:szCs w:val="21"/>
              </w:rPr>
              <w:t>①</w:t>
            </w:r>
            <w:r>
              <w:rPr>
                <w:rFonts w:ascii="Times New Roman"/>
                <w:snapToGrid w:val="0"/>
                <w:spacing w:val="-6"/>
                <w:kern w:val="21"/>
                <w:szCs w:val="21"/>
              </w:rPr>
              <w:fldChar w:fldCharType="end"/>
            </w:r>
          </w:p>
        </w:tc>
        <w:tc>
          <w:tcPr>
            <w:tcW w:w="0" w:type="auto"/>
            <w:tcMar>
              <w:left w:w="28" w:type="dxa"/>
              <w:right w:w="28" w:type="dxa"/>
            </w:tcMar>
            <w:vAlign w:val="center"/>
          </w:tcPr>
          <w:p w14:paraId="40B21FE2">
            <w:pPr>
              <w:pStyle w:val="44"/>
              <w:spacing w:beforeLines="0" w:afterLines="0" w:line="240" w:lineRule="auto"/>
              <w:rPr>
                <w:rFonts w:ascii="Times New Roman"/>
                <w:snapToGrid w:val="0"/>
                <w:spacing w:val="-6"/>
                <w:kern w:val="21"/>
                <w:szCs w:val="21"/>
              </w:rPr>
            </w:pPr>
            <w:r>
              <w:rPr>
                <w:rFonts w:ascii="Times New Roman"/>
                <w:snapToGrid w:val="0"/>
                <w:spacing w:val="-6"/>
                <w:kern w:val="21"/>
                <w:szCs w:val="21"/>
              </w:rPr>
              <w:t>现有工程许可排放量</w:t>
            </w:r>
          </w:p>
          <w:p w14:paraId="0C7DE61D">
            <w:pPr>
              <w:pStyle w:val="44"/>
              <w:spacing w:beforeLines="0" w:afterLines="0"/>
              <w:rPr>
                <w:rFonts w:ascii="Times New Roman"/>
                <w:snapToGrid w:val="0"/>
                <w:spacing w:val="-6"/>
                <w:kern w:val="21"/>
                <w:szCs w:val="21"/>
              </w:rPr>
            </w:pPr>
            <w:r>
              <w:rPr>
                <w:rFonts w:ascii="Times New Roman"/>
                <w:snapToGrid w:val="0"/>
                <w:spacing w:val="-6"/>
                <w:kern w:val="21"/>
                <w:szCs w:val="21"/>
              </w:rPr>
              <w:fldChar w:fldCharType="begin"/>
            </w:r>
            <w:r>
              <w:rPr>
                <w:rFonts w:ascii="Times New Roman"/>
                <w:snapToGrid w:val="0"/>
                <w:spacing w:val="-6"/>
                <w:kern w:val="21"/>
                <w:szCs w:val="21"/>
              </w:rPr>
              <w:instrText xml:space="preserve"> = 2 \* GB3 \* MERGEFORMAT </w:instrText>
            </w:r>
            <w:r>
              <w:rPr>
                <w:rFonts w:ascii="Times New Roman"/>
                <w:snapToGrid w:val="0"/>
                <w:spacing w:val="-6"/>
                <w:kern w:val="21"/>
                <w:szCs w:val="21"/>
              </w:rPr>
              <w:fldChar w:fldCharType="separate"/>
            </w:r>
            <w:r>
              <w:rPr>
                <w:rFonts w:hint="eastAsia" w:hAnsi="宋体" w:cs="宋体"/>
                <w:snapToGrid w:val="0"/>
                <w:spacing w:val="-6"/>
                <w:kern w:val="21"/>
                <w:szCs w:val="21"/>
              </w:rPr>
              <w:t>②</w:t>
            </w:r>
            <w:r>
              <w:rPr>
                <w:rFonts w:ascii="Times New Roman"/>
                <w:snapToGrid w:val="0"/>
                <w:spacing w:val="-6"/>
                <w:kern w:val="21"/>
                <w:szCs w:val="21"/>
              </w:rPr>
              <w:fldChar w:fldCharType="end"/>
            </w:r>
          </w:p>
        </w:tc>
        <w:tc>
          <w:tcPr>
            <w:tcW w:w="0" w:type="auto"/>
            <w:tcMar>
              <w:left w:w="28" w:type="dxa"/>
              <w:right w:w="28" w:type="dxa"/>
            </w:tcMar>
            <w:vAlign w:val="center"/>
          </w:tcPr>
          <w:p w14:paraId="54F1A52D">
            <w:pPr>
              <w:pStyle w:val="44"/>
              <w:spacing w:beforeLines="0" w:afterLines="0" w:line="240" w:lineRule="auto"/>
              <w:rPr>
                <w:rFonts w:ascii="Times New Roman"/>
                <w:snapToGrid w:val="0"/>
                <w:spacing w:val="-6"/>
                <w:kern w:val="21"/>
                <w:szCs w:val="21"/>
              </w:rPr>
            </w:pPr>
            <w:r>
              <w:rPr>
                <w:rFonts w:ascii="Times New Roman"/>
                <w:snapToGrid w:val="0"/>
                <w:spacing w:val="-6"/>
                <w:kern w:val="21"/>
                <w:szCs w:val="21"/>
              </w:rPr>
              <w:t>在建工程排放量（固体废物产生量）</w:t>
            </w:r>
            <w:r>
              <w:rPr>
                <w:rFonts w:ascii="Times New Roman"/>
                <w:snapToGrid w:val="0"/>
                <w:spacing w:val="-6"/>
                <w:kern w:val="21"/>
                <w:szCs w:val="21"/>
              </w:rPr>
              <w:fldChar w:fldCharType="begin"/>
            </w:r>
            <w:r>
              <w:rPr>
                <w:rFonts w:ascii="Times New Roman"/>
                <w:snapToGrid w:val="0"/>
                <w:spacing w:val="-6"/>
                <w:kern w:val="21"/>
                <w:szCs w:val="21"/>
              </w:rPr>
              <w:instrText xml:space="preserve"> = 3 \* GB3 \* MERGEFORMAT </w:instrText>
            </w:r>
            <w:r>
              <w:rPr>
                <w:rFonts w:ascii="Times New Roman"/>
                <w:snapToGrid w:val="0"/>
                <w:spacing w:val="-6"/>
                <w:kern w:val="21"/>
                <w:szCs w:val="21"/>
              </w:rPr>
              <w:fldChar w:fldCharType="separate"/>
            </w:r>
            <w:r>
              <w:rPr>
                <w:rFonts w:hint="eastAsia" w:hAnsi="宋体" w:cs="宋体"/>
                <w:kern w:val="2"/>
                <w:szCs w:val="21"/>
              </w:rPr>
              <w:t>③</w:t>
            </w:r>
            <w:r>
              <w:rPr>
                <w:rFonts w:ascii="Times New Roman"/>
                <w:snapToGrid w:val="0"/>
                <w:spacing w:val="-6"/>
                <w:kern w:val="21"/>
                <w:szCs w:val="21"/>
              </w:rPr>
              <w:fldChar w:fldCharType="end"/>
            </w:r>
          </w:p>
        </w:tc>
        <w:tc>
          <w:tcPr>
            <w:tcW w:w="0" w:type="auto"/>
            <w:tcMar>
              <w:left w:w="28" w:type="dxa"/>
              <w:right w:w="28" w:type="dxa"/>
            </w:tcMar>
            <w:vAlign w:val="center"/>
          </w:tcPr>
          <w:p w14:paraId="555A837E">
            <w:pPr>
              <w:pStyle w:val="44"/>
              <w:spacing w:beforeLines="0" w:afterLines="0" w:line="240" w:lineRule="auto"/>
              <w:rPr>
                <w:rFonts w:ascii="Times New Roman"/>
                <w:snapToGrid w:val="0"/>
                <w:spacing w:val="-6"/>
                <w:kern w:val="21"/>
                <w:szCs w:val="21"/>
              </w:rPr>
            </w:pPr>
            <w:r>
              <w:rPr>
                <w:rFonts w:ascii="Times New Roman"/>
                <w:snapToGrid w:val="0"/>
                <w:spacing w:val="-6"/>
                <w:kern w:val="21"/>
                <w:szCs w:val="21"/>
              </w:rPr>
              <w:t>本项目排放量（固体废物产生量）</w:t>
            </w:r>
            <w:r>
              <w:rPr>
                <w:rFonts w:ascii="Times New Roman"/>
                <w:snapToGrid w:val="0"/>
                <w:spacing w:val="-6"/>
                <w:kern w:val="21"/>
                <w:szCs w:val="21"/>
              </w:rPr>
              <w:fldChar w:fldCharType="begin"/>
            </w:r>
            <w:r>
              <w:rPr>
                <w:rFonts w:ascii="Times New Roman"/>
                <w:snapToGrid w:val="0"/>
                <w:spacing w:val="-6"/>
                <w:kern w:val="21"/>
                <w:szCs w:val="21"/>
              </w:rPr>
              <w:instrText xml:space="preserve"> = 4 \* GB3 \* MERGEFORMAT </w:instrText>
            </w:r>
            <w:r>
              <w:rPr>
                <w:rFonts w:ascii="Times New Roman"/>
                <w:snapToGrid w:val="0"/>
                <w:spacing w:val="-6"/>
                <w:kern w:val="21"/>
                <w:szCs w:val="21"/>
              </w:rPr>
              <w:fldChar w:fldCharType="separate"/>
            </w:r>
            <w:r>
              <w:rPr>
                <w:rFonts w:hint="eastAsia" w:hAnsi="宋体" w:cs="宋体"/>
                <w:kern w:val="2"/>
                <w:szCs w:val="21"/>
              </w:rPr>
              <w:t>④</w:t>
            </w:r>
            <w:r>
              <w:rPr>
                <w:rFonts w:ascii="Times New Roman"/>
                <w:snapToGrid w:val="0"/>
                <w:spacing w:val="-6"/>
                <w:kern w:val="21"/>
                <w:szCs w:val="21"/>
              </w:rPr>
              <w:fldChar w:fldCharType="end"/>
            </w:r>
          </w:p>
        </w:tc>
        <w:tc>
          <w:tcPr>
            <w:tcW w:w="0" w:type="auto"/>
            <w:tcMar>
              <w:left w:w="28" w:type="dxa"/>
              <w:right w:w="28" w:type="dxa"/>
            </w:tcMar>
            <w:vAlign w:val="center"/>
          </w:tcPr>
          <w:p w14:paraId="0C7351F1">
            <w:pPr>
              <w:pStyle w:val="44"/>
              <w:spacing w:beforeLines="0" w:afterLines="0" w:line="240" w:lineRule="auto"/>
              <w:rPr>
                <w:rFonts w:ascii="Times New Roman"/>
                <w:snapToGrid w:val="0"/>
                <w:spacing w:val="-16"/>
                <w:kern w:val="21"/>
                <w:szCs w:val="21"/>
              </w:rPr>
            </w:pPr>
            <w:r>
              <w:rPr>
                <w:rFonts w:ascii="Times New Roman"/>
                <w:snapToGrid w:val="0"/>
                <w:spacing w:val="-16"/>
                <w:kern w:val="21"/>
                <w:szCs w:val="21"/>
              </w:rPr>
              <w:t>以新带老削减量</w:t>
            </w:r>
          </w:p>
          <w:p w14:paraId="3F1B43DF">
            <w:pPr>
              <w:pStyle w:val="44"/>
              <w:spacing w:beforeLines="0" w:afterLines="0" w:line="240" w:lineRule="auto"/>
              <w:rPr>
                <w:rFonts w:ascii="Times New Roman"/>
                <w:snapToGrid w:val="0"/>
                <w:spacing w:val="-16"/>
                <w:kern w:val="21"/>
                <w:szCs w:val="21"/>
              </w:rPr>
            </w:pPr>
            <w:r>
              <w:rPr>
                <w:rFonts w:ascii="Times New Roman"/>
                <w:snapToGrid w:val="0"/>
                <w:spacing w:val="-16"/>
                <w:kern w:val="21"/>
                <w:szCs w:val="21"/>
              </w:rPr>
              <w:t>（新建项目不填）</w:t>
            </w:r>
            <w:r>
              <w:rPr>
                <w:rFonts w:ascii="Times New Roman"/>
                <w:snapToGrid w:val="0"/>
                <w:spacing w:val="-16"/>
                <w:kern w:val="21"/>
                <w:szCs w:val="21"/>
              </w:rPr>
              <w:fldChar w:fldCharType="begin"/>
            </w:r>
            <w:r>
              <w:rPr>
                <w:rFonts w:ascii="Times New Roman"/>
                <w:snapToGrid w:val="0"/>
                <w:spacing w:val="-16"/>
                <w:kern w:val="21"/>
                <w:szCs w:val="21"/>
              </w:rPr>
              <w:instrText xml:space="preserve"> = 5 \* GB3 \* MERGEFORMAT </w:instrText>
            </w:r>
            <w:r>
              <w:rPr>
                <w:rFonts w:ascii="Times New Roman"/>
                <w:snapToGrid w:val="0"/>
                <w:spacing w:val="-16"/>
                <w:kern w:val="21"/>
                <w:szCs w:val="21"/>
              </w:rPr>
              <w:fldChar w:fldCharType="separate"/>
            </w:r>
            <w:r>
              <w:rPr>
                <w:rFonts w:hint="eastAsia" w:hAnsi="宋体" w:cs="宋体"/>
                <w:kern w:val="2"/>
                <w:szCs w:val="21"/>
              </w:rPr>
              <w:t>⑤</w:t>
            </w:r>
            <w:r>
              <w:rPr>
                <w:rFonts w:ascii="Times New Roman"/>
                <w:snapToGrid w:val="0"/>
                <w:spacing w:val="-16"/>
                <w:kern w:val="21"/>
                <w:szCs w:val="21"/>
              </w:rPr>
              <w:fldChar w:fldCharType="end"/>
            </w:r>
          </w:p>
        </w:tc>
        <w:tc>
          <w:tcPr>
            <w:tcW w:w="0" w:type="auto"/>
            <w:tcMar>
              <w:left w:w="28" w:type="dxa"/>
              <w:right w:w="28" w:type="dxa"/>
            </w:tcMar>
            <w:vAlign w:val="center"/>
          </w:tcPr>
          <w:p w14:paraId="14079A21">
            <w:pPr>
              <w:pStyle w:val="44"/>
              <w:spacing w:beforeLines="0" w:afterLines="0" w:line="240" w:lineRule="auto"/>
              <w:rPr>
                <w:rFonts w:ascii="Times New Roman"/>
                <w:snapToGrid w:val="0"/>
                <w:spacing w:val="-16"/>
                <w:kern w:val="21"/>
                <w:szCs w:val="21"/>
              </w:rPr>
            </w:pPr>
            <w:r>
              <w:rPr>
                <w:rFonts w:ascii="Times New Roman"/>
                <w:snapToGrid w:val="0"/>
                <w:spacing w:val="-16"/>
                <w:kern w:val="21"/>
                <w:szCs w:val="21"/>
              </w:rPr>
              <w:t>本项目建成后全厂排放量（固体废物产生量）</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hint="eastAsia" w:hAnsi="宋体" w:cs="宋体"/>
                <w:kern w:val="2"/>
                <w:szCs w:val="21"/>
              </w:rPr>
              <w:t>⑥</w:t>
            </w:r>
            <w:r>
              <w:rPr>
                <w:rFonts w:ascii="Times New Roman"/>
                <w:snapToGrid w:val="0"/>
                <w:spacing w:val="-16"/>
                <w:kern w:val="21"/>
                <w:szCs w:val="21"/>
              </w:rPr>
              <w:fldChar w:fldCharType="end"/>
            </w:r>
          </w:p>
        </w:tc>
        <w:tc>
          <w:tcPr>
            <w:tcW w:w="0" w:type="auto"/>
            <w:tcMar>
              <w:left w:w="28" w:type="dxa"/>
              <w:right w:w="28" w:type="dxa"/>
            </w:tcMar>
            <w:vAlign w:val="center"/>
          </w:tcPr>
          <w:p w14:paraId="02B0AED9">
            <w:pPr>
              <w:pStyle w:val="44"/>
              <w:spacing w:beforeLines="0" w:afterLines="0" w:line="240" w:lineRule="auto"/>
              <w:rPr>
                <w:rFonts w:ascii="Times New Roman"/>
                <w:snapToGrid w:val="0"/>
                <w:spacing w:val="-6"/>
                <w:kern w:val="21"/>
                <w:szCs w:val="21"/>
              </w:rPr>
            </w:pPr>
            <w:r>
              <w:rPr>
                <w:rFonts w:ascii="Times New Roman"/>
                <w:snapToGrid w:val="0"/>
                <w:spacing w:val="-6"/>
                <w:kern w:val="21"/>
                <w:szCs w:val="21"/>
              </w:rPr>
              <w:t>变化量</w:t>
            </w:r>
          </w:p>
          <w:p w14:paraId="4F30598D">
            <w:pPr>
              <w:pStyle w:val="44"/>
              <w:spacing w:beforeLines="0" w:afterLines="0" w:line="240" w:lineRule="auto"/>
              <w:rPr>
                <w:rFonts w:ascii="Times New Roman"/>
                <w:snapToGrid w:val="0"/>
                <w:spacing w:val="-6"/>
                <w:kern w:val="21"/>
                <w:szCs w:val="21"/>
              </w:rPr>
            </w:pPr>
            <w:r>
              <w:rPr>
                <w:rFonts w:ascii="Times New Roman"/>
                <w:snapToGrid w:val="0"/>
                <w:spacing w:val="-6"/>
                <w:kern w:val="21"/>
                <w:szCs w:val="21"/>
              </w:rPr>
              <w:fldChar w:fldCharType="begin"/>
            </w:r>
            <w:r>
              <w:rPr>
                <w:rFonts w:ascii="Times New Roman"/>
                <w:snapToGrid w:val="0"/>
                <w:spacing w:val="-6"/>
                <w:kern w:val="21"/>
                <w:szCs w:val="21"/>
              </w:rPr>
              <w:instrText xml:space="preserve"> = 7 \* GB3 \* MERGEFORMAT </w:instrText>
            </w:r>
            <w:r>
              <w:rPr>
                <w:rFonts w:ascii="Times New Roman"/>
                <w:snapToGrid w:val="0"/>
                <w:spacing w:val="-6"/>
                <w:kern w:val="21"/>
                <w:szCs w:val="21"/>
              </w:rPr>
              <w:fldChar w:fldCharType="separate"/>
            </w:r>
            <w:r>
              <w:rPr>
                <w:rFonts w:hint="eastAsia" w:hAnsi="宋体" w:cs="宋体"/>
                <w:kern w:val="2"/>
                <w:szCs w:val="21"/>
              </w:rPr>
              <w:t>⑦</w:t>
            </w:r>
            <w:r>
              <w:rPr>
                <w:rFonts w:ascii="Times New Roman"/>
                <w:snapToGrid w:val="0"/>
                <w:spacing w:val="-6"/>
                <w:kern w:val="21"/>
                <w:szCs w:val="21"/>
              </w:rPr>
              <w:fldChar w:fldCharType="end"/>
            </w:r>
          </w:p>
        </w:tc>
      </w:tr>
      <w:tr w14:paraId="348BAA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0" w:type="auto"/>
            <w:vMerge w:val="restart"/>
            <w:vAlign w:val="center"/>
          </w:tcPr>
          <w:p w14:paraId="4A0BFF31">
            <w:pPr>
              <w:pStyle w:val="44"/>
              <w:spacing w:beforeLines="0" w:afterLines="0" w:line="240" w:lineRule="auto"/>
              <w:rPr>
                <w:rFonts w:ascii="Times New Roman"/>
                <w:snapToGrid w:val="0"/>
                <w:kern w:val="21"/>
                <w:szCs w:val="21"/>
              </w:rPr>
            </w:pPr>
            <w:r>
              <w:rPr>
                <w:rFonts w:ascii="Times New Roman"/>
                <w:snapToGrid w:val="0"/>
                <w:kern w:val="21"/>
                <w:szCs w:val="21"/>
              </w:rPr>
              <w:t>废气</w:t>
            </w:r>
          </w:p>
        </w:tc>
        <w:tc>
          <w:tcPr>
            <w:tcW w:w="0" w:type="auto"/>
            <w:vAlign w:val="center"/>
          </w:tcPr>
          <w:p w14:paraId="4949CB46">
            <w:pPr>
              <w:pStyle w:val="44"/>
              <w:spacing w:beforeLines="0" w:afterLines="0" w:line="240" w:lineRule="auto"/>
              <w:rPr>
                <w:rFonts w:ascii="Times New Roman"/>
                <w:snapToGrid w:val="0"/>
                <w:kern w:val="21"/>
                <w:szCs w:val="21"/>
              </w:rPr>
            </w:pPr>
            <w:r>
              <w:rPr>
                <w:rFonts w:ascii="Times New Roman"/>
                <w:kern w:val="2"/>
                <w:szCs w:val="21"/>
              </w:rPr>
              <w:t>非甲烷总烃</w:t>
            </w:r>
          </w:p>
        </w:tc>
        <w:tc>
          <w:tcPr>
            <w:tcW w:w="0" w:type="auto"/>
            <w:vAlign w:val="center"/>
          </w:tcPr>
          <w:p w14:paraId="2F08196B">
            <w:pPr>
              <w:pStyle w:val="44"/>
              <w:spacing w:beforeLines="0" w:afterLines="0" w:line="240" w:lineRule="auto"/>
              <w:rPr>
                <w:rFonts w:ascii="Times New Roman"/>
                <w:snapToGrid w:val="0"/>
                <w:kern w:val="21"/>
                <w:szCs w:val="21"/>
              </w:rPr>
            </w:pPr>
            <w:r>
              <w:rPr>
                <w:rFonts w:ascii="Times New Roman"/>
                <w:snapToGrid w:val="0"/>
                <w:kern w:val="21"/>
                <w:szCs w:val="21"/>
              </w:rPr>
              <w:t>0</w:t>
            </w:r>
          </w:p>
        </w:tc>
        <w:tc>
          <w:tcPr>
            <w:tcW w:w="0" w:type="auto"/>
            <w:vAlign w:val="center"/>
          </w:tcPr>
          <w:p w14:paraId="64C3E14E">
            <w:pPr>
              <w:pStyle w:val="44"/>
              <w:spacing w:beforeLines="0" w:afterLines="0" w:line="240" w:lineRule="auto"/>
              <w:rPr>
                <w:rFonts w:ascii="Times New Roman"/>
                <w:snapToGrid w:val="0"/>
                <w:kern w:val="21"/>
                <w:szCs w:val="21"/>
              </w:rPr>
            </w:pPr>
            <w:r>
              <w:rPr>
                <w:rFonts w:ascii="Times New Roman"/>
                <w:snapToGrid w:val="0"/>
                <w:kern w:val="21"/>
                <w:szCs w:val="21"/>
              </w:rPr>
              <w:t>/</w:t>
            </w:r>
          </w:p>
        </w:tc>
        <w:tc>
          <w:tcPr>
            <w:tcW w:w="0" w:type="auto"/>
            <w:vAlign w:val="center"/>
          </w:tcPr>
          <w:p w14:paraId="49A75975">
            <w:pPr>
              <w:pStyle w:val="44"/>
              <w:spacing w:beforeLines="0" w:afterLines="0" w:line="240" w:lineRule="auto"/>
              <w:rPr>
                <w:rFonts w:ascii="Times New Roman"/>
                <w:snapToGrid w:val="0"/>
                <w:kern w:val="21"/>
                <w:szCs w:val="21"/>
              </w:rPr>
            </w:pPr>
            <w:r>
              <w:rPr>
                <w:rFonts w:ascii="Times New Roman"/>
                <w:snapToGrid w:val="0"/>
                <w:kern w:val="21"/>
                <w:szCs w:val="21"/>
              </w:rPr>
              <w:t>0</w:t>
            </w:r>
          </w:p>
        </w:tc>
        <w:tc>
          <w:tcPr>
            <w:tcW w:w="0" w:type="auto"/>
            <w:vAlign w:val="center"/>
          </w:tcPr>
          <w:p w14:paraId="341FBB77">
            <w:pPr>
              <w:pStyle w:val="44"/>
              <w:spacing w:beforeLines="0" w:afterLines="0" w:line="240" w:lineRule="auto"/>
              <w:rPr>
                <w:rFonts w:ascii="Times New Roman"/>
                <w:kern w:val="2"/>
                <w:szCs w:val="21"/>
              </w:rPr>
            </w:pPr>
            <w:r>
              <w:rPr>
                <w:rFonts w:ascii="Times New Roman"/>
                <w:kern w:val="2"/>
                <w:szCs w:val="21"/>
              </w:rPr>
              <w:t>0.</w:t>
            </w:r>
            <w:r>
              <w:rPr>
                <w:rFonts w:hint="eastAsia" w:ascii="Times New Roman"/>
                <w:kern w:val="2"/>
                <w:szCs w:val="21"/>
                <w:lang w:val="en-US" w:eastAsia="zh-CN"/>
              </w:rPr>
              <w:t>044</w:t>
            </w:r>
            <w:r>
              <w:rPr>
                <w:rFonts w:ascii="Times New Roman"/>
                <w:kern w:val="2"/>
                <w:szCs w:val="21"/>
              </w:rPr>
              <w:t>t/a</w:t>
            </w:r>
          </w:p>
        </w:tc>
        <w:tc>
          <w:tcPr>
            <w:tcW w:w="0" w:type="auto"/>
            <w:vAlign w:val="center"/>
          </w:tcPr>
          <w:p w14:paraId="40679587">
            <w:pPr>
              <w:jc w:val="center"/>
              <w:rPr>
                <w:szCs w:val="21"/>
              </w:rPr>
            </w:pPr>
            <w:r>
              <w:rPr>
                <w:szCs w:val="21"/>
              </w:rPr>
              <w:t>0</w:t>
            </w:r>
          </w:p>
        </w:tc>
        <w:tc>
          <w:tcPr>
            <w:tcW w:w="0" w:type="auto"/>
            <w:vAlign w:val="center"/>
          </w:tcPr>
          <w:p w14:paraId="60E038F4">
            <w:pPr>
              <w:pStyle w:val="44"/>
              <w:spacing w:beforeLines="0" w:afterLines="0" w:line="240" w:lineRule="auto"/>
              <w:rPr>
                <w:rFonts w:ascii="Times New Roman"/>
                <w:kern w:val="2"/>
                <w:szCs w:val="21"/>
              </w:rPr>
            </w:pPr>
            <w:r>
              <w:rPr>
                <w:rFonts w:ascii="Times New Roman"/>
                <w:kern w:val="2"/>
                <w:szCs w:val="21"/>
              </w:rPr>
              <w:t>0.</w:t>
            </w:r>
            <w:r>
              <w:rPr>
                <w:rFonts w:hint="eastAsia" w:ascii="Times New Roman"/>
                <w:kern w:val="2"/>
                <w:szCs w:val="21"/>
                <w:lang w:val="en-US" w:eastAsia="zh-CN"/>
              </w:rPr>
              <w:t>044</w:t>
            </w:r>
            <w:r>
              <w:rPr>
                <w:rFonts w:ascii="Times New Roman"/>
                <w:kern w:val="2"/>
                <w:szCs w:val="21"/>
              </w:rPr>
              <w:t>t/a</w:t>
            </w:r>
          </w:p>
        </w:tc>
        <w:tc>
          <w:tcPr>
            <w:tcW w:w="0" w:type="auto"/>
            <w:vAlign w:val="center"/>
          </w:tcPr>
          <w:p w14:paraId="14F5CB79">
            <w:pPr>
              <w:pStyle w:val="44"/>
              <w:spacing w:beforeLines="0" w:afterLines="0" w:line="240" w:lineRule="auto"/>
              <w:rPr>
                <w:rFonts w:ascii="Times New Roman"/>
                <w:kern w:val="2"/>
                <w:szCs w:val="21"/>
              </w:rPr>
            </w:pPr>
            <w:r>
              <w:rPr>
                <w:rFonts w:ascii="Times New Roman"/>
                <w:kern w:val="2"/>
                <w:szCs w:val="21"/>
              </w:rPr>
              <w:t>+0.</w:t>
            </w:r>
            <w:r>
              <w:rPr>
                <w:rFonts w:hint="eastAsia" w:ascii="Times New Roman"/>
                <w:kern w:val="2"/>
                <w:szCs w:val="21"/>
                <w:lang w:val="en-US" w:eastAsia="zh-CN"/>
              </w:rPr>
              <w:t>044</w:t>
            </w:r>
            <w:r>
              <w:rPr>
                <w:rFonts w:ascii="Times New Roman"/>
                <w:kern w:val="2"/>
                <w:szCs w:val="21"/>
              </w:rPr>
              <w:t>t/a</w:t>
            </w:r>
          </w:p>
        </w:tc>
      </w:tr>
      <w:tr w14:paraId="37EA1C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0" w:type="auto"/>
            <w:vMerge w:val="continue"/>
            <w:vAlign w:val="center"/>
          </w:tcPr>
          <w:p w14:paraId="1C51FA3E">
            <w:pPr>
              <w:pStyle w:val="44"/>
              <w:spacing w:beforeLines="0" w:afterLines="0" w:line="240" w:lineRule="auto"/>
              <w:rPr>
                <w:rFonts w:ascii="Times New Roman"/>
                <w:snapToGrid w:val="0"/>
                <w:kern w:val="21"/>
                <w:szCs w:val="21"/>
              </w:rPr>
            </w:pPr>
          </w:p>
        </w:tc>
        <w:tc>
          <w:tcPr>
            <w:tcW w:w="0" w:type="auto"/>
            <w:vAlign w:val="center"/>
          </w:tcPr>
          <w:p w14:paraId="2AAC2097">
            <w:pPr>
              <w:pStyle w:val="44"/>
              <w:spacing w:beforeLines="0" w:afterLines="0" w:line="240" w:lineRule="auto"/>
              <w:rPr>
                <w:rFonts w:hint="eastAsia" w:ascii="Times New Roman" w:eastAsia="宋体"/>
                <w:kern w:val="2"/>
                <w:szCs w:val="21"/>
                <w:lang w:val="en-US" w:eastAsia="zh-CN"/>
              </w:rPr>
            </w:pPr>
            <w:r>
              <w:rPr>
                <w:rFonts w:hint="eastAsia" w:ascii="Times New Roman"/>
                <w:kern w:val="2"/>
                <w:szCs w:val="21"/>
                <w:lang w:val="en-US" w:eastAsia="zh-CN"/>
              </w:rPr>
              <w:t>颗粒物</w:t>
            </w:r>
          </w:p>
        </w:tc>
        <w:tc>
          <w:tcPr>
            <w:tcW w:w="0" w:type="auto"/>
            <w:vAlign w:val="center"/>
          </w:tcPr>
          <w:p w14:paraId="7BCBBC7B">
            <w:pPr>
              <w:pStyle w:val="44"/>
              <w:spacing w:beforeLines="0" w:afterLines="0" w:line="240" w:lineRule="auto"/>
              <w:rPr>
                <w:rFonts w:hint="eastAsia" w:ascii="Times New Roman" w:eastAsia="宋体"/>
                <w:snapToGrid w:val="0"/>
                <w:kern w:val="21"/>
                <w:szCs w:val="21"/>
                <w:lang w:val="en-US" w:eastAsia="zh-CN"/>
              </w:rPr>
            </w:pPr>
            <w:r>
              <w:rPr>
                <w:rFonts w:hint="eastAsia" w:ascii="Times New Roman"/>
                <w:snapToGrid w:val="0"/>
                <w:kern w:val="21"/>
                <w:szCs w:val="21"/>
                <w:lang w:val="en-US" w:eastAsia="zh-CN"/>
              </w:rPr>
              <w:t>0</w:t>
            </w:r>
          </w:p>
        </w:tc>
        <w:tc>
          <w:tcPr>
            <w:tcW w:w="0" w:type="auto"/>
            <w:vAlign w:val="center"/>
          </w:tcPr>
          <w:p w14:paraId="3E95D917">
            <w:pPr>
              <w:pStyle w:val="44"/>
              <w:spacing w:beforeLines="0" w:afterLines="0" w:line="240" w:lineRule="auto"/>
              <w:rPr>
                <w:rFonts w:hint="eastAsia" w:ascii="Times New Roman" w:eastAsia="宋体"/>
                <w:snapToGrid w:val="0"/>
                <w:kern w:val="21"/>
                <w:szCs w:val="21"/>
                <w:lang w:val="en-US" w:eastAsia="zh-CN"/>
              </w:rPr>
            </w:pPr>
            <w:r>
              <w:rPr>
                <w:rFonts w:hint="eastAsia" w:ascii="Times New Roman"/>
                <w:snapToGrid w:val="0"/>
                <w:kern w:val="21"/>
                <w:szCs w:val="21"/>
                <w:lang w:val="en-US" w:eastAsia="zh-CN"/>
              </w:rPr>
              <w:t>/</w:t>
            </w:r>
          </w:p>
        </w:tc>
        <w:tc>
          <w:tcPr>
            <w:tcW w:w="0" w:type="auto"/>
            <w:vAlign w:val="center"/>
          </w:tcPr>
          <w:p w14:paraId="73CE7FEE">
            <w:pPr>
              <w:pStyle w:val="44"/>
              <w:spacing w:beforeLines="0" w:afterLines="0" w:line="240" w:lineRule="auto"/>
              <w:rPr>
                <w:rFonts w:hint="eastAsia" w:ascii="Times New Roman" w:eastAsia="宋体"/>
                <w:snapToGrid w:val="0"/>
                <w:kern w:val="21"/>
                <w:szCs w:val="21"/>
                <w:lang w:val="en-US" w:eastAsia="zh-CN"/>
              </w:rPr>
            </w:pPr>
            <w:r>
              <w:rPr>
                <w:rFonts w:hint="eastAsia" w:ascii="Times New Roman"/>
                <w:snapToGrid w:val="0"/>
                <w:kern w:val="21"/>
                <w:szCs w:val="21"/>
                <w:lang w:val="en-US" w:eastAsia="zh-CN"/>
              </w:rPr>
              <w:t>0</w:t>
            </w:r>
          </w:p>
        </w:tc>
        <w:tc>
          <w:tcPr>
            <w:tcW w:w="0" w:type="auto"/>
            <w:vAlign w:val="center"/>
          </w:tcPr>
          <w:p w14:paraId="5F683865">
            <w:pPr>
              <w:pStyle w:val="44"/>
              <w:spacing w:beforeLines="0" w:afterLines="0" w:line="240" w:lineRule="auto"/>
              <w:rPr>
                <w:rFonts w:hint="default" w:ascii="Times New Roman" w:eastAsia="宋体"/>
                <w:kern w:val="2"/>
                <w:szCs w:val="21"/>
                <w:lang w:val="en-US" w:eastAsia="zh-CN"/>
              </w:rPr>
            </w:pPr>
            <w:r>
              <w:rPr>
                <w:rFonts w:hint="eastAsia" w:ascii="Times New Roman"/>
                <w:kern w:val="2"/>
                <w:szCs w:val="21"/>
                <w:lang w:val="en-US" w:eastAsia="zh-CN"/>
              </w:rPr>
              <w:t>0.00027</w:t>
            </w:r>
            <w:r>
              <w:rPr>
                <w:rFonts w:ascii="Times New Roman"/>
                <w:kern w:val="2"/>
                <w:szCs w:val="21"/>
              </w:rPr>
              <w:t>t/a</w:t>
            </w:r>
          </w:p>
        </w:tc>
        <w:tc>
          <w:tcPr>
            <w:tcW w:w="0" w:type="auto"/>
            <w:vAlign w:val="center"/>
          </w:tcPr>
          <w:p w14:paraId="403BED1B">
            <w:pPr>
              <w:jc w:val="center"/>
              <w:rPr>
                <w:rFonts w:hint="eastAsia" w:eastAsia="宋体"/>
                <w:szCs w:val="21"/>
                <w:lang w:val="en-US" w:eastAsia="zh-CN"/>
              </w:rPr>
            </w:pPr>
            <w:r>
              <w:rPr>
                <w:rFonts w:hint="eastAsia"/>
                <w:szCs w:val="21"/>
                <w:lang w:val="en-US" w:eastAsia="zh-CN"/>
              </w:rPr>
              <w:t>0</w:t>
            </w:r>
          </w:p>
        </w:tc>
        <w:tc>
          <w:tcPr>
            <w:tcW w:w="0" w:type="auto"/>
            <w:vAlign w:val="center"/>
          </w:tcPr>
          <w:p w14:paraId="68870485">
            <w:pPr>
              <w:pStyle w:val="44"/>
              <w:spacing w:beforeLines="0" w:afterLines="0" w:line="240" w:lineRule="auto"/>
              <w:rPr>
                <w:rFonts w:hint="default" w:ascii="Times New Roman" w:eastAsia="宋体"/>
                <w:kern w:val="2"/>
                <w:szCs w:val="21"/>
                <w:lang w:val="en-US" w:eastAsia="zh-CN"/>
              </w:rPr>
            </w:pPr>
            <w:r>
              <w:rPr>
                <w:rFonts w:hint="eastAsia" w:ascii="Times New Roman"/>
                <w:kern w:val="2"/>
                <w:szCs w:val="21"/>
                <w:lang w:val="en-US" w:eastAsia="zh-CN"/>
              </w:rPr>
              <w:t>0.00027</w:t>
            </w:r>
            <w:r>
              <w:rPr>
                <w:rFonts w:ascii="Times New Roman"/>
                <w:kern w:val="2"/>
                <w:szCs w:val="21"/>
              </w:rPr>
              <w:t>t/a</w:t>
            </w:r>
          </w:p>
        </w:tc>
        <w:tc>
          <w:tcPr>
            <w:tcW w:w="0" w:type="auto"/>
            <w:vAlign w:val="center"/>
          </w:tcPr>
          <w:p w14:paraId="1570EC13">
            <w:pPr>
              <w:pStyle w:val="44"/>
              <w:spacing w:beforeLines="0" w:afterLines="0" w:line="240" w:lineRule="auto"/>
              <w:rPr>
                <w:rFonts w:hint="default" w:ascii="Times New Roman" w:eastAsia="宋体"/>
                <w:kern w:val="2"/>
                <w:szCs w:val="21"/>
                <w:lang w:val="en-US" w:eastAsia="zh-CN"/>
              </w:rPr>
            </w:pPr>
            <w:r>
              <w:rPr>
                <w:rFonts w:hint="eastAsia" w:ascii="Times New Roman"/>
                <w:kern w:val="2"/>
                <w:szCs w:val="21"/>
                <w:lang w:val="en-US" w:eastAsia="zh-CN"/>
              </w:rPr>
              <w:t>+0.00027</w:t>
            </w:r>
            <w:r>
              <w:rPr>
                <w:rFonts w:ascii="Times New Roman"/>
                <w:kern w:val="2"/>
                <w:szCs w:val="21"/>
              </w:rPr>
              <w:t>t/a</w:t>
            </w:r>
          </w:p>
        </w:tc>
      </w:tr>
      <w:tr w14:paraId="2BA97E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6D25B153">
            <w:pPr>
              <w:pStyle w:val="44"/>
              <w:spacing w:beforeLines="0" w:afterLines="0" w:line="240" w:lineRule="auto"/>
              <w:rPr>
                <w:rFonts w:ascii="Times New Roman"/>
                <w:snapToGrid w:val="0"/>
                <w:kern w:val="21"/>
                <w:szCs w:val="21"/>
              </w:rPr>
            </w:pPr>
            <w:r>
              <w:rPr>
                <w:rFonts w:ascii="Times New Roman"/>
                <w:snapToGrid w:val="0"/>
                <w:kern w:val="21"/>
                <w:szCs w:val="21"/>
              </w:rPr>
              <w:t>废水</w:t>
            </w:r>
          </w:p>
        </w:tc>
        <w:tc>
          <w:tcPr>
            <w:tcW w:w="0" w:type="auto"/>
            <w:vAlign w:val="center"/>
          </w:tcPr>
          <w:p w14:paraId="5A10B855">
            <w:pPr>
              <w:adjustRightInd w:val="0"/>
              <w:snapToGrid w:val="0"/>
              <w:jc w:val="center"/>
              <w:rPr>
                <w:szCs w:val="21"/>
              </w:rPr>
            </w:pPr>
            <w:r>
              <w:rPr>
                <w:szCs w:val="21"/>
              </w:rPr>
              <w:t>COD</w:t>
            </w:r>
          </w:p>
        </w:tc>
        <w:tc>
          <w:tcPr>
            <w:tcW w:w="0" w:type="auto"/>
            <w:vAlign w:val="center"/>
          </w:tcPr>
          <w:p w14:paraId="4E7C8665">
            <w:pPr>
              <w:adjustRightInd w:val="0"/>
              <w:snapToGrid w:val="0"/>
              <w:jc w:val="center"/>
              <w:rPr>
                <w:snapToGrid w:val="0"/>
                <w:kern w:val="21"/>
                <w:szCs w:val="21"/>
              </w:rPr>
            </w:pPr>
            <w:r>
              <w:rPr>
                <w:snapToGrid w:val="0"/>
                <w:kern w:val="21"/>
                <w:szCs w:val="21"/>
              </w:rPr>
              <w:t>0</w:t>
            </w:r>
          </w:p>
        </w:tc>
        <w:tc>
          <w:tcPr>
            <w:tcW w:w="0" w:type="auto"/>
            <w:vAlign w:val="center"/>
          </w:tcPr>
          <w:p w14:paraId="1A3CB1A7">
            <w:pPr>
              <w:jc w:val="center"/>
              <w:rPr>
                <w:snapToGrid w:val="0"/>
                <w:kern w:val="21"/>
                <w:szCs w:val="21"/>
              </w:rPr>
            </w:pPr>
            <w:r>
              <w:rPr>
                <w:snapToGrid w:val="0"/>
                <w:kern w:val="21"/>
                <w:szCs w:val="21"/>
              </w:rPr>
              <w:t>/</w:t>
            </w:r>
          </w:p>
        </w:tc>
        <w:tc>
          <w:tcPr>
            <w:tcW w:w="0" w:type="auto"/>
            <w:vAlign w:val="center"/>
          </w:tcPr>
          <w:p w14:paraId="257808CB">
            <w:pPr>
              <w:adjustRightInd w:val="0"/>
              <w:snapToGrid w:val="0"/>
              <w:jc w:val="center"/>
              <w:rPr>
                <w:snapToGrid w:val="0"/>
                <w:kern w:val="21"/>
                <w:szCs w:val="21"/>
              </w:rPr>
            </w:pPr>
            <w:r>
              <w:rPr>
                <w:snapToGrid w:val="0"/>
                <w:kern w:val="21"/>
                <w:szCs w:val="21"/>
              </w:rPr>
              <w:t>0</w:t>
            </w:r>
          </w:p>
        </w:tc>
        <w:tc>
          <w:tcPr>
            <w:tcW w:w="0" w:type="auto"/>
            <w:vAlign w:val="center"/>
          </w:tcPr>
          <w:p w14:paraId="08F62546">
            <w:pPr>
              <w:adjustRightInd w:val="0"/>
              <w:snapToGrid w:val="0"/>
              <w:jc w:val="center"/>
              <w:rPr>
                <w:szCs w:val="21"/>
              </w:rPr>
            </w:pPr>
            <w:r>
              <w:rPr>
                <w:snapToGrid w:val="0"/>
                <w:kern w:val="21"/>
                <w:szCs w:val="21"/>
              </w:rPr>
              <w:t>0</w:t>
            </w:r>
          </w:p>
        </w:tc>
        <w:tc>
          <w:tcPr>
            <w:tcW w:w="0" w:type="auto"/>
            <w:vAlign w:val="center"/>
          </w:tcPr>
          <w:p w14:paraId="66009384">
            <w:pPr>
              <w:jc w:val="center"/>
              <w:rPr>
                <w:szCs w:val="21"/>
              </w:rPr>
            </w:pPr>
            <w:r>
              <w:rPr>
                <w:szCs w:val="21"/>
              </w:rPr>
              <w:t>/</w:t>
            </w:r>
          </w:p>
        </w:tc>
        <w:tc>
          <w:tcPr>
            <w:tcW w:w="0" w:type="auto"/>
            <w:vAlign w:val="center"/>
          </w:tcPr>
          <w:p w14:paraId="3F282BC9">
            <w:pPr>
              <w:adjustRightInd w:val="0"/>
              <w:snapToGrid w:val="0"/>
              <w:jc w:val="center"/>
              <w:rPr>
                <w:szCs w:val="21"/>
              </w:rPr>
            </w:pPr>
            <w:r>
              <w:rPr>
                <w:snapToGrid w:val="0"/>
                <w:kern w:val="21"/>
                <w:szCs w:val="21"/>
              </w:rPr>
              <w:t>0</w:t>
            </w:r>
          </w:p>
        </w:tc>
        <w:tc>
          <w:tcPr>
            <w:tcW w:w="0" w:type="auto"/>
            <w:vAlign w:val="center"/>
          </w:tcPr>
          <w:p w14:paraId="03248907">
            <w:pPr>
              <w:adjustRightInd w:val="0"/>
              <w:snapToGrid w:val="0"/>
              <w:jc w:val="center"/>
              <w:rPr>
                <w:szCs w:val="21"/>
              </w:rPr>
            </w:pPr>
            <w:r>
              <w:rPr>
                <w:snapToGrid w:val="0"/>
                <w:kern w:val="21"/>
                <w:szCs w:val="21"/>
              </w:rPr>
              <w:t>0</w:t>
            </w:r>
          </w:p>
        </w:tc>
      </w:tr>
      <w:tr w14:paraId="6E5C0B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205B4E43">
            <w:pPr>
              <w:pStyle w:val="44"/>
              <w:spacing w:beforeLines="0" w:afterLines="0" w:line="240" w:lineRule="auto"/>
              <w:rPr>
                <w:rFonts w:ascii="Times New Roman"/>
                <w:snapToGrid w:val="0"/>
                <w:kern w:val="21"/>
                <w:szCs w:val="21"/>
              </w:rPr>
            </w:pPr>
          </w:p>
        </w:tc>
        <w:tc>
          <w:tcPr>
            <w:tcW w:w="0" w:type="auto"/>
            <w:vAlign w:val="center"/>
          </w:tcPr>
          <w:p w14:paraId="69D621C0">
            <w:pPr>
              <w:adjustRightInd w:val="0"/>
              <w:snapToGrid w:val="0"/>
              <w:jc w:val="center"/>
              <w:rPr>
                <w:szCs w:val="21"/>
              </w:rPr>
            </w:pPr>
            <w:r>
              <w:rPr>
                <w:szCs w:val="21"/>
              </w:rPr>
              <w:t>NH</w:t>
            </w:r>
            <w:r>
              <w:rPr>
                <w:szCs w:val="21"/>
                <w:vertAlign w:val="subscript"/>
              </w:rPr>
              <w:t>3</w:t>
            </w:r>
            <w:r>
              <w:rPr>
                <w:szCs w:val="21"/>
              </w:rPr>
              <w:t>-N</w:t>
            </w:r>
          </w:p>
        </w:tc>
        <w:tc>
          <w:tcPr>
            <w:tcW w:w="0" w:type="auto"/>
            <w:vAlign w:val="center"/>
          </w:tcPr>
          <w:p w14:paraId="56D9B28B">
            <w:pPr>
              <w:adjustRightInd w:val="0"/>
              <w:snapToGrid w:val="0"/>
              <w:jc w:val="center"/>
              <w:rPr>
                <w:snapToGrid w:val="0"/>
                <w:kern w:val="21"/>
                <w:szCs w:val="21"/>
              </w:rPr>
            </w:pPr>
            <w:r>
              <w:rPr>
                <w:snapToGrid w:val="0"/>
                <w:kern w:val="21"/>
                <w:szCs w:val="21"/>
              </w:rPr>
              <w:t>0</w:t>
            </w:r>
          </w:p>
        </w:tc>
        <w:tc>
          <w:tcPr>
            <w:tcW w:w="0" w:type="auto"/>
            <w:vAlign w:val="center"/>
          </w:tcPr>
          <w:p w14:paraId="78A358A2">
            <w:pPr>
              <w:jc w:val="center"/>
              <w:rPr>
                <w:snapToGrid w:val="0"/>
                <w:kern w:val="21"/>
                <w:szCs w:val="21"/>
              </w:rPr>
            </w:pPr>
            <w:r>
              <w:rPr>
                <w:snapToGrid w:val="0"/>
                <w:kern w:val="21"/>
                <w:szCs w:val="21"/>
              </w:rPr>
              <w:t>/</w:t>
            </w:r>
          </w:p>
        </w:tc>
        <w:tc>
          <w:tcPr>
            <w:tcW w:w="0" w:type="auto"/>
            <w:vAlign w:val="center"/>
          </w:tcPr>
          <w:p w14:paraId="2D8C2C66">
            <w:pPr>
              <w:adjustRightInd w:val="0"/>
              <w:snapToGrid w:val="0"/>
              <w:jc w:val="center"/>
              <w:rPr>
                <w:snapToGrid w:val="0"/>
                <w:kern w:val="21"/>
                <w:szCs w:val="21"/>
              </w:rPr>
            </w:pPr>
            <w:r>
              <w:rPr>
                <w:snapToGrid w:val="0"/>
                <w:kern w:val="21"/>
                <w:szCs w:val="21"/>
              </w:rPr>
              <w:t>0</w:t>
            </w:r>
          </w:p>
        </w:tc>
        <w:tc>
          <w:tcPr>
            <w:tcW w:w="0" w:type="auto"/>
            <w:vAlign w:val="center"/>
          </w:tcPr>
          <w:p w14:paraId="75900E1B">
            <w:pPr>
              <w:adjustRightInd w:val="0"/>
              <w:snapToGrid w:val="0"/>
              <w:jc w:val="center"/>
              <w:rPr>
                <w:szCs w:val="21"/>
              </w:rPr>
            </w:pPr>
            <w:r>
              <w:rPr>
                <w:snapToGrid w:val="0"/>
                <w:kern w:val="21"/>
                <w:szCs w:val="21"/>
              </w:rPr>
              <w:t>0</w:t>
            </w:r>
          </w:p>
        </w:tc>
        <w:tc>
          <w:tcPr>
            <w:tcW w:w="0" w:type="auto"/>
            <w:vAlign w:val="center"/>
          </w:tcPr>
          <w:p w14:paraId="327A25D5">
            <w:pPr>
              <w:jc w:val="center"/>
              <w:rPr>
                <w:szCs w:val="21"/>
              </w:rPr>
            </w:pPr>
            <w:r>
              <w:rPr>
                <w:szCs w:val="21"/>
              </w:rPr>
              <w:t>/</w:t>
            </w:r>
          </w:p>
        </w:tc>
        <w:tc>
          <w:tcPr>
            <w:tcW w:w="0" w:type="auto"/>
            <w:vAlign w:val="center"/>
          </w:tcPr>
          <w:p w14:paraId="130A3852">
            <w:pPr>
              <w:adjustRightInd w:val="0"/>
              <w:snapToGrid w:val="0"/>
              <w:jc w:val="center"/>
              <w:rPr>
                <w:szCs w:val="21"/>
              </w:rPr>
            </w:pPr>
            <w:r>
              <w:rPr>
                <w:snapToGrid w:val="0"/>
                <w:kern w:val="21"/>
                <w:szCs w:val="21"/>
              </w:rPr>
              <w:t>0</w:t>
            </w:r>
          </w:p>
        </w:tc>
        <w:tc>
          <w:tcPr>
            <w:tcW w:w="0" w:type="auto"/>
            <w:vAlign w:val="center"/>
          </w:tcPr>
          <w:p w14:paraId="0A1F5066">
            <w:pPr>
              <w:adjustRightInd w:val="0"/>
              <w:snapToGrid w:val="0"/>
              <w:jc w:val="center"/>
              <w:rPr>
                <w:szCs w:val="21"/>
              </w:rPr>
            </w:pPr>
            <w:r>
              <w:rPr>
                <w:snapToGrid w:val="0"/>
                <w:kern w:val="21"/>
                <w:szCs w:val="21"/>
              </w:rPr>
              <w:t>0</w:t>
            </w:r>
          </w:p>
        </w:tc>
      </w:tr>
      <w:tr w14:paraId="47EB4D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5C3CD05F">
            <w:pPr>
              <w:pStyle w:val="44"/>
              <w:spacing w:beforeLines="0" w:afterLines="0" w:line="240" w:lineRule="auto"/>
              <w:rPr>
                <w:rFonts w:ascii="Times New Roman"/>
                <w:snapToGrid w:val="0"/>
                <w:kern w:val="21"/>
                <w:szCs w:val="21"/>
              </w:rPr>
            </w:pPr>
            <w:r>
              <w:rPr>
                <w:rFonts w:ascii="Times New Roman"/>
                <w:snapToGrid w:val="0"/>
                <w:kern w:val="21"/>
                <w:szCs w:val="21"/>
              </w:rPr>
              <w:t>一般工业</w:t>
            </w:r>
          </w:p>
          <w:p w14:paraId="2412A8C0">
            <w:pPr>
              <w:pStyle w:val="44"/>
              <w:spacing w:beforeLines="0" w:afterLines="0" w:line="240" w:lineRule="auto"/>
              <w:rPr>
                <w:rFonts w:ascii="Times New Roman"/>
                <w:snapToGrid w:val="0"/>
                <w:kern w:val="21"/>
                <w:szCs w:val="21"/>
              </w:rPr>
            </w:pPr>
            <w:r>
              <w:rPr>
                <w:rFonts w:ascii="Times New Roman"/>
                <w:snapToGrid w:val="0"/>
                <w:kern w:val="21"/>
                <w:szCs w:val="21"/>
              </w:rPr>
              <w:t>固体废物</w:t>
            </w:r>
          </w:p>
        </w:tc>
        <w:tc>
          <w:tcPr>
            <w:tcW w:w="0" w:type="auto"/>
            <w:vAlign w:val="center"/>
          </w:tcPr>
          <w:p w14:paraId="7AE0983A">
            <w:pPr>
              <w:jc w:val="center"/>
              <w:rPr>
                <w:szCs w:val="21"/>
              </w:rPr>
            </w:pPr>
            <w:r>
              <w:rPr>
                <w:bCs/>
                <w:szCs w:val="21"/>
              </w:rPr>
              <w:t>生活垃圾</w:t>
            </w:r>
          </w:p>
        </w:tc>
        <w:tc>
          <w:tcPr>
            <w:tcW w:w="0" w:type="auto"/>
            <w:vAlign w:val="center"/>
          </w:tcPr>
          <w:p w14:paraId="153CD80B">
            <w:pPr>
              <w:adjustRightInd w:val="0"/>
              <w:snapToGrid w:val="0"/>
              <w:jc w:val="center"/>
              <w:rPr>
                <w:snapToGrid w:val="0"/>
                <w:kern w:val="21"/>
                <w:szCs w:val="21"/>
              </w:rPr>
            </w:pPr>
            <w:r>
              <w:rPr>
                <w:snapToGrid w:val="0"/>
                <w:kern w:val="21"/>
                <w:szCs w:val="21"/>
              </w:rPr>
              <w:t>0</w:t>
            </w:r>
          </w:p>
        </w:tc>
        <w:tc>
          <w:tcPr>
            <w:tcW w:w="0" w:type="auto"/>
            <w:vAlign w:val="center"/>
          </w:tcPr>
          <w:p w14:paraId="5A38D1EC">
            <w:pPr>
              <w:pStyle w:val="44"/>
              <w:spacing w:beforeLines="0" w:afterLines="0" w:line="240" w:lineRule="auto"/>
              <w:rPr>
                <w:rFonts w:ascii="Times New Roman"/>
                <w:snapToGrid w:val="0"/>
                <w:kern w:val="21"/>
                <w:szCs w:val="21"/>
              </w:rPr>
            </w:pPr>
            <w:r>
              <w:rPr>
                <w:rFonts w:ascii="Times New Roman"/>
                <w:snapToGrid w:val="0"/>
                <w:kern w:val="21"/>
                <w:szCs w:val="21"/>
              </w:rPr>
              <w:t>/</w:t>
            </w:r>
          </w:p>
        </w:tc>
        <w:tc>
          <w:tcPr>
            <w:tcW w:w="0" w:type="auto"/>
            <w:vAlign w:val="center"/>
          </w:tcPr>
          <w:p w14:paraId="50DA1FDA">
            <w:pPr>
              <w:adjustRightInd w:val="0"/>
              <w:snapToGrid w:val="0"/>
              <w:jc w:val="center"/>
              <w:rPr>
                <w:snapToGrid w:val="0"/>
                <w:kern w:val="21"/>
                <w:szCs w:val="21"/>
              </w:rPr>
            </w:pPr>
            <w:r>
              <w:rPr>
                <w:snapToGrid w:val="0"/>
                <w:kern w:val="21"/>
                <w:szCs w:val="21"/>
              </w:rPr>
              <w:t>0</w:t>
            </w:r>
          </w:p>
        </w:tc>
        <w:tc>
          <w:tcPr>
            <w:tcW w:w="0" w:type="auto"/>
            <w:vAlign w:val="center"/>
          </w:tcPr>
          <w:p w14:paraId="5B04D538">
            <w:pPr>
              <w:jc w:val="center"/>
              <w:rPr>
                <w:szCs w:val="21"/>
              </w:rPr>
            </w:pPr>
            <w:r>
              <w:rPr>
                <w:bCs/>
                <w:szCs w:val="21"/>
              </w:rPr>
              <w:t>4.5t/a</w:t>
            </w:r>
          </w:p>
        </w:tc>
        <w:tc>
          <w:tcPr>
            <w:tcW w:w="0" w:type="auto"/>
            <w:vAlign w:val="center"/>
          </w:tcPr>
          <w:p w14:paraId="6374BC2E">
            <w:pPr>
              <w:jc w:val="center"/>
              <w:rPr>
                <w:szCs w:val="21"/>
              </w:rPr>
            </w:pPr>
            <w:r>
              <w:rPr>
                <w:szCs w:val="21"/>
              </w:rPr>
              <w:t>0</w:t>
            </w:r>
          </w:p>
        </w:tc>
        <w:tc>
          <w:tcPr>
            <w:tcW w:w="0" w:type="auto"/>
            <w:vAlign w:val="center"/>
          </w:tcPr>
          <w:p w14:paraId="10640DB3">
            <w:pPr>
              <w:jc w:val="center"/>
              <w:rPr>
                <w:szCs w:val="21"/>
              </w:rPr>
            </w:pPr>
            <w:r>
              <w:rPr>
                <w:bCs/>
                <w:szCs w:val="21"/>
              </w:rPr>
              <w:t>4.5t/a</w:t>
            </w:r>
          </w:p>
        </w:tc>
        <w:tc>
          <w:tcPr>
            <w:tcW w:w="0" w:type="auto"/>
            <w:vAlign w:val="center"/>
          </w:tcPr>
          <w:p w14:paraId="696E4F76">
            <w:pPr>
              <w:jc w:val="center"/>
              <w:rPr>
                <w:szCs w:val="21"/>
              </w:rPr>
            </w:pPr>
            <w:r>
              <w:rPr>
                <w:bCs/>
                <w:szCs w:val="21"/>
              </w:rPr>
              <w:t>+4.5t/a</w:t>
            </w:r>
          </w:p>
        </w:tc>
      </w:tr>
      <w:tr w14:paraId="59346C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291BC0DF">
            <w:pPr>
              <w:pStyle w:val="44"/>
              <w:spacing w:beforeLines="0" w:afterLines="0" w:line="240" w:lineRule="auto"/>
              <w:rPr>
                <w:rFonts w:ascii="Times New Roman"/>
                <w:snapToGrid w:val="0"/>
                <w:kern w:val="21"/>
                <w:szCs w:val="21"/>
              </w:rPr>
            </w:pPr>
          </w:p>
        </w:tc>
        <w:tc>
          <w:tcPr>
            <w:tcW w:w="0" w:type="auto"/>
            <w:vAlign w:val="center"/>
          </w:tcPr>
          <w:p w14:paraId="28C2FC50">
            <w:pPr>
              <w:jc w:val="center"/>
              <w:rPr>
                <w:szCs w:val="21"/>
              </w:rPr>
            </w:pPr>
            <w:r>
              <w:rPr>
                <w:bCs/>
                <w:szCs w:val="21"/>
              </w:rPr>
              <w:t>废边角料</w:t>
            </w:r>
          </w:p>
        </w:tc>
        <w:tc>
          <w:tcPr>
            <w:tcW w:w="0" w:type="auto"/>
            <w:vAlign w:val="center"/>
          </w:tcPr>
          <w:p w14:paraId="5B563F9C">
            <w:pPr>
              <w:adjustRightInd w:val="0"/>
              <w:snapToGrid w:val="0"/>
              <w:jc w:val="center"/>
              <w:rPr>
                <w:snapToGrid w:val="0"/>
                <w:kern w:val="21"/>
                <w:szCs w:val="21"/>
              </w:rPr>
            </w:pPr>
            <w:r>
              <w:rPr>
                <w:snapToGrid w:val="0"/>
                <w:kern w:val="21"/>
                <w:szCs w:val="21"/>
              </w:rPr>
              <w:t>0</w:t>
            </w:r>
          </w:p>
        </w:tc>
        <w:tc>
          <w:tcPr>
            <w:tcW w:w="0" w:type="auto"/>
            <w:vAlign w:val="center"/>
          </w:tcPr>
          <w:p w14:paraId="16D32681">
            <w:pPr>
              <w:jc w:val="center"/>
              <w:rPr>
                <w:snapToGrid w:val="0"/>
                <w:kern w:val="21"/>
                <w:szCs w:val="21"/>
              </w:rPr>
            </w:pPr>
            <w:r>
              <w:rPr>
                <w:snapToGrid w:val="0"/>
                <w:kern w:val="21"/>
                <w:szCs w:val="21"/>
              </w:rPr>
              <w:t>/</w:t>
            </w:r>
          </w:p>
        </w:tc>
        <w:tc>
          <w:tcPr>
            <w:tcW w:w="0" w:type="auto"/>
            <w:vAlign w:val="center"/>
          </w:tcPr>
          <w:p w14:paraId="3D78ECBE">
            <w:pPr>
              <w:adjustRightInd w:val="0"/>
              <w:snapToGrid w:val="0"/>
              <w:jc w:val="center"/>
              <w:rPr>
                <w:snapToGrid w:val="0"/>
                <w:kern w:val="21"/>
                <w:szCs w:val="21"/>
              </w:rPr>
            </w:pPr>
            <w:r>
              <w:rPr>
                <w:snapToGrid w:val="0"/>
                <w:kern w:val="21"/>
                <w:szCs w:val="21"/>
              </w:rPr>
              <w:t>0</w:t>
            </w:r>
          </w:p>
        </w:tc>
        <w:tc>
          <w:tcPr>
            <w:tcW w:w="0" w:type="auto"/>
            <w:vAlign w:val="center"/>
          </w:tcPr>
          <w:p w14:paraId="631F129B">
            <w:pPr>
              <w:jc w:val="center"/>
              <w:rPr>
                <w:szCs w:val="21"/>
              </w:rPr>
            </w:pPr>
            <w:r>
              <w:rPr>
                <w:bCs/>
                <w:szCs w:val="21"/>
              </w:rPr>
              <w:t>2.5t/a</w:t>
            </w:r>
          </w:p>
        </w:tc>
        <w:tc>
          <w:tcPr>
            <w:tcW w:w="0" w:type="auto"/>
            <w:vAlign w:val="center"/>
          </w:tcPr>
          <w:p w14:paraId="3A19BF7E">
            <w:pPr>
              <w:jc w:val="center"/>
              <w:rPr>
                <w:szCs w:val="21"/>
              </w:rPr>
            </w:pPr>
            <w:r>
              <w:rPr>
                <w:szCs w:val="21"/>
              </w:rPr>
              <w:t>0</w:t>
            </w:r>
          </w:p>
        </w:tc>
        <w:tc>
          <w:tcPr>
            <w:tcW w:w="0" w:type="auto"/>
            <w:vAlign w:val="center"/>
          </w:tcPr>
          <w:p w14:paraId="08D40FEE">
            <w:pPr>
              <w:jc w:val="center"/>
              <w:rPr>
                <w:szCs w:val="21"/>
              </w:rPr>
            </w:pPr>
            <w:r>
              <w:rPr>
                <w:bCs/>
                <w:szCs w:val="21"/>
              </w:rPr>
              <w:t>2.5t/a</w:t>
            </w:r>
          </w:p>
        </w:tc>
        <w:tc>
          <w:tcPr>
            <w:tcW w:w="0" w:type="auto"/>
            <w:vAlign w:val="center"/>
          </w:tcPr>
          <w:p w14:paraId="4A73D80E">
            <w:pPr>
              <w:jc w:val="center"/>
              <w:rPr>
                <w:szCs w:val="21"/>
              </w:rPr>
            </w:pPr>
            <w:r>
              <w:rPr>
                <w:bCs/>
                <w:szCs w:val="21"/>
              </w:rPr>
              <w:t>+2.5t/a</w:t>
            </w:r>
          </w:p>
        </w:tc>
      </w:tr>
      <w:tr w14:paraId="70ED43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4B3614ED">
            <w:pPr>
              <w:pStyle w:val="44"/>
              <w:spacing w:beforeLines="0" w:afterLines="0" w:line="240" w:lineRule="auto"/>
              <w:rPr>
                <w:rFonts w:ascii="Times New Roman"/>
                <w:snapToGrid w:val="0"/>
                <w:kern w:val="21"/>
                <w:szCs w:val="21"/>
              </w:rPr>
            </w:pPr>
          </w:p>
        </w:tc>
        <w:tc>
          <w:tcPr>
            <w:tcW w:w="0" w:type="auto"/>
            <w:vAlign w:val="center"/>
          </w:tcPr>
          <w:p w14:paraId="74CD938C">
            <w:pPr>
              <w:jc w:val="center"/>
              <w:rPr>
                <w:szCs w:val="21"/>
              </w:rPr>
            </w:pPr>
            <w:r>
              <w:rPr>
                <w:bCs/>
                <w:szCs w:val="21"/>
              </w:rPr>
              <w:t>废包装袋</w:t>
            </w:r>
          </w:p>
        </w:tc>
        <w:tc>
          <w:tcPr>
            <w:tcW w:w="0" w:type="auto"/>
            <w:vAlign w:val="center"/>
          </w:tcPr>
          <w:p w14:paraId="0DA25EB1">
            <w:pPr>
              <w:adjustRightInd w:val="0"/>
              <w:snapToGrid w:val="0"/>
              <w:jc w:val="center"/>
              <w:rPr>
                <w:snapToGrid w:val="0"/>
                <w:kern w:val="21"/>
                <w:szCs w:val="21"/>
              </w:rPr>
            </w:pPr>
            <w:r>
              <w:rPr>
                <w:snapToGrid w:val="0"/>
                <w:kern w:val="21"/>
                <w:szCs w:val="21"/>
              </w:rPr>
              <w:t>0</w:t>
            </w:r>
          </w:p>
        </w:tc>
        <w:tc>
          <w:tcPr>
            <w:tcW w:w="0" w:type="auto"/>
            <w:vAlign w:val="center"/>
          </w:tcPr>
          <w:p w14:paraId="29177775">
            <w:pPr>
              <w:jc w:val="center"/>
              <w:rPr>
                <w:snapToGrid w:val="0"/>
                <w:kern w:val="21"/>
                <w:szCs w:val="21"/>
              </w:rPr>
            </w:pPr>
            <w:r>
              <w:rPr>
                <w:snapToGrid w:val="0"/>
                <w:kern w:val="21"/>
                <w:szCs w:val="21"/>
              </w:rPr>
              <w:t>/</w:t>
            </w:r>
          </w:p>
        </w:tc>
        <w:tc>
          <w:tcPr>
            <w:tcW w:w="0" w:type="auto"/>
            <w:vAlign w:val="center"/>
          </w:tcPr>
          <w:p w14:paraId="044E7E1A">
            <w:pPr>
              <w:adjustRightInd w:val="0"/>
              <w:snapToGrid w:val="0"/>
              <w:jc w:val="center"/>
              <w:rPr>
                <w:snapToGrid w:val="0"/>
                <w:kern w:val="21"/>
                <w:szCs w:val="21"/>
              </w:rPr>
            </w:pPr>
            <w:r>
              <w:rPr>
                <w:snapToGrid w:val="0"/>
                <w:kern w:val="21"/>
                <w:szCs w:val="21"/>
              </w:rPr>
              <w:t>0</w:t>
            </w:r>
          </w:p>
        </w:tc>
        <w:tc>
          <w:tcPr>
            <w:tcW w:w="0" w:type="auto"/>
            <w:vAlign w:val="center"/>
          </w:tcPr>
          <w:p w14:paraId="52486092">
            <w:pPr>
              <w:spacing w:line="240" w:lineRule="exact"/>
              <w:jc w:val="center"/>
              <w:rPr>
                <w:szCs w:val="21"/>
              </w:rPr>
            </w:pPr>
            <w:r>
              <w:rPr>
                <w:bCs/>
                <w:szCs w:val="21"/>
              </w:rPr>
              <w:t>1.5t/a</w:t>
            </w:r>
          </w:p>
        </w:tc>
        <w:tc>
          <w:tcPr>
            <w:tcW w:w="0" w:type="auto"/>
            <w:vAlign w:val="center"/>
          </w:tcPr>
          <w:p w14:paraId="3DAD9290">
            <w:pPr>
              <w:jc w:val="center"/>
              <w:rPr>
                <w:szCs w:val="21"/>
              </w:rPr>
            </w:pPr>
            <w:r>
              <w:rPr>
                <w:szCs w:val="21"/>
              </w:rPr>
              <w:t>0</w:t>
            </w:r>
          </w:p>
        </w:tc>
        <w:tc>
          <w:tcPr>
            <w:tcW w:w="0" w:type="auto"/>
            <w:vAlign w:val="center"/>
          </w:tcPr>
          <w:p w14:paraId="46DC69C4">
            <w:pPr>
              <w:spacing w:line="240" w:lineRule="exact"/>
              <w:jc w:val="center"/>
              <w:rPr>
                <w:szCs w:val="21"/>
              </w:rPr>
            </w:pPr>
            <w:r>
              <w:rPr>
                <w:bCs/>
                <w:szCs w:val="21"/>
              </w:rPr>
              <w:t>1.5t/a</w:t>
            </w:r>
          </w:p>
        </w:tc>
        <w:tc>
          <w:tcPr>
            <w:tcW w:w="0" w:type="auto"/>
            <w:vAlign w:val="center"/>
          </w:tcPr>
          <w:p w14:paraId="10D25AAC">
            <w:pPr>
              <w:spacing w:line="240" w:lineRule="exact"/>
              <w:jc w:val="center"/>
              <w:rPr>
                <w:szCs w:val="21"/>
              </w:rPr>
            </w:pPr>
            <w:r>
              <w:rPr>
                <w:bCs/>
                <w:szCs w:val="21"/>
              </w:rPr>
              <w:t>+1.5t/a</w:t>
            </w:r>
          </w:p>
        </w:tc>
      </w:tr>
      <w:tr w14:paraId="4DD980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5942E56E">
            <w:pPr>
              <w:pStyle w:val="44"/>
              <w:spacing w:beforeLines="0" w:afterLines="0" w:line="240" w:lineRule="auto"/>
              <w:rPr>
                <w:rFonts w:ascii="Times New Roman"/>
                <w:snapToGrid w:val="0"/>
                <w:kern w:val="21"/>
                <w:szCs w:val="21"/>
              </w:rPr>
            </w:pPr>
          </w:p>
        </w:tc>
        <w:tc>
          <w:tcPr>
            <w:tcW w:w="0" w:type="auto"/>
            <w:vAlign w:val="center"/>
          </w:tcPr>
          <w:p w14:paraId="766890B0">
            <w:pPr>
              <w:jc w:val="center"/>
              <w:rPr>
                <w:szCs w:val="21"/>
              </w:rPr>
            </w:pPr>
            <w:r>
              <w:rPr>
                <w:bCs/>
                <w:szCs w:val="21"/>
              </w:rPr>
              <w:t>废活性炭</w:t>
            </w:r>
          </w:p>
        </w:tc>
        <w:tc>
          <w:tcPr>
            <w:tcW w:w="0" w:type="auto"/>
            <w:vAlign w:val="center"/>
          </w:tcPr>
          <w:p w14:paraId="2483A713">
            <w:pPr>
              <w:adjustRightInd w:val="0"/>
              <w:snapToGrid w:val="0"/>
              <w:jc w:val="center"/>
              <w:rPr>
                <w:snapToGrid w:val="0"/>
                <w:kern w:val="21"/>
                <w:szCs w:val="21"/>
              </w:rPr>
            </w:pPr>
            <w:r>
              <w:rPr>
                <w:snapToGrid w:val="0"/>
                <w:kern w:val="21"/>
                <w:szCs w:val="21"/>
              </w:rPr>
              <w:t>0</w:t>
            </w:r>
          </w:p>
        </w:tc>
        <w:tc>
          <w:tcPr>
            <w:tcW w:w="0" w:type="auto"/>
            <w:vAlign w:val="center"/>
          </w:tcPr>
          <w:p w14:paraId="69AD568C">
            <w:pPr>
              <w:jc w:val="center"/>
              <w:rPr>
                <w:snapToGrid w:val="0"/>
                <w:kern w:val="21"/>
                <w:szCs w:val="21"/>
              </w:rPr>
            </w:pPr>
            <w:r>
              <w:rPr>
                <w:snapToGrid w:val="0"/>
                <w:kern w:val="21"/>
                <w:szCs w:val="21"/>
              </w:rPr>
              <w:t>/</w:t>
            </w:r>
          </w:p>
        </w:tc>
        <w:tc>
          <w:tcPr>
            <w:tcW w:w="0" w:type="auto"/>
            <w:vAlign w:val="center"/>
          </w:tcPr>
          <w:p w14:paraId="39DE201C">
            <w:pPr>
              <w:adjustRightInd w:val="0"/>
              <w:snapToGrid w:val="0"/>
              <w:jc w:val="center"/>
              <w:rPr>
                <w:snapToGrid w:val="0"/>
                <w:kern w:val="21"/>
                <w:szCs w:val="21"/>
              </w:rPr>
            </w:pPr>
            <w:r>
              <w:rPr>
                <w:snapToGrid w:val="0"/>
                <w:kern w:val="21"/>
                <w:szCs w:val="21"/>
              </w:rPr>
              <w:t>0</w:t>
            </w:r>
          </w:p>
        </w:tc>
        <w:tc>
          <w:tcPr>
            <w:tcW w:w="0" w:type="auto"/>
            <w:vAlign w:val="center"/>
          </w:tcPr>
          <w:p w14:paraId="1982B78D">
            <w:pPr>
              <w:spacing w:line="240" w:lineRule="exact"/>
              <w:jc w:val="center"/>
              <w:rPr>
                <w:szCs w:val="21"/>
              </w:rPr>
            </w:pPr>
            <w:r>
              <w:rPr>
                <w:bCs/>
                <w:szCs w:val="21"/>
              </w:rPr>
              <w:t>1.</w:t>
            </w:r>
            <w:r>
              <w:rPr>
                <w:rFonts w:hint="eastAsia"/>
                <w:bCs/>
                <w:szCs w:val="21"/>
                <w:lang w:val="en-US" w:eastAsia="zh-CN"/>
              </w:rPr>
              <w:t>31</w:t>
            </w:r>
            <w:r>
              <w:rPr>
                <w:bCs/>
                <w:szCs w:val="21"/>
              </w:rPr>
              <w:t>t/a</w:t>
            </w:r>
          </w:p>
        </w:tc>
        <w:tc>
          <w:tcPr>
            <w:tcW w:w="0" w:type="auto"/>
            <w:vAlign w:val="center"/>
          </w:tcPr>
          <w:p w14:paraId="46C86CD8">
            <w:pPr>
              <w:jc w:val="center"/>
              <w:rPr>
                <w:szCs w:val="21"/>
              </w:rPr>
            </w:pPr>
            <w:r>
              <w:rPr>
                <w:szCs w:val="21"/>
              </w:rPr>
              <w:t>/</w:t>
            </w:r>
          </w:p>
        </w:tc>
        <w:tc>
          <w:tcPr>
            <w:tcW w:w="0" w:type="auto"/>
            <w:vAlign w:val="center"/>
          </w:tcPr>
          <w:p w14:paraId="12048565">
            <w:pPr>
              <w:spacing w:line="240" w:lineRule="exact"/>
              <w:jc w:val="center"/>
              <w:rPr>
                <w:szCs w:val="21"/>
              </w:rPr>
            </w:pPr>
            <w:r>
              <w:rPr>
                <w:bCs/>
                <w:szCs w:val="21"/>
              </w:rPr>
              <w:t>1.</w:t>
            </w:r>
            <w:r>
              <w:rPr>
                <w:rFonts w:hint="eastAsia"/>
                <w:bCs/>
                <w:szCs w:val="21"/>
                <w:lang w:val="en-US" w:eastAsia="zh-CN"/>
              </w:rPr>
              <w:t>31</w:t>
            </w:r>
            <w:r>
              <w:rPr>
                <w:bCs/>
                <w:szCs w:val="21"/>
              </w:rPr>
              <w:t>t/a</w:t>
            </w:r>
          </w:p>
        </w:tc>
        <w:tc>
          <w:tcPr>
            <w:tcW w:w="0" w:type="auto"/>
            <w:vAlign w:val="center"/>
          </w:tcPr>
          <w:p w14:paraId="527E2EE2">
            <w:pPr>
              <w:spacing w:line="240" w:lineRule="exact"/>
              <w:jc w:val="center"/>
              <w:rPr>
                <w:szCs w:val="21"/>
              </w:rPr>
            </w:pPr>
            <w:r>
              <w:rPr>
                <w:bCs/>
                <w:szCs w:val="21"/>
              </w:rPr>
              <w:t>+1.</w:t>
            </w:r>
            <w:r>
              <w:rPr>
                <w:rFonts w:hint="eastAsia"/>
                <w:bCs/>
                <w:szCs w:val="21"/>
                <w:lang w:val="en-US" w:eastAsia="zh-CN"/>
              </w:rPr>
              <w:t>31</w:t>
            </w:r>
            <w:r>
              <w:rPr>
                <w:bCs/>
                <w:szCs w:val="21"/>
              </w:rPr>
              <w:t>t/a</w:t>
            </w:r>
          </w:p>
        </w:tc>
      </w:tr>
      <w:tr w14:paraId="2336E8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1757EF7D">
            <w:pPr>
              <w:pStyle w:val="44"/>
              <w:spacing w:beforeLines="0" w:afterLines="0" w:line="240" w:lineRule="auto"/>
              <w:rPr>
                <w:rFonts w:ascii="Times New Roman"/>
                <w:snapToGrid w:val="0"/>
                <w:kern w:val="21"/>
                <w:szCs w:val="21"/>
              </w:rPr>
            </w:pPr>
          </w:p>
        </w:tc>
        <w:tc>
          <w:tcPr>
            <w:tcW w:w="0" w:type="auto"/>
            <w:vAlign w:val="center"/>
          </w:tcPr>
          <w:p w14:paraId="238B53F2">
            <w:pPr>
              <w:jc w:val="center"/>
              <w:rPr>
                <w:bCs/>
                <w:szCs w:val="21"/>
              </w:rPr>
            </w:pPr>
            <w:r>
              <w:rPr>
                <w:bCs/>
                <w:szCs w:val="21"/>
              </w:rPr>
              <w:t>废液压油</w:t>
            </w:r>
          </w:p>
        </w:tc>
        <w:tc>
          <w:tcPr>
            <w:tcW w:w="0" w:type="auto"/>
            <w:vAlign w:val="center"/>
          </w:tcPr>
          <w:p w14:paraId="332033F8">
            <w:pPr>
              <w:adjustRightInd w:val="0"/>
              <w:snapToGrid w:val="0"/>
              <w:jc w:val="center"/>
              <w:rPr>
                <w:snapToGrid w:val="0"/>
                <w:kern w:val="21"/>
                <w:szCs w:val="21"/>
              </w:rPr>
            </w:pPr>
            <w:r>
              <w:rPr>
                <w:snapToGrid w:val="0"/>
                <w:kern w:val="21"/>
                <w:szCs w:val="21"/>
              </w:rPr>
              <w:t>0</w:t>
            </w:r>
          </w:p>
        </w:tc>
        <w:tc>
          <w:tcPr>
            <w:tcW w:w="0" w:type="auto"/>
            <w:vAlign w:val="center"/>
          </w:tcPr>
          <w:p w14:paraId="75768EC0">
            <w:pPr>
              <w:jc w:val="center"/>
              <w:rPr>
                <w:snapToGrid w:val="0"/>
                <w:kern w:val="21"/>
                <w:szCs w:val="21"/>
              </w:rPr>
            </w:pPr>
            <w:r>
              <w:rPr>
                <w:snapToGrid w:val="0"/>
                <w:kern w:val="21"/>
                <w:szCs w:val="21"/>
              </w:rPr>
              <w:t>/</w:t>
            </w:r>
          </w:p>
        </w:tc>
        <w:tc>
          <w:tcPr>
            <w:tcW w:w="0" w:type="auto"/>
            <w:vAlign w:val="center"/>
          </w:tcPr>
          <w:p w14:paraId="604F5DE6">
            <w:pPr>
              <w:adjustRightInd w:val="0"/>
              <w:snapToGrid w:val="0"/>
              <w:jc w:val="center"/>
              <w:rPr>
                <w:snapToGrid w:val="0"/>
                <w:kern w:val="21"/>
                <w:szCs w:val="21"/>
              </w:rPr>
            </w:pPr>
            <w:r>
              <w:rPr>
                <w:snapToGrid w:val="0"/>
                <w:kern w:val="21"/>
                <w:szCs w:val="21"/>
              </w:rPr>
              <w:t>0</w:t>
            </w:r>
          </w:p>
        </w:tc>
        <w:tc>
          <w:tcPr>
            <w:tcW w:w="0" w:type="auto"/>
            <w:vAlign w:val="center"/>
          </w:tcPr>
          <w:p w14:paraId="5FD22E06">
            <w:pPr>
              <w:spacing w:line="240" w:lineRule="exact"/>
              <w:jc w:val="center"/>
              <w:rPr>
                <w:bCs/>
                <w:szCs w:val="21"/>
              </w:rPr>
            </w:pPr>
            <w:r>
              <w:rPr>
                <w:bCs/>
                <w:szCs w:val="21"/>
              </w:rPr>
              <w:t>0.3t/a</w:t>
            </w:r>
          </w:p>
        </w:tc>
        <w:tc>
          <w:tcPr>
            <w:tcW w:w="0" w:type="auto"/>
            <w:vAlign w:val="center"/>
          </w:tcPr>
          <w:p w14:paraId="1D3C847B">
            <w:pPr>
              <w:jc w:val="center"/>
              <w:rPr>
                <w:szCs w:val="21"/>
              </w:rPr>
            </w:pPr>
            <w:r>
              <w:rPr>
                <w:szCs w:val="21"/>
              </w:rPr>
              <w:t>/</w:t>
            </w:r>
          </w:p>
        </w:tc>
        <w:tc>
          <w:tcPr>
            <w:tcW w:w="0" w:type="auto"/>
            <w:vAlign w:val="center"/>
          </w:tcPr>
          <w:p w14:paraId="35B33688">
            <w:pPr>
              <w:spacing w:line="240" w:lineRule="exact"/>
              <w:jc w:val="center"/>
              <w:rPr>
                <w:bCs/>
                <w:szCs w:val="21"/>
              </w:rPr>
            </w:pPr>
            <w:r>
              <w:rPr>
                <w:bCs/>
                <w:szCs w:val="21"/>
              </w:rPr>
              <w:t>0.3t/a</w:t>
            </w:r>
          </w:p>
        </w:tc>
        <w:tc>
          <w:tcPr>
            <w:tcW w:w="0" w:type="auto"/>
            <w:vAlign w:val="center"/>
          </w:tcPr>
          <w:p w14:paraId="373FBCB3">
            <w:pPr>
              <w:spacing w:line="240" w:lineRule="exact"/>
              <w:jc w:val="center"/>
              <w:rPr>
                <w:bCs/>
                <w:szCs w:val="21"/>
              </w:rPr>
            </w:pPr>
            <w:r>
              <w:rPr>
                <w:bCs/>
                <w:szCs w:val="21"/>
              </w:rPr>
              <w:t>+0.3t/a</w:t>
            </w:r>
          </w:p>
        </w:tc>
      </w:tr>
    </w:tbl>
    <w:p w14:paraId="2C35A760">
      <w:pPr>
        <w:pStyle w:val="44"/>
        <w:spacing w:before="192" w:beforeLines="80" w:after="24"/>
        <w:jc w:val="left"/>
        <w:rPr>
          <w:rFonts w:ascii="Times New Roman"/>
        </w:rPr>
      </w:pPr>
      <w:r>
        <w:rPr>
          <w:rFonts w:ascii="Times New Roman"/>
          <w:snapToGrid w:val="0"/>
          <w:kern w:val="21"/>
          <w:szCs w:val="21"/>
        </w:rPr>
        <w:t>注：</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hint="eastAsia" w:hAnsi="宋体" w:cs="宋体"/>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hint="eastAsia" w:hAnsi="宋体" w:cs="宋体"/>
          <w:szCs w:val="21"/>
        </w:rPr>
        <w:t>①</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3 \* GB3 \* MERGEFORMAT </w:instrText>
      </w:r>
      <w:r>
        <w:rPr>
          <w:rFonts w:ascii="Times New Roman"/>
          <w:snapToGrid w:val="0"/>
          <w:spacing w:val="-6"/>
          <w:kern w:val="21"/>
          <w:szCs w:val="21"/>
        </w:rPr>
        <w:fldChar w:fldCharType="separate"/>
      </w:r>
      <w:r>
        <w:rPr>
          <w:rFonts w:hint="eastAsia" w:hAnsi="宋体" w:cs="宋体"/>
          <w:szCs w:val="21"/>
        </w:rPr>
        <w:t>③</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4 \* GB3 \* MERGEFORMAT </w:instrText>
      </w:r>
      <w:r>
        <w:rPr>
          <w:rFonts w:ascii="Times New Roman"/>
          <w:snapToGrid w:val="0"/>
          <w:spacing w:val="-6"/>
          <w:kern w:val="21"/>
          <w:szCs w:val="21"/>
        </w:rPr>
        <w:fldChar w:fldCharType="separate"/>
      </w:r>
      <w:r>
        <w:rPr>
          <w:rFonts w:hint="eastAsia" w:hAnsi="宋体" w:cs="宋体"/>
          <w:szCs w:val="21"/>
        </w:rPr>
        <w:t>④</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5 \* GB3 \* MERGEFORMAT </w:instrText>
      </w:r>
      <w:r>
        <w:rPr>
          <w:rFonts w:ascii="Times New Roman"/>
          <w:snapToGrid w:val="0"/>
          <w:spacing w:val="-16"/>
          <w:kern w:val="21"/>
          <w:szCs w:val="21"/>
        </w:rPr>
        <w:fldChar w:fldCharType="separate"/>
      </w:r>
      <w:r>
        <w:rPr>
          <w:rFonts w:hint="eastAsia" w:hAnsi="宋体" w:cs="宋体"/>
          <w:szCs w:val="21"/>
        </w:rPr>
        <w:t>⑤</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7 \* GB3 \* MERGEFORMAT </w:instrText>
      </w:r>
      <w:r>
        <w:rPr>
          <w:rFonts w:ascii="Times New Roman"/>
          <w:snapToGrid w:val="0"/>
          <w:spacing w:val="-6"/>
          <w:kern w:val="21"/>
          <w:szCs w:val="21"/>
        </w:rPr>
        <w:fldChar w:fldCharType="separate"/>
      </w:r>
      <w:r>
        <w:rPr>
          <w:rFonts w:hint="eastAsia" w:hAnsi="宋体" w:cs="宋体"/>
          <w:szCs w:val="21"/>
        </w:rPr>
        <w:t>⑦</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hint="eastAsia" w:hAnsi="宋体" w:cs="宋体"/>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hint="eastAsia" w:hAnsi="宋体" w:cs="宋体"/>
          <w:szCs w:val="21"/>
        </w:rPr>
        <w:t>①</w:t>
      </w:r>
      <w:r>
        <w:rPr>
          <w:rFonts w:ascii="Times New Roman"/>
          <w:snapToGrid w:val="0"/>
          <w:spacing w:val="-6"/>
          <w:kern w:val="21"/>
          <w:szCs w:val="21"/>
        </w:rPr>
        <w:fldChar w:fldCharType="end"/>
      </w:r>
    </w:p>
    <w:p w14:paraId="2162DC54"/>
    <w:p w14:paraId="061C4EC8">
      <w:pPr>
        <w:pStyle w:val="26"/>
        <w:adjustRightInd w:val="0"/>
        <w:snapToGrid w:val="0"/>
        <w:spacing w:before="0" w:beforeAutospacing="0" w:after="0" w:afterAutospacing="0" w:line="360" w:lineRule="auto"/>
        <w:outlineLvl w:val="0"/>
        <w:rPr>
          <w:rFonts w:ascii="Times New Roman" w:hAnsi="Times New Roman"/>
        </w:rPr>
      </w:pPr>
    </w:p>
    <w:sectPr>
      <w:pgSz w:w="16838" w:h="11906" w:orient="landscape"/>
      <w:pgMar w:top="1440" w:right="1418" w:bottom="1440" w:left="1418"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52168376"/>
      <w:docPartObj>
        <w:docPartGallery w:val="autotext"/>
      </w:docPartObj>
    </w:sdtPr>
    <w:sdtContent>
      <w:p w14:paraId="0A750796">
        <w:pPr>
          <w:pStyle w:val="20"/>
          <w:jc w:val="cente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09468742"/>
      <w:docPartObj>
        <w:docPartGallery w:val="autotext"/>
      </w:docPartObj>
    </w:sdtPr>
    <w:sdtEndPr>
      <w:rPr>
        <w:sz w:val="21"/>
        <w:szCs w:val="22"/>
      </w:rPr>
    </w:sdtEndPr>
    <w:sdtContent>
      <w:p w14:paraId="27673E1F">
        <w:pPr>
          <w:pStyle w:val="20"/>
          <w:jc w:val="center"/>
          <w:rPr>
            <w:sz w:val="21"/>
            <w:szCs w:val="22"/>
          </w:rPr>
        </w:pPr>
        <w:r>
          <w:rPr>
            <w:rFonts w:hint="eastAsia"/>
            <w:sz w:val="21"/>
            <w:szCs w:val="22"/>
          </w:rPr>
          <w:t>第</w:t>
        </w:r>
        <w:r>
          <w:rPr>
            <w:sz w:val="21"/>
            <w:szCs w:val="22"/>
          </w:rPr>
          <w:fldChar w:fldCharType="begin"/>
        </w:r>
        <w:r>
          <w:rPr>
            <w:sz w:val="21"/>
            <w:szCs w:val="22"/>
          </w:rPr>
          <w:instrText xml:space="preserve">PAGE   \* MERGEFORMAT</w:instrText>
        </w:r>
        <w:r>
          <w:rPr>
            <w:sz w:val="21"/>
            <w:szCs w:val="22"/>
          </w:rPr>
          <w:fldChar w:fldCharType="separate"/>
        </w:r>
        <w:r>
          <w:rPr>
            <w:sz w:val="21"/>
            <w:szCs w:val="22"/>
            <w:lang w:val="zh-CN"/>
          </w:rPr>
          <w:t>18</w:t>
        </w:r>
        <w:r>
          <w:rPr>
            <w:sz w:val="21"/>
            <w:szCs w:val="22"/>
          </w:rPr>
          <w:fldChar w:fldCharType="end"/>
        </w:r>
        <w:r>
          <w:rPr>
            <w:rFonts w:hint="eastAsia"/>
            <w:sz w:val="21"/>
            <w:szCs w:val="22"/>
          </w:rPr>
          <w:t>页</w:t>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F"/>
    <w:multiLevelType w:val="singleLevel"/>
    <w:tmpl w:val="0000000F"/>
    <w:lvl w:ilvl="0" w:tentative="0">
      <w:start w:val="1"/>
      <w:numFmt w:val="decimal"/>
      <w:suff w:val="nothing"/>
      <w:lvlText w:val="附图%1  "/>
      <w:lvlJc w:val="left"/>
      <w:pPr>
        <w:tabs>
          <w:tab w:val="left" w:pos="0"/>
        </w:tabs>
        <w:ind w:left="0" w:firstLine="0"/>
      </w:pPr>
      <w:rPr>
        <w:rFonts w:hint="default" w:ascii="Times New Roman" w:hAnsi="Times New Roman" w:eastAsia="宋体" w:cs="宋体"/>
        <w:sz w:val="24"/>
      </w:rPr>
    </w:lvl>
  </w:abstractNum>
  <w:abstractNum w:abstractNumId="1">
    <w:nsid w:val="00000010"/>
    <w:multiLevelType w:val="singleLevel"/>
    <w:tmpl w:val="00000010"/>
    <w:lvl w:ilvl="0" w:tentative="0">
      <w:start w:val="1"/>
      <w:numFmt w:val="decimal"/>
      <w:suff w:val="nothing"/>
      <w:lvlText w:val="附件%1  "/>
      <w:lvlJc w:val="left"/>
      <w:pPr>
        <w:tabs>
          <w:tab w:val="left" w:pos="420"/>
        </w:tabs>
        <w:ind w:left="0" w:firstLine="0"/>
      </w:pPr>
      <w:rPr>
        <w:rFonts w:hint="default"/>
        <w:sz w:val="24"/>
      </w:rPr>
    </w:lvl>
  </w:abstractNum>
  <w:abstractNum w:abstractNumId="2">
    <w:nsid w:val="08862720"/>
    <w:multiLevelType w:val="multilevel"/>
    <w:tmpl w:val="08862720"/>
    <w:lvl w:ilvl="0" w:tentative="0">
      <w:start w:val="1"/>
      <w:numFmt w:val="decimal"/>
      <w:lvlText w:val="%1、"/>
      <w:lvlJc w:val="left"/>
      <w:pPr>
        <w:ind w:left="375" w:hanging="37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A990D3F"/>
    <w:multiLevelType w:val="multilevel"/>
    <w:tmpl w:val="1A990D3F"/>
    <w:lvl w:ilvl="0" w:tentative="0">
      <w:start w:val="1"/>
      <w:numFmt w:val="decimal"/>
      <w:lvlText w:val="表2-%1"/>
      <w:lvlJc w:val="center"/>
      <w:pPr>
        <w:ind w:left="420" w:hanging="132"/>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93AFA10"/>
    <w:multiLevelType w:val="singleLevel"/>
    <w:tmpl w:val="293AFA10"/>
    <w:lvl w:ilvl="0" w:tentative="0">
      <w:start w:val="2"/>
      <w:numFmt w:val="decimal"/>
      <w:suff w:val="nothing"/>
      <w:lvlText w:val="（%1）"/>
      <w:lvlJc w:val="left"/>
    </w:lvl>
  </w:abstractNum>
  <w:abstractNum w:abstractNumId="5">
    <w:nsid w:val="337C59B3"/>
    <w:multiLevelType w:val="multilevel"/>
    <w:tmpl w:val="337C59B3"/>
    <w:lvl w:ilvl="0" w:tentative="0">
      <w:start w:val="1"/>
      <w:numFmt w:val="decimal"/>
      <w:lvlText w:val="表3-%1"/>
      <w:lvlJc w:val="center"/>
      <w:pPr>
        <w:ind w:left="420" w:hanging="132"/>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5"/>
  </w:num>
  <w:num w:numId="5">
    <w:abstractNumId w:val="4"/>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6E54A3D"/>
    <w:rsid w:val="00001F9F"/>
    <w:rsid w:val="000024A8"/>
    <w:rsid w:val="000024FE"/>
    <w:rsid w:val="000028A8"/>
    <w:rsid w:val="000039DB"/>
    <w:rsid w:val="00005AF2"/>
    <w:rsid w:val="000062BE"/>
    <w:rsid w:val="0001241A"/>
    <w:rsid w:val="000127B0"/>
    <w:rsid w:val="00012C29"/>
    <w:rsid w:val="00012FD2"/>
    <w:rsid w:val="000148A0"/>
    <w:rsid w:val="00014E7B"/>
    <w:rsid w:val="00016BC5"/>
    <w:rsid w:val="0001748A"/>
    <w:rsid w:val="00020614"/>
    <w:rsid w:val="00021C37"/>
    <w:rsid w:val="0002231A"/>
    <w:rsid w:val="000225BD"/>
    <w:rsid w:val="00022CCC"/>
    <w:rsid w:val="00022DA3"/>
    <w:rsid w:val="00023CF1"/>
    <w:rsid w:val="00023D02"/>
    <w:rsid w:val="00024730"/>
    <w:rsid w:val="00025450"/>
    <w:rsid w:val="00025F02"/>
    <w:rsid w:val="00026319"/>
    <w:rsid w:val="0002785D"/>
    <w:rsid w:val="000310DF"/>
    <w:rsid w:val="00031348"/>
    <w:rsid w:val="000318BC"/>
    <w:rsid w:val="0003192F"/>
    <w:rsid w:val="00031A54"/>
    <w:rsid w:val="00031D0A"/>
    <w:rsid w:val="00032003"/>
    <w:rsid w:val="00032494"/>
    <w:rsid w:val="000328A0"/>
    <w:rsid w:val="000329BE"/>
    <w:rsid w:val="000329D2"/>
    <w:rsid w:val="00032C47"/>
    <w:rsid w:val="00032ECD"/>
    <w:rsid w:val="0003399B"/>
    <w:rsid w:val="000367D1"/>
    <w:rsid w:val="000373A4"/>
    <w:rsid w:val="0003769C"/>
    <w:rsid w:val="00037DB4"/>
    <w:rsid w:val="00042051"/>
    <w:rsid w:val="0004292A"/>
    <w:rsid w:val="000443E8"/>
    <w:rsid w:val="000445C5"/>
    <w:rsid w:val="00044944"/>
    <w:rsid w:val="0004585B"/>
    <w:rsid w:val="00045A66"/>
    <w:rsid w:val="00045BA5"/>
    <w:rsid w:val="000461A3"/>
    <w:rsid w:val="000462B7"/>
    <w:rsid w:val="00050860"/>
    <w:rsid w:val="00050B96"/>
    <w:rsid w:val="000513C3"/>
    <w:rsid w:val="00051459"/>
    <w:rsid w:val="000515B4"/>
    <w:rsid w:val="00052D77"/>
    <w:rsid w:val="000533CD"/>
    <w:rsid w:val="0005403B"/>
    <w:rsid w:val="000547F9"/>
    <w:rsid w:val="00054F1A"/>
    <w:rsid w:val="000550C6"/>
    <w:rsid w:val="0005544C"/>
    <w:rsid w:val="000558B4"/>
    <w:rsid w:val="000563DD"/>
    <w:rsid w:val="00057099"/>
    <w:rsid w:val="00060F10"/>
    <w:rsid w:val="00061A96"/>
    <w:rsid w:val="00061C77"/>
    <w:rsid w:val="00061F7F"/>
    <w:rsid w:val="00062A1E"/>
    <w:rsid w:val="00065589"/>
    <w:rsid w:val="00065CFF"/>
    <w:rsid w:val="0006626B"/>
    <w:rsid w:val="0006672A"/>
    <w:rsid w:val="00067168"/>
    <w:rsid w:val="0006729B"/>
    <w:rsid w:val="000730C0"/>
    <w:rsid w:val="000735EF"/>
    <w:rsid w:val="0007380F"/>
    <w:rsid w:val="0007613C"/>
    <w:rsid w:val="00076472"/>
    <w:rsid w:val="000802C5"/>
    <w:rsid w:val="00081E52"/>
    <w:rsid w:val="00082AC8"/>
    <w:rsid w:val="000844A5"/>
    <w:rsid w:val="00086640"/>
    <w:rsid w:val="00086930"/>
    <w:rsid w:val="00087B8B"/>
    <w:rsid w:val="00091AE5"/>
    <w:rsid w:val="000929A2"/>
    <w:rsid w:val="00092B18"/>
    <w:rsid w:val="00092E5B"/>
    <w:rsid w:val="00092F97"/>
    <w:rsid w:val="0009499D"/>
    <w:rsid w:val="000961F4"/>
    <w:rsid w:val="000977E9"/>
    <w:rsid w:val="000A0B96"/>
    <w:rsid w:val="000A154E"/>
    <w:rsid w:val="000A1B5E"/>
    <w:rsid w:val="000A1CCB"/>
    <w:rsid w:val="000A2128"/>
    <w:rsid w:val="000A2B8E"/>
    <w:rsid w:val="000A39B9"/>
    <w:rsid w:val="000A5151"/>
    <w:rsid w:val="000A739F"/>
    <w:rsid w:val="000B05B8"/>
    <w:rsid w:val="000B06E4"/>
    <w:rsid w:val="000B0745"/>
    <w:rsid w:val="000B116C"/>
    <w:rsid w:val="000B598B"/>
    <w:rsid w:val="000B5EC8"/>
    <w:rsid w:val="000B66C4"/>
    <w:rsid w:val="000B68E2"/>
    <w:rsid w:val="000C0170"/>
    <w:rsid w:val="000C1274"/>
    <w:rsid w:val="000C335F"/>
    <w:rsid w:val="000C37BC"/>
    <w:rsid w:val="000C389E"/>
    <w:rsid w:val="000C3D6B"/>
    <w:rsid w:val="000C67D4"/>
    <w:rsid w:val="000D0863"/>
    <w:rsid w:val="000D0A5D"/>
    <w:rsid w:val="000D0B32"/>
    <w:rsid w:val="000D175E"/>
    <w:rsid w:val="000D1FB5"/>
    <w:rsid w:val="000D3861"/>
    <w:rsid w:val="000D5261"/>
    <w:rsid w:val="000D65A7"/>
    <w:rsid w:val="000D6646"/>
    <w:rsid w:val="000E08AF"/>
    <w:rsid w:val="000E0CF7"/>
    <w:rsid w:val="000E1C23"/>
    <w:rsid w:val="000E1E77"/>
    <w:rsid w:val="000E1EB8"/>
    <w:rsid w:val="000E217E"/>
    <w:rsid w:val="000E230E"/>
    <w:rsid w:val="000E2D95"/>
    <w:rsid w:val="000E75D2"/>
    <w:rsid w:val="000F080B"/>
    <w:rsid w:val="000F169F"/>
    <w:rsid w:val="000F1C28"/>
    <w:rsid w:val="000F2F18"/>
    <w:rsid w:val="000F3176"/>
    <w:rsid w:val="000F3696"/>
    <w:rsid w:val="000F3D97"/>
    <w:rsid w:val="000F5DD8"/>
    <w:rsid w:val="000F659D"/>
    <w:rsid w:val="000F724B"/>
    <w:rsid w:val="000F7F28"/>
    <w:rsid w:val="00100930"/>
    <w:rsid w:val="0010138D"/>
    <w:rsid w:val="001014C2"/>
    <w:rsid w:val="00101B53"/>
    <w:rsid w:val="00102093"/>
    <w:rsid w:val="0010250C"/>
    <w:rsid w:val="00103EFA"/>
    <w:rsid w:val="00106167"/>
    <w:rsid w:val="00107389"/>
    <w:rsid w:val="0011035C"/>
    <w:rsid w:val="00110E4E"/>
    <w:rsid w:val="00111843"/>
    <w:rsid w:val="00112DF2"/>
    <w:rsid w:val="001151DE"/>
    <w:rsid w:val="00115480"/>
    <w:rsid w:val="0011581D"/>
    <w:rsid w:val="0011596E"/>
    <w:rsid w:val="001165A0"/>
    <w:rsid w:val="00117235"/>
    <w:rsid w:val="00117B40"/>
    <w:rsid w:val="001201B7"/>
    <w:rsid w:val="001207BE"/>
    <w:rsid w:val="00120BBE"/>
    <w:rsid w:val="001249E0"/>
    <w:rsid w:val="00124B28"/>
    <w:rsid w:val="00125BA2"/>
    <w:rsid w:val="00125C5E"/>
    <w:rsid w:val="00126A0C"/>
    <w:rsid w:val="00130A4C"/>
    <w:rsid w:val="00130A7D"/>
    <w:rsid w:val="00131ACD"/>
    <w:rsid w:val="00132E26"/>
    <w:rsid w:val="0013395B"/>
    <w:rsid w:val="00135A9F"/>
    <w:rsid w:val="00136838"/>
    <w:rsid w:val="00137080"/>
    <w:rsid w:val="00137594"/>
    <w:rsid w:val="00137FD2"/>
    <w:rsid w:val="0014006B"/>
    <w:rsid w:val="00140E51"/>
    <w:rsid w:val="00141653"/>
    <w:rsid w:val="00143E4F"/>
    <w:rsid w:val="00144ED4"/>
    <w:rsid w:val="00144FF7"/>
    <w:rsid w:val="00145EA4"/>
    <w:rsid w:val="001465EC"/>
    <w:rsid w:val="00146C3E"/>
    <w:rsid w:val="0014798A"/>
    <w:rsid w:val="00147E00"/>
    <w:rsid w:val="001502A4"/>
    <w:rsid w:val="00150D8D"/>
    <w:rsid w:val="00151DDE"/>
    <w:rsid w:val="00152D8A"/>
    <w:rsid w:val="00153F44"/>
    <w:rsid w:val="00154D2A"/>
    <w:rsid w:val="00154F10"/>
    <w:rsid w:val="0015589A"/>
    <w:rsid w:val="001563FC"/>
    <w:rsid w:val="00157B91"/>
    <w:rsid w:val="00160097"/>
    <w:rsid w:val="00160AFA"/>
    <w:rsid w:val="00161C96"/>
    <w:rsid w:val="00161DE4"/>
    <w:rsid w:val="00162B8E"/>
    <w:rsid w:val="00162C1A"/>
    <w:rsid w:val="00162CB5"/>
    <w:rsid w:val="00165599"/>
    <w:rsid w:val="0017155E"/>
    <w:rsid w:val="00171995"/>
    <w:rsid w:val="00172A7C"/>
    <w:rsid w:val="00172DEC"/>
    <w:rsid w:val="00173BA9"/>
    <w:rsid w:val="00175270"/>
    <w:rsid w:val="001763E4"/>
    <w:rsid w:val="00180181"/>
    <w:rsid w:val="00180BA2"/>
    <w:rsid w:val="0018122F"/>
    <w:rsid w:val="001815F1"/>
    <w:rsid w:val="00181A40"/>
    <w:rsid w:val="00181F72"/>
    <w:rsid w:val="001821DC"/>
    <w:rsid w:val="001827AE"/>
    <w:rsid w:val="00182B81"/>
    <w:rsid w:val="00183E6D"/>
    <w:rsid w:val="0018432B"/>
    <w:rsid w:val="001855A6"/>
    <w:rsid w:val="001857B5"/>
    <w:rsid w:val="00186AC8"/>
    <w:rsid w:val="00190F84"/>
    <w:rsid w:val="001910C2"/>
    <w:rsid w:val="00191426"/>
    <w:rsid w:val="001921F5"/>
    <w:rsid w:val="00192504"/>
    <w:rsid w:val="0019297F"/>
    <w:rsid w:val="00193CDB"/>
    <w:rsid w:val="00193E0B"/>
    <w:rsid w:val="00194269"/>
    <w:rsid w:val="0019573E"/>
    <w:rsid w:val="00195856"/>
    <w:rsid w:val="00195B73"/>
    <w:rsid w:val="001A029C"/>
    <w:rsid w:val="001A0384"/>
    <w:rsid w:val="001A0EFD"/>
    <w:rsid w:val="001A2426"/>
    <w:rsid w:val="001A3250"/>
    <w:rsid w:val="001A33D1"/>
    <w:rsid w:val="001A38AB"/>
    <w:rsid w:val="001A4483"/>
    <w:rsid w:val="001A461F"/>
    <w:rsid w:val="001A53AD"/>
    <w:rsid w:val="001A5A65"/>
    <w:rsid w:val="001A6A82"/>
    <w:rsid w:val="001A7F31"/>
    <w:rsid w:val="001B4512"/>
    <w:rsid w:val="001B57C1"/>
    <w:rsid w:val="001B5C75"/>
    <w:rsid w:val="001B647E"/>
    <w:rsid w:val="001B695B"/>
    <w:rsid w:val="001B73EC"/>
    <w:rsid w:val="001B76AA"/>
    <w:rsid w:val="001B7AC8"/>
    <w:rsid w:val="001B7E71"/>
    <w:rsid w:val="001C003F"/>
    <w:rsid w:val="001C26DE"/>
    <w:rsid w:val="001C3321"/>
    <w:rsid w:val="001C3674"/>
    <w:rsid w:val="001C3A34"/>
    <w:rsid w:val="001C4337"/>
    <w:rsid w:val="001C50FB"/>
    <w:rsid w:val="001C5668"/>
    <w:rsid w:val="001D0141"/>
    <w:rsid w:val="001D0CB4"/>
    <w:rsid w:val="001D19FF"/>
    <w:rsid w:val="001D1D88"/>
    <w:rsid w:val="001D201E"/>
    <w:rsid w:val="001D218E"/>
    <w:rsid w:val="001D2210"/>
    <w:rsid w:val="001D2625"/>
    <w:rsid w:val="001D2820"/>
    <w:rsid w:val="001D2E28"/>
    <w:rsid w:val="001D3F46"/>
    <w:rsid w:val="001D4759"/>
    <w:rsid w:val="001D50EA"/>
    <w:rsid w:val="001D73A3"/>
    <w:rsid w:val="001D7B95"/>
    <w:rsid w:val="001E10D9"/>
    <w:rsid w:val="001E12AC"/>
    <w:rsid w:val="001E236D"/>
    <w:rsid w:val="001E32BB"/>
    <w:rsid w:val="001E4B47"/>
    <w:rsid w:val="001E4B7C"/>
    <w:rsid w:val="001E4CE9"/>
    <w:rsid w:val="001E54A7"/>
    <w:rsid w:val="001E5A67"/>
    <w:rsid w:val="001F23B8"/>
    <w:rsid w:val="001F4BE3"/>
    <w:rsid w:val="001F51E9"/>
    <w:rsid w:val="001F53BF"/>
    <w:rsid w:val="001F6364"/>
    <w:rsid w:val="002002B1"/>
    <w:rsid w:val="00200846"/>
    <w:rsid w:val="00201FDC"/>
    <w:rsid w:val="0020277D"/>
    <w:rsid w:val="00202BCE"/>
    <w:rsid w:val="0020370E"/>
    <w:rsid w:val="002046A3"/>
    <w:rsid w:val="00204791"/>
    <w:rsid w:val="0020548F"/>
    <w:rsid w:val="002055C5"/>
    <w:rsid w:val="0021028F"/>
    <w:rsid w:val="00211600"/>
    <w:rsid w:val="00213056"/>
    <w:rsid w:val="0021453D"/>
    <w:rsid w:val="00215623"/>
    <w:rsid w:val="002165FE"/>
    <w:rsid w:val="002200E8"/>
    <w:rsid w:val="0022016D"/>
    <w:rsid w:val="0022096F"/>
    <w:rsid w:val="00220CF3"/>
    <w:rsid w:val="00221370"/>
    <w:rsid w:val="0022233B"/>
    <w:rsid w:val="00224070"/>
    <w:rsid w:val="0022442F"/>
    <w:rsid w:val="0022460C"/>
    <w:rsid w:val="00224A40"/>
    <w:rsid w:val="00230DCA"/>
    <w:rsid w:val="002313E6"/>
    <w:rsid w:val="00231A87"/>
    <w:rsid w:val="00232629"/>
    <w:rsid w:val="002329FD"/>
    <w:rsid w:val="002336E2"/>
    <w:rsid w:val="00233709"/>
    <w:rsid w:val="00233789"/>
    <w:rsid w:val="00234496"/>
    <w:rsid w:val="00235A85"/>
    <w:rsid w:val="0023643D"/>
    <w:rsid w:val="00237DFC"/>
    <w:rsid w:val="00243F5D"/>
    <w:rsid w:val="00244295"/>
    <w:rsid w:val="00244AA2"/>
    <w:rsid w:val="00245AA5"/>
    <w:rsid w:val="002462C4"/>
    <w:rsid w:val="002463FA"/>
    <w:rsid w:val="002472F7"/>
    <w:rsid w:val="002475BF"/>
    <w:rsid w:val="00247D7E"/>
    <w:rsid w:val="0025080D"/>
    <w:rsid w:val="002519C1"/>
    <w:rsid w:val="00251C62"/>
    <w:rsid w:val="00252363"/>
    <w:rsid w:val="00252E2E"/>
    <w:rsid w:val="00253650"/>
    <w:rsid w:val="002536B4"/>
    <w:rsid w:val="00253BC5"/>
    <w:rsid w:val="00253C5D"/>
    <w:rsid w:val="00254D5A"/>
    <w:rsid w:val="00256479"/>
    <w:rsid w:val="00257F67"/>
    <w:rsid w:val="00265402"/>
    <w:rsid w:val="0026775E"/>
    <w:rsid w:val="002705EE"/>
    <w:rsid w:val="00273D0D"/>
    <w:rsid w:val="00274407"/>
    <w:rsid w:val="002745A6"/>
    <w:rsid w:val="002748E0"/>
    <w:rsid w:val="00280602"/>
    <w:rsid w:val="002811AF"/>
    <w:rsid w:val="002811BF"/>
    <w:rsid w:val="002815C6"/>
    <w:rsid w:val="00282954"/>
    <w:rsid w:val="00282C5A"/>
    <w:rsid w:val="00284096"/>
    <w:rsid w:val="00286076"/>
    <w:rsid w:val="0028728D"/>
    <w:rsid w:val="00287D5C"/>
    <w:rsid w:val="00290234"/>
    <w:rsid w:val="002907CF"/>
    <w:rsid w:val="002911EE"/>
    <w:rsid w:val="0029205A"/>
    <w:rsid w:val="0029273A"/>
    <w:rsid w:val="00292B7D"/>
    <w:rsid w:val="00292CDF"/>
    <w:rsid w:val="002930B1"/>
    <w:rsid w:val="00293289"/>
    <w:rsid w:val="002935E4"/>
    <w:rsid w:val="0029597F"/>
    <w:rsid w:val="00295C8D"/>
    <w:rsid w:val="00296B7C"/>
    <w:rsid w:val="002974B1"/>
    <w:rsid w:val="002978D0"/>
    <w:rsid w:val="00297F48"/>
    <w:rsid w:val="00297FCE"/>
    <w:rsid w:val="002A0D52"/>
    <w:rsid w:val="002A0E1A"/>
    <w:rsid w:val="002A11C5"/>
    <w:rsid w:val="002A1ECF"/>
    <w:rsid w:val="002A1F01"/>
    <w:rsid w:val="002A2CFA"/>
    <w:rsid w:val="002A2DAA"/>
    <w:rsid w:val="002A358E"/>
    <w:rsid w:val="002A60D1"/>
    <w:rsid w:val="002A75AA"/>
    <w:rsid w:val="002A79DA"/>
    <w:rsid w:val="002B0820"/>
    <w:rsid w:val="002B09B4"/>
    <w:rsid w:val="002B0A72"/>
    <w:rsid w:val="002B2C4C"/>
    <w:rsid w:val="002B448F"/>
    <w:rsid w:val="002B5B9A"/>
    <w:rsid w:val="002B65CD"/>
    <w:rsid w:val="002B7CD7"/>
    <w:rsid w:val="002C0457"/>
    <w:rsid w:val="002C0744"/>
    <w:rsid w:val="002C0F18"/>
    <w:rsid w:val="002C2B4D"/>
    <w:rsid w:val="002C469A"/>
    <w:rsid w:val="002C5C99"/>
    <w:rsid w:val="002C5F8F"/>
    <w:rsid w:val="002C748F"/>
    <w:rsid w:val="002D0326"/>
    <w:rsid w:val="002D0E84"/>
    <w:rsid w:val="002D2B4B"/>
    <w:rsid w:val="002D2EAB"/>
    <w:rsid w:val="002D33E6"/>
    <w:rsid w:val="002D3896"/>
    <w:rsid w:val="002D5170"/>
    <w:rsid w:val="002D54AA"/>
    <w:rsid w:val="002D593C"/>
    <w:rsid w:val="002D6056"/>
    <w:rsid w:val="002D705D"/>
    <w:rsid w:val="002E0F5F"/>
    <w:rsid w:val="002E3B81"/>
    <w:rsid w:val="002E48A6"/>
    <w:rsid w:val="002E52F1"/>
    <w:rsid w:val="002E67DA"/>
    <w:rsid w:val="002E6DEE"/>
    <w:rsid w:val="002F1287"/>
    <w:rsid w:val="002F1F39"/>
    <w:rsid w:val="002F2860"/>
    <w:rsid w:val="002F2E70"/>
    <w:rsid w:val="002F3223"/>
    <w:rsid w:val="002F324E"/>
    <w:rsid w:val="002F478B"/>
    <w:rsid w:val="002F539E"/>
    <w:rsid w:val="002F5779"/>
    <w:rsid w:val="002F65BB"/>
    <w:rsid w:val="002F6F9C"/>
    <w:rsid w:val="00301009"/>
    <w:rsid w:val="003030C3"/>
    <w:rsid w:val="003031DF"/>
    <w:rsid w:val="00305764"/>
    <w:rsid w:val="00305F42"/>
    <w:rsid w:val="00306FF1"/>
    <w:rsid w:val="00307507"/>
    <w:rsid w:val="00312236"/>
    <w:rsid w:val="0031317F"/>
    <w:rsid w:val="00313AAE"/>
    <w:rsid w:val="00314EE1"/>
    <w:rsid w:val="0031523C"/>
    <w:rsid w:val="0031524E"/>
    <w:rsid w:val="003153ED"/>
    <w:rsid w:val="00316B24"/>
    <w:rsid w:val="00316EAF"/>
    <w:rsid w:val="003207BB"/>
    <w:rsid w:val="0032086A"/>
    <w:rsid w:val="00320DC3"/>
    <w:rsid w:val="003213D3"/>
    <w:rsid w:val="003217A7"/>
    <w:rsid w:val="0032283F"/>
    <w:rsid w:val="00322CF3"/>
    <w:rsid w:val="00324925"/>
    <w:rsid w:val="003304B7"/>
    <w:rsid w:val="0033185B"/>
    <w:rsid w:val="003324D5"/>
    <w:rsid w:val="00332D05"/>
    <w:rsid w:val="00332D7D"/>
    <w:rsid w:val="00333466"/>
    <w:rsid w:val="00334EC1"/>
    <w:rsid w:val="00335726"/>
    <w:rsid w:val="00335CFF"/>
    <w:rsid w:val="00335E3F"/>
    <w:rsid w:val="00335E92"/>
    <w:rsid w:val="003401BD"/>
    <w:rsid w:val="00341269"/>
    <w:rsid w:val="00343509"/>
    <w:rsid w:val="00346BA8"/>
    <w:rsid w:val="00351035"/>
    <w:rsid w:val="00351279"/>
    <w:rsid w:val="003523F3"/>
    <w:rsid w:val="00352AAC"/>
    <w:rsid w:val="00352AD5"/>
    <w:rsid w:val="00355ACF"/>
    <w:rsid w:val="00356491"/>
    <w:rsid w:val="0035716D"/>
    <w:rsid w:val="00360341"/>
    <w:rsid w:val="00360AD5"/>
    <w:rsid w:val="00360EA7"/>
    <w:rsid w:val="003617DD"/>
    <w:rsid w:val="00361C9B"/>
    <w:rsid w:val="0036204C"/>
    <w:rsid w:val="003630C1"/>
    <w:rsid w:val="0036434B"/>
    <w:rsid w:val="00364475"/>
    <w:rsid w:val="003647CB"/>
    <w:rsid w:val="0036489C"/>
    <w:rsid w:val="003657B6"/>
    <w:rsid w:val="00366BEE"/>
    <w:rsid w:val="00370E7D"/>
    <w:rsid w:val="00372386"/>
    <w:rsid w:val="00372528"/>
    <w:rsid w:val="00372B30"/>
    <w:rsid w:val="0037311A"/>
    <w:rsid w:val="00376202"/>
    <w:rsid w:val="003767A5"/>
    <w:rsid w:val="0037715B"/>
    <w:rsid w:val="00377481"/>
    <w:rsid w:val="00377626"/>
    <w:rsid w:val="003779C0"/>
    <w:rsid w:val="00377AA5"/>
    <w:rsid w:val="00377F40"/>
    <w:rsid w:val="00381887"/>
    <w:rsid w:val="003820BA"/>
    <w:rsid w:val="003822FE"/>
    <w:rsid w:val="0038253A"/>
    <w:rsid w:val="0038255D"/>
    <w:rsid w:val="00383026"/>
    <w:rsid w:val="00383D06"/>
    <w:rsid w:val="00386000"/>
    <w:rsid w:val="00386BC2"/>
    <w:rsid w:val="003878E5"/>
    <w:rsid w:val="0038795A"/>
    <w:rsid w:val="00390766"/>
    <w:rsid w:val="0039150B"/>
    <w:rsid w:val="003916F2"/>
    <w:rsid w:val="003944AD"/>
    <w:rsid w:val="0039522A"/>
    <w:rsid w:val="00395258"/>
    <w:rsid w:val="0039613B"/>
    <w:rsid w:val="0039634D"/>
    <w:rsid w:val="003A05E5"/>
    <w:rsid w:val="003A11B7"/>
    <w:rsid w:val="003A12AC"/>
    <w:rsid w:val="003A29A7"/>
    <w:rsid w:val="003A4CF8"/>
    <w:rsid w:val="003A61EB"/>
    <w:rsid w:val="003A710B"/>
    <w:rsid w:val="003A7F14"/>
    <w:rsid w:val="003B0B25"/>
    <w:rsid w:val="003B1E50"/>
    <w:rsid w:val="003B2CA5"/>
    <w:rsid w:val="003B4647"/>
    <w:rsid w:val="003B5BC6"/>
    <w:rsid w:val="003B60DC"/>
    <w:rsid w:val="003B7334"/>
    <w:rsid w:val="003C38DE"/>
    <w:rsid w:val="003C3B12"/>
    <w:rsid w:val="003C6C9B"/>
    <w:rsid w:val="003C723D"/>
    <w:rsid w:val="003C780A"/>
    <w:rsid w:val="003C7843"/>
    <w:rsid w:val="003D0B43"/>
    <w:rsid w:val="003D0EAD"/>
    <w:rsid w:val="003D11E1"/>
    <w:rsid w:val="003D1969"/>
    <w:rsid w:val="003D2996"/>
    <w:rsid w:val="003D358A"/>
    <w:rsid w:val="003D4A0C"/>
    <w:rsid w:val="003D4F73"/>
    <w:rsid w:val="003D6311"/>
    <w:rsid w:val="003D665B"/>
    <w:rsid w:val="003D7627"/>
    <w:rsid w:val="003E128B"/>
    <w:rsid w:val="003E1492"/>
    <w:rsid w:val="003E17DE"/>
    <w:rsid w:val="003E1BF0"/>
    <w:rsid w:val="003E25BC"/>
    <w:rsid w:val="003E3D8C"/>
    <w:rsid w:val="003E3E82"/>
    <w:rsid w:val="003E40E5"/>
    <w:rsid w:val="003E4900"/>
    <w:rsid w:val="003E4D55"/>
    <w:rsid w:val="003E50D1"/>
    <w:rsid w:val="003E573F"/>
    <w:rsid w:val="003E5CA5"/>
    <w:rsid w:val="003E6D7C"/>
    <w:rsid w:val="003E7AFC"/>
    <w:rsid w:val="003F1D6F"/>
    <w:rsid w:val="003F32CD"/>
    <w:rsid w:val="003F3D18"/>
    <w:rsid w:val="003F507B"/>
    <w:rsid w:val="003F571E"/>
    <w:rsid w:val="003F67F2"/>
    <w:rsid w:val="003F6965"/>
    <w:rsid w:val="003F6A77"/>
    <w:rsid w:val="003F730A"/>
    <w:rsid w:val="00400AF0"/>
    <w:rsid w:val="00401189"/>
    <w:rsid w:val="00402107"/>
    <w:rsid w:val="0040219E"/>
    <w:rsid w:val="00403341"/>
    <w:rsid w:val="00404E96"/>
    <w:rsid w:val="00405687"/>
    <w:rsid w:val="004059C6"/>
    <w:rsid w:val="00405E70"/>
    <w:rsid w:val="0040751A"/>
    <w:rsid w:val="00410379"/>
    <w:rsid w:val="0041206C"/>
    <w:rsid w:val="0041236E"/>
    <w:rsid w:val="0041312E"/>
    <w:rsid w:val="0041353B"/>
    <w:rsid w:val="00415378"/>
    <w:rsid w:val="00417A55"/>
    <w:rsid w:val="00417A6B"/>
    <w:rsid w:val="00417D1F"/>
    <w:rsid w:val="00420AD3"/>
    <w:rsid w:val="0042188A"/>
    <w:rsid w:val="00422235"/>
    <w:rsid w:val="004226ED"/>
    <w:rsid w:val="00422F0F"/>
    <w:rsid w:val="00423C6B"/>
    <w:rsid w:val="00423FCD"/>
    <w:rsid w:val="00424EC2"/>
    <w:rsid w:val="00425D8C"/>
    <w:rsid w:val="004337BB"/>
    <w:rsid w:val="00433888"/>
    <w:rsid w:val="00434231"/>
    <w:rsid w:val="00434423"/>
    <w:rsid w:val="0043469F"/>
    <w:rsid w:val="004354DB"/>
    <w:rsid w:val="0043645B"/>
    <w:rsid w:val="00436A94"/>
    <w:rsid w:val="004371EA"/>
    <w:rsid w:val="00442FD9"/>
    <w:rsid w:val="0044433B"/>
    <w:rsid w:val="00444FF9"/>
    <w:rsid w:val="00445B52"/>
    <w:rsid w:val="00445D03"/>
    <w:rsid w:val="00445D5A"/>
    <w:rsid w:val="00446EDA"/>
    <w:rsid w:val="00451D27"/>
    <w:rsid w:val="004523DD"/>
    <w:rsid w:val="004525B2"/>
    <w:rsid w:val="0045490F"/>
    <w:rsid w:val="00456990"/>
    <w:rsid w:val="004574DB"/>
    <w:rsid w:val="004579CB"/>
    <w:rsid w:val="004601A4"/>
    <w:rsid w:val="00460A5A"/>
    <w:rsid w:val="00460A99"/>
    <w:rsid w:val="00461A9D"/>
    <w:rsid w:val="00463695"/>
    <w:rsid w:val="0046406C"/>
    <w:rsid w:val="0046443E"/>
    <w:rsid w:val="0046465E"/>
    <w:rsid w:val="004659E8"/>
    <w:rsid w:val="00466AA6"/>
    <w:rsid w:val="00466F49"/>
    <w:rsid w:val="00470267"/>
    <w:rsid w:val="00470D0E"/>
    <w:rsid w:val="00474C80"/>
    <w:rsid w:val="00481C8C"/>
    <w:rsid w:val="00483C0F"/>
    <w:rsid w:val="004842C6"/>
    <w:rsid w:val="004853C2"/>
    <w:rsid w:val="00487D96"/>
    <w:rsid w:val="004905F0"/>
    <w:rsid w:val="0049183F"/>
    <w:rsid w:val="00491CC9"/>
    <w:rsid w:val="00492893"/>
    <w:rsid w:val="00493847"/>
    <w:rsid w:val="00493C91"/>
    <w:rsid w:val="00494A8F"/>
    <w:rsid w:val="0049562D"/>
    <w:rsid w:val="0049729C"/>
    <w:rsid w:val="00497D04"/>
    <w:rsid w:val="00497E0E"/>
    <w:rsid w:val="004A00D2"/>
    <w:rsid w:val="004A08D3"/>
    <w:rsid w:val="004A12C5"/>
    <w:rsid w:val="004A1A08"/>
    <w:rsid w:val="004A1FCF"/>
    <w:rsid w:val="004A323A"/>
    <w:rsid w:val="004A3E9B"/>
    <w:rsid w:val="004A4BE4"/>
    <w:rsid w:val="004A4D6E"/>
    <w:rsid w:val="004A5D28"/>
    <w:rsid w:val="004A672B"/>
    <w:rsid w:val="004A6FEC"/>
    <w:rsid w:val="004A7B28"/>
    <w:rsid w:val="004A7C17"/>
    <w:rsid w:val="004B011B"/>
    <w:rsid w:val="004B0A2B"/>
    <w:rsid w:val="004B10C5"/>
    <w:rsid w:val="004B1D0F"/>
    <w:rsid w:val="004B2203"/>
    <w:rsid w:val="004B318F"/>
    <w:rsid w:val="004B3952"/>
    <w:rsid w:val="004B5D38"/>
    <w:rsid w:val="004B65E6"/>
    <w:rsid w:val="004B750E"/>
    <w:rsid w:val="004B78CA"/>
    <w:rsid w:val="004C020F"/>
    <w:rsid w:val="004C07C7"/>
    <w:rsid w:val="004C0911"/>
    <w:rsid w:val="004C1817"/>
    <w:rsid w:val="004C2404"/>
    <w:rsid w:val="004C27A9"/>
    <w:rsid w:val="004C29D5"/>
    <w:rsid w:val="004C3468"/>
    <w:rsid w:val="004C3C90"/>
    <w:rsid w:val="004C46CF"/>
    <w:rsid w:val="004C4902"/>
    <w:rsid w:val="004C4C95"/>
    <w:rsid w:val="004C5606"/>
    <w:rsid w:val="004C59D0"/>
    <w:rsid w:val="004C5A5E"/>
    <w:rsid w:val="004C60FA"/>
    <w:rsid w:val="004C66D6"/>
    <w:rsid w:val="004C7B71"/>
    <w:rsid w:val="004C7B9B"/>
    <w:rsid w:val="004C7EE6"/>
    <w:rsid w:val="004D1573"/>
    <w:rsid w:val="004D1DF8"/>
    <w:rsid w:val="004D217D"/>
    <w:rsid w:val="004D233A"/>
    <w:rsid w:val="004D3B8D"/>
    <w:rsid w:val="004D525E"/>
    <w:rsid w:val="004D5727"/>
    <w:rsid w:val="004D6CAE"/>
    <w:rsid w:val="004D722C"/>
    <w:rsid w:val="004D78A5"/>
    <w:rsid w:val="004E0AAB"/>
    <w:rsid w:val="004E1B94"/>
    <w:rsid w:val="004E27B1"/>
    <w:rsid w:val="004E2A7A"/>
    <w:rsid w:val="004E3C99"/>
    <w:rsid w:val="004E449A"/>
    <w:rsid w:val="004E4703"/>
    <w:rsid w:val="004E4B22"/>
    <w:rsid w:val="004E5208"/>
    <w:rsid w:val="004E798B"/>
    <w:rsid w:val="004E7AA8"/>
    <w:rsid w:val="004E7C8D"/>
    <w:rsid w:val="004F0EAC"/>
    <w:rsid w:val="004F13B0"/>
    <w:rsid w:val="004F196C"/>
    <w:rsid w:val="004F1D5A"/>
    <w:rsid w:val="004F1FD4"/>
    <w:rsid w:val="004F41E1"/>
    <w:rsid w:val="004F67B3"/>
    <w:rsid w:val="004F7B4D"/>
    <w:rsid w:val="004F7E07"/>
    <w:rsid w:val="00500B4B"/>
    <w:rsid w:val="00501C92"/>
    <w:rsid w:val="00502591"/>
    <w:rsid w:val="005027D4"/>
    <w:rsid w:val="005042D9"/>
    <w:rsid w:val="00504787"/>
    <w:rsid w:val="005047E6"/>
    <w:rsid w:val="005051F8"/>
    <w:rsid w:val="00505620"/>
    <w:rsid w:val="00506D23"/>
    <w:rsid w:val="005078C6"/>
    <w:rsid w:val="00507F24"/>
    <w:rsid w:val="005105F3"/>
    <w:rsid w:val="00511E36"/>
    <w:rsid w:val="00513C99"/>
    <w:rsid w:val="00514B39"/>
    <w:rsid w:val="00514E5E"/>
    <w:rsid w:val="005151F4"/>
    <w:rsid w:val="00515D3E"/>
    <w:rsid w:val="00515DDE"/>
    <w:rsid w:val="0051615A"/>
    <w:rsid w:val="005168B2"/>
    <w:rsid w:val="00520A84"/>
    <w:rsid w:val="005214EC"/>
    <w:rsid w:val="00521E8D"/>
    <w:rsid w:val="005227C5"/>
    <w:rsid w:val="0052322A"/>
    <w:rsid w:val="0052353B"/>
    <w:rsid w:val="00523C6B"/>
    <w:rsid w:val="005258DB"/>
    <w:rsid w:val="0052593B"/>
    <w:rsid w:val="00525AF4"/>
    <w:rsid w:val="00525D29"/>
    <w:rsid w:val="00525F60"/>
    <w:rsid w:val="005265EF"/>
    <w:rsid w:val="00527140"/>
    <w:rsid w:val="00527CEB"/>
    <w:rsid w:val="0053050A"/>
    <w:rsid w:val="00530DB4"/>
    <w:rsid w:val="00530E37"/>
    <w:rsid w:val="00532039"/>
    <w:rsid w:val="00532307"/>
    <w:rsid w:val="00532327"/>
    <w:rsid w:val="005345B7"/>
    <w:rsid w:val="00534E5F"/>
    <w:rsid w:val="0053739E"/>
    <w:rsid w:val="005405A1"/>
    <w:rsid w:val="00540BBB"/>
    <w:rsid w:val="005415DE"/>
    <w:rsid w:val="00541674"/>
    <w:rsid w:val="005417DA"/>
    <w:rsid w:val="00541B2A"/>
    <w:rsid w:val="0054467F"/>
    <w:rsid w:val="00544BDB"/>
    <w:rsid w:val="00544DAA"/>
    <w:rsid w:val="00545AD3"/>
    <w:rsid w:val="00546AF4"/>
    <w:rsid w:val="00552DA0"/>
    <w:rsid w:val="00552DF4"/>
    <w:rsid w:val="00553EA2"/>
    <w:rsid w:val="00554263"/>
    <w:rsid w:val="005552BA"/>
    <w:rsid w:val="00555699"/>
    <w:rsid w:val="0055614F"/>
    <w:rsid w:val="005563C5"/>
    <w:rsid w:val="00556B3F"/>
    <w:rsid w:val="005578E4"/>
    <w:rsid w:val="00560B37"/>
    <w:rsid w:val="00561837"/>
    <w:rsid w:val="00562C23"/>
    <w:rsid w:val="00563573"/>
    <w:rsid w:val="005637DA"/>
    <w:rsid w:val="005648F6"/>
    <w:rsid w:val="00564968"/>
    <w:rsid w:val="00564BD8"/>
    <w:rsid w:val="0056532B"/>
    <w:rsid w:val="00565623"/>
    <w:rsid w:val="005661D5"/>
    <w:rsid w:val="0056730E"/>
    <w:rsid w:val="005700D6"/>
    <w:rsid w:val="00571359"/>
    <w:rsid w:val="0057144B"/>
    <w:rsid w:val="00571BDD"/>
    <w:rsid w:val="00572833"/>
    <w:rsid w:val="00573D90"/>
    <w:rsid w:val="005740E5"/>
    <w:rsid w:val="00574866"/>
    <w:rsid w:val="00575E93"/>
    <w:rsid w:val="00576927"/>
    <w:rsid w:val="00576A57"/>
    <w:rsid w:val="005806CB"/>
    <w:rsid w:val="00581D59"/>
    <w:rsid w:val="00582283"/>
    <w:rsid w:val="00582473"/>
    <w:rsid w:val="00582BD4"/>
    <w:rsid w:val="0058324B"/>
    <w:rsid w:val="0058345C"/>
    <w:rsid w:val="005849B1"/>
    <w:rsid w:val="0058515B"/>
    <w:rsid w:val="005855F1"/>
    <w:rsid w:val="00585AC6"/>
    <w:rsid w:val="00586760"/>
    <w:rsid w:val="005874B4"/>
    <w:rsid w:val="00591263"/>
    <w:rsid w:val="005929D2"/>
    <w:rsid w:val="0059349B"/>
    <w:rsid w:val="0059473C"/>
    <w:rsid w:val="0059516A"/>
    <w:rsid w:val="0059635C"/>
    <w:rsid w:val="005970BE"/>
    <w:rsid w:val="005A0E93"/>
    <w:rsid w:val="005A1CC2"/>
    <w:rsid w:val="005A1F89"/>
    <w:rsid w:val="005A2006"/>
    <w:rsid w:val="005A2B9A"/>
    <w:rsid w:val="005A54A2"/>
    <w:rsid w:val="005A5DE1"/>
    <w:rsid w:val="005A7DB0"/>
    <w:rsid w:val="005B1DBD"/>
    <w:rsid w:val="005B1ED5"/>
    <w:rsid w:val="005B32B0"/>
    <w:rsid w:val="005B3DDE"/>
    <w:rsid w:val="005B53C0"/>
    <w:rsid w:val="005B7A26"/>
    <w:rsid w:val="005C0969"/>
    <w:rsid w:val="005C1964"/>
    <w:rsid w:val="005C33F4"/>
    <w:rsid w:val="005C3F8D"/>
    <w:rsid w:val="005C42C3"/>
    <w:rsid w:val="005C5563"/>
    <w:rsid w:val="005C5A5B"/>
    <w:rsid w:val="005C5CB0"/>
    <w:rsid w:val="005C65F7"/>
    <w:rsid w:val="005C7990"/>
    <w:rsid w:val="005D0199"/>
    <w:rsid w:val="005D0FBC"/>
    <w:rsid w:val="005D182D"/>
    <w:rsid w:val="005D2FC9"/>
    <w:rsid w:val="005D35A0"/>
    <w:rsid w:val="005D4C51"/>
    <w:rsid w:val="005D689F"/>
    <w:rsid w:val="005D7540"/>
    <w:rsid w:val="005E054E"/>
    <w:rsid w:val="005E0A2C"/>
    <w:rsid w:val="005E2B55"/>
    <w:rsid w:val="005E3F27"/>
    <w:rsid w:val="005E4301"/>
    <w:rsid w:val="005E49C1"/>
    <w:rsid w:val="005E5361"/>
    <w:rsid w:val="005E58FB"/>
    <w:rsid w:val="005E5A9E"/>
    <w:rsid w:val="005E61FA"/>
    <w:rsid w:val="005E6268"/>
    <w:rsid w:val="005E709C"/>
    <w:rsid w:val="005F007A"/>
    <w:rsid w:val="005F28B6"/>
    <w:rsid w:val="005F4410"/>
    <w:rsid w:val="005F616A"/>
    <w:rsid w:val="005F773B"/>
    <w:rsid w:val="005F798A"/>
    <w:rsid w:val="00600209"/>
    <w:rsid w:val="006003A0"/>
    <w:rsid w:val="006025D9"/>
    <w:rsid w:val="006027C5"/>
    <w:rsid w:val="0060522E"/>
    <w:rsid w:val="006053A5"/>
    <w:rsid w:val="00606802"/>
    <w:rsid w:val="00607234"/>
    <w:rsid w:val="00607305"/>
    <w:rsid w:val="00610F70"/>
    <w:rsid w:val="0061270E"/>
    <w:rsid w:val="00612C2A"/>
    <w:rsid w:val="00613E10"/>
    <w:rsid w:val="00614C9E"/>
    <w:rsid w:val="00616376"/>
    <w:rsid w:val="00617A6F"/>
    <w:rsid w:val="00620AC4"/>
    <w:rsid w:val="00620D79"/>
    <w:rsid w:val="0062116F"/>
    <w:rsid w:val="00621FA5"/>
    <w:rsid w:val="0062352C"/>
    <w:rsid w:val="006237E8"/>
    <w:rsid w:val="00623E4B"/>
    <w:rsid w:val="00624169"/>
    <w:rsid w:val="006259B5"/>
    <w:rsid w:val="00627269"/>
    <w:rsid w:val="006274D8"/>
    <w:rsid w:val="00627CB8"/>
    <w:rsid w:val="00631428"/>
    <w:rsid w:val="0063162C"/>
    <w:rsid w:val="006322CF"/>
    <w:rsid w:val="0063251A"/>
    <w:rsid w:val="00633A46"/>
    <w:rsid w:val="0063553F"/>
    <w:rsid w:val="006355F4"/>
    <w:rsid w:val="00635A44"/>
    <w:rsid w:val="00635BFF"/>
    <w:rsid w:val="00636342"/>
    <w:rsid w:val="00636847"/>
    <w:rsid w:val="0064070B"/>
    <w:rsid w:val="00640AE3"/>
    <w:rsid w:val="00642288"/>
    <w:rsid w:val="00642327"/>
    <w:rsid w:val="00642B13"/>
    <w:rsid w:val="00645C75"/>
    <w:rsid w:val="00645FBB"/>
    <w:rsid w:val="00646270"/>
    <w:rsid w:val="006467CF"/>
    <w:rsid w:val="006469C0"/>
    <w:rsid w:val="00650890"/>
    <w:rsid w:val="00651113"/>
    <w:rsid w:val="0065195A"/>
    <w:rsid w:val="00652811"/>
    <w:rsid w:val="00652AE7"/>
    <w:rsid w:val="00652EEF"/>
    <w:rsid w:val="0065434D"/>
    <w:rsid w:val="00654D6F"/>
    <w:rsid w:val="0065579F"/>
    <w:rsid w:val="006564D1"/>
    <w:rsid w:val="006613C7"/>
    <w:rsid w:val="0066149D"/>
    <w:rsid w:val="0066195F"/>
    <w:rsid w:val="0066207C"/>
    <w:rsid w:val="0066359D"/>
    <w:rsid w:val="00663A22"/>
    <w:rsid w:val="0066427E"/>
    <w:rsid w:val="0066479D"/>
    <w:rsid w:val="00664DE5"/>
    <w:rsid w:val="00665A44"/>
    <w:rsid w:val="00665BEB"/>
    <w:rsid w:val="00667451"/>
    <w:rsid w:val="00670556"/>
    <w:rsid w:val="00672238"/>
    <w:rsid w:val="006722E2"/>
    <w:rsid w:val="006762DF"/>
    <w:rsid w:val="00676745"/>
    <w:rsid w:val="00677ACF"/>
    <w:rsid w:val="0068024A"/>
    <w:rsid w:val="006816D1"/>
    <w:rsid w:val="006821C5"/>
    <w:rsid w:val="00682C17"/>
    <w:rsid w:val="006836A3"/>
    <w:rsid w:val="006836B1"/>
    <w:rsid w:val="00683908"/>
    <w:rsid w:val="006846A0"/>
    <w:rsid w:val="00686203"/>
    <w:rsid w:val="00686343"/>
    <w:rsid w:val="00687C26"/>
    <w:rsid w:val="00690596"/>
    <w:rsid w:val="00690A90"/>
    <w:rsid w:val="00690EAC"/>
    <w:rsid w:val="00691CB7"/>
    <w:rsid w:val="00691F4A"/>
    <w:rsid w:val="006923F3"/>
    <w:rsid w:val="006925FB"/>
    <w:rsid w:val="00692CC1"/>
    <w:rsid w:val="006930EC"/>
    <w:rsid w:val="00697EB9"/>
    <w:rsid w:val="006A103C"/>
    <w:rsid w:val="006A131D"/>
    <w:rsid w:val="006A2112"/>
    <w:rsid w:val="006A2188"/>
    <w:rsid w:val="006A29B1"/>
    <w:rsid w:val="006A2AC7"/>
    <w:rsid w:val="006A2DD5"/>
    <w:rsid w:val="006A47AE"/>
    <w:rsid w:val="006A5650"/>
    <w:rsid w:val="006A6475"/>
    <w:rsid w:val="006A74AD"/>
    <w:rsid w:val="006A7DEF"/>
    <w:rsid w:val="006A7ED1"/>
    <w:rsid w:val="006B08A9"/>
    <w:rsid w:val="006B0B76"/>
    <w:rsid w:val="006B1644"/>
    <w:rsid w:val="006B2FCF"/>
    <w:rsid w:val="006B476E"/>
    <w:rsid w:val="006B495A"/>
    <w:rsid w:val="006B497B"/>
    <w:rsid w:val="006B5B3F"/>
    <w:rsid w:val="006B7D57"/>
    <w:rsid w:val="006C1142"/>
    <w:rsid w:val="006C1D8A"/>
    <w:rsid w:val="006C3E86"/>
    <w:rsid w:val="006C44B3"/>
    <w:rsid w:val="006D08D9"/>
    <w:rsid w:val="006D12EE"/>
    <w:rsid w:val="006D15F6"/>
    <w:rsid w:val="006D4440"/>
    <w:rsid w:val="006D486B"/>
    <w:rsid w:val="006D4DBA"/>
    <w:rsid w:val="006D4DE9"/>
    <w:rsid w:val="006D778A"/>
    <w:rsid w:val="006E11C2"/>
    <w:rsid w:val="006E2231"/>
    <w:rsid w:val="006E298F"/>
    <w:rsid w:val="006E3DA4"/>
    <w:rsid w:val="006E428E"/>
    <w:rsid w:val="006E704E"/>
    <w:rsid w:val="006E734B"/>
    <w:rsid w:val="006F01DC"/>
    <w:rsid w:val="006F1136"/>
    <w:rsid w:val="006F2151"/>
    <w:rsid w:val="006F2E69"/>
    <w:rsid w:val="006F4454"/>
    <w:rsid w:val="006F55AF"/>
    <w:rsid w:val="006F62C9"/>
    <w:rsid w:val="006F6327"/>
    <w:rsid w:val="006F6E08"/>
    <w:rsid w:val="00700A83"/>
    <w:rsid w:val="00701C76"/>
    <w:rsid w:val="00701F1D"/>
    <w:rsid w:val="00702231"/>
    <w:rsid w:val="00704C2A"/>
    <w:rsid w:val="00704ED3"/>
    <w:rsid w:val="00706DB1"/>
    <w:rsid w:val="00707072"/>
    <w:rsid w:val="007121C7"/>
    <w:rsid w:val="00712D55"/>
    <w:rsid w:val="00713260"/>
    <w:rsid w:val="0071480F"/>
    <w:rsid w:val="00714CA4"/>
    <w:rsid w:val="00715812"/>
    <w:rsid w:val="00716C61"/>
    <w:rsid w:val="00717175"/>
    <w:rsid w:val="00717898"/>
    <w:rsid w:val="00717B8E"/>
    <w:rsid w:val="00720D8E"/>
    <w:rsid w:val="00721BB9"/>
    <w:rsid w:val="00723C14"/>
    <w:rsid w:val="007255EB"/>
    <w:rsid w:val="00726B30"/>
    <w:rsid w:val="00726CF3"/>
    <w:rsid w:val="007276ED"/>
    <w:rsid w:val="00727D16"/>
    <w:rsid w:val="00730CA9"/>
    <w:rsid w:val="007342F2"/>
    <w:rsid w:val="0073477D"/>
    <w:rsid w:val="00735582"/>
    <w:rsid w:val="007363DE"/>
    <w:rsid w:val="00736AAB"/>
    <w:rsid w:val="00736C53"/>
    <w:rsid w:val="00737608"/>
    <w:rsid w:val="00737A35"/>
    <w:rsid w:val="00741042"/>
    <w:rsid w:val="00741474"/>
    <w:rsid w:val="007418C2"/>
    <w:rsid w:val="00741EA3"/>
    <w:rsid w:val="00743A17"/>
    <w:rsid w:val="00744AC1"/>
    <w:rsid w:val="007453F6"/>
    <w:rsid w:val="00745BF9"/>
    <w:rsid w:val="00746BE8"/>
    <w:rsid w:val="00746C97"/>
    <w:rsid w:val="00746D4D"/>
    <w:rsid w:val="007478D5"/>
    <w:rsid w:val="00747CBA"/>
    <w:rsid w:val="00747E3F"/>
    <w:rsid w:val="00750D1B"/>
    <w:rsid w:val="00751672"/>
    <w:rsid w:val="00751F34"/>
    <w:rsid w:val="00753473"/>
    <w:rsid w:val="0075349A"/>
    <w:rsid w:val="00754851"/>
    <w:rsid w:val="00754AF2"/>
    <w:rsid w:val="0075560E"/>
    <w:rsid w:val="00755A8C"/>
    <w:rsid w:val="00755B89"/>
    <w:rsid w:val="00755DBA"/>
    <w:rsid w:val="00756E90"/>
    <w:rsid w:val="00757071"/>
    <w:rsid w:val="007608E3"/>
    <w:rsid w:val="0076321F"/>
    <w:rsid w:val="00764163"/>
    <w:rsid w:val="00764648"/>
    <w:rsid w:val="007658FA"/>
    <w:rsid w:val="00766761"/>
    <w:rsid w:val="00772511"/>
    <w:rsid w:val="007739DB"/>
    <w:rsid w:val="00773D47"/>
    <w:rsid w:val="00774017"/>
    <w:rsid w:val="0077641E"/>
    <w:rsid w:val="00777A76"/>
    <w:rsid w:val="00780D87"/>
    <w:rsid w:val="00781E84"/>
    <w:rsid w:val="00782440"/>
    <w:rsid w:val="00782956"/>
    <w:rsid w:val="00782F99"/>
    <w:rsid w:val="0078400D"/>
    <w:rsid w:val="00784318"/>
    <w:rsid w:val="00784C13"/>
    <w:rsid w:val="007852BF"/>
    <w:rsid w:val="007856CC"/>
    <w:rsid w:val="0078631C"/>
    <w:rsid w:val="00790A10"/>
    <w:rsid w:val="00791211"/>
    <w:rsid w:val="007918ED"/>
    <w:rsid w:val="00791FEB"/>
    <w:rsid w:val="0079200A"/>
    <w:rsid w:val="00792323"/>
    <w:rsid w:val="00793515"/>
    <w:rsid w:val="007938E0"/>
    <w:rsid w:val="00793BEA"/>
    <w:rsid w:val="00793C74"/>
    <w:rsid w:val="007970A1"/>
    <w:rsid w:val="00797888"/>
    <w:rsid w:val="007A09E4"/>
    <w:rsid w:val="007A1269"/>
    <w:rsid w:val="007A1696"/>
    <w:rsid w:val="007A30DB"/>
    <w:rsid w:val="007A3A06"/>
    <w:rsid w:val="007A699D"/>
    <w:rsid w:val="007A6BF3"/>
    <w:rsid w:val="007B02DD"/>
    <w:rsid w:val="007B073B"/>
    <w:rsid w:val="007B1B5B"/>
    <w:rsid w:val="007B2365"/>
    <w:rsid w:val="007B2CA5"/>
    <w:rsid w:val="007B348C"/>
    <w:rsid w:val="007B3E23"/>
    <w:rsid w:val="007B4538"/>
    <w:rsid w:val="007B478A"/>
    <w:rsid w:val="007B61F3"/>
    <w:rsid w:val="007B6D96"/>
    <w:rsid w:val="007B6ED4"/>
    <w:rsid w:val="007B7235"/>
    <w:rsid w:val="007B75B5"/>
    <w:rsid w:val="007B77F3"/>
    <w:rsid w:val="007C099B"/>
    <w:rsid w:val="007C0AC0"/>
    <w:rsid w:val="007C23FA"/>
    <w:rsid w:val="007C2CE9"/>
    <w:rsid w:val="007C2DE2"/>
    <w:rsid w:val="007C4639"/>
    <w:rsid w:val="007C4932"/>
    <w:rsid w:val="007C5DE1"/>
    <w:rsid w:val="007D04B3"/>
    <w:rsid w:val="007D1001"/>
    <w:rsid w:val="007D14AB"/>
    <w:rsid w:val="007D215C"/>
    <w:rsid w:val="007D21F8"/>
    <w:rsid w:val="007D3FEA"/>
    <w:rsid w:val="007D497B"/>
    <w:rsid w:val="007D5278"/>
    <w:rsid w:val="007D5634"/>
    <w:rsid w:val="007D5A4B"/>
    <w:rsid w:val="007D6326"/>
    <w:rsid w:val="007D781A"/>
    <w:rsid w:val="007E09EB"/>
    <w:rsid w:val="007E0FFC"/>
    <w:rsid w:val="007E32ED"/>
    <w:rsid w:val="007E33E7"/>
    <w:rsid w:val="007E4D92"/>
    <w:rsid w:val="007E5328"/>
    <w:rsid w:val="007E7090"/>
    <w:rsid w:val="007E71A5"/>
    <w:rsid w:val="007F037A"/>
    <w:rsid w:val="007F16F9"/>
    <w:rsid w:val="007F2BAA"/>
    <w:rsid w:val="007F3199"/>
    <w:rsid w:val="007F3703"/>
    <w:rsid w:val="007F3DB7"/>
    <w:rsid w:val="007F4741"/>
    <w:rsid w:val="007F6B2A"/>
    <w:rsid w:val="007F7752"/>
    <w:rsid w:val="007F7C76"/>
    <w:rsid w:val="00800C39"/>
    <w:rsid w:val="00801736"/>
    <w:rsid w:val="008035C7"/>
    <w:rsid w:val="00804535"/>
    <w:rsid w:val="008045BC"/>
    <w:rsid w:val="00804B8A"/>
    <w:rsid w:val="00805865"/>
    <w:rsid w:val="00806514"/>
    <w:rsid w:val="0080737E"/>
    <w:rsid w:val="008075F2"/>
    <w:rsid w:val="00807657"/>
    <w:rsid w:val="00810F31"/>
    <w:rsid w:val="008120C3"/>
    <w:rsid w:val="0081280E"/>
    <w:rsid w:val="00812CFD"/>
    <w:rsid w:val="008137BA"/>
    <w:rsid w:val="008141AC"/>
    <w:rsid w:val="0081584D"/>
    <w:rsid w:val="00816950"/>
    <w:rsid w:val="008178F5"/>
    <w:rsid w:val="008210BF"/>
    <w:rsid w:val="00821174"/>
    <w:rsid w:val="00821A99"/>
    <w:rsid w:val="00821ECA"/>
    <w:rsid w:val="00821EF6"/>
    <w:rsid w:val="0082514C"/>
    <w:rsid w:val="008252F7"/>
    <w:rsid w:val="0082557C"/>
    <w:rsid w:val="00827C45"/>
    <w:rsid w:val="00830361"/>
    <w:rsid w:val="00830498"/>
    <w:rsid w:val="008318FE"/>
    <w:rsid w:val="0083279E"/>
    <w:rsid w:val="008331B6"/>
    <w:rsid w:val="00833961"/>
    <w:rsid w:val="0083762A"/>
    <w:rsid w:val="0083765B"/>
    <w:rsid w:val="0084090B"/>
    <w:rsid w:val="008411D2"/>
    <w:rsid w:val="00841B0E"/>
    <w:rsid w:val="008429D2"/>
    <w:rsid w:val="00842DA2"/>
    <w:rsid w:val="00842E49"/>
    <w:rsid w:val="00843478"/>
    <w:rsid w:val="00843B78"/>
    <w:rsid w:val="00844742"/>
    <w:rsid w:val="008455BF"/>
    <w:rsid w:val="00846463"/>
    <w:rsid w:val="00846AB9"/>
    <w:rsid w:val="00846BA1"/>
    <w:rsid w:val="00847F9E"/>
    <w:rsid w:val="00851232"/>
    <w:rsid w:val="00851B4A"/>
    <w:rsid w:val="008520CD"/>
    <w:rsid w:val="0085452D"/>
    <w:rsid w:val="00855488"/>
    <w:rsid w:val="0085643D"/>
    <w:rsid w:val="008579C7"/>
    <w:rsid w:val="008610BA"/>
    <w:rsid w:val="008624DB"/>
    <w:rsid w:val="00863568"/>
    <w:rsid w:val="0086481A"/>
    <w:rsid w:val="008648AA"/>
    <w:rsid w:val="00865FDB"/>
    <w:rsid w:val="008660CD"/>
    <w:rsid w:val="00866ADB"/>
    <w:rsid w:val="00866CF1"/>
    <w:rsid w:val="008673FC"/>
    <w:rsid w:val="008679B1"/>
    <w:rsid w:val="0087066D"/>
    <w:rsid w:val="00870B72"/>
    <w:rsid w:val="00870C0A"/>
    <w:rsid w:val="00871427"/>
    <w:rsid w:val="00873AC7"/>
    <w:rsid w:val="00873B48"/>
    <w:rsid w:val="00874358"/>
    <w:rsid w:val="00874A67"/>
    <w:rsid w:val="00875144"/>
    <w:rsid w:val="008770C8"/>
    <w:rsid w:val="00877BBC"/>
    <w:rsid w:val="00880A72"/>
    <w:rsid w:val="00881200"/>
    <w:rsid w:val="00881356"/>
    <w:rsid w:val="008817F1"/>
    <w:rsid w:val="00881ABA"/>
    <w:rsid w:val="00882AB8"/>
    <w:rsid w:val="00882AFD"/>
    <w:rsid w:val="008830FB"/>
    <w:rsid w:val="008833E7"/>
    <w:rsid w:val="0089076C"/>
    <w:rsid w:val="00891028"/>
    <w:rsid w:val="0089183C"/>
    <w:rsid w:val="00893A25"/>
    <w:rsid w:val="008949A4"/>
    <w:rsid w:val="008970DE"/>
    <w:rsid w:val="008972CE"/>
    <w:rsid w:val="0089783F"/>
    <w:rsid w:val="008A077D"/>
    <w:rsid w:val="008A0D10"/>
    <w:rsid w:val="008A237F"/>
    <w:rsid w:val="008A2AF5"/>
    <w:rsid w:val="008A3435"/>
    <w:rsid w:val="008A4C92"/>
    <w:rsid w:val="008A53D0"/>
    <w:rsid w:val="008A53FC"/>
    <w:rsid w:val="008A55D2"/>
    <w:rsid w:val="008A6017"/>
    <w:rsid w:val="008A67B3"/>
    <w:rsid w:val="008A6A5A"/>
    <w:rsid w:val="008B05C4"/>
    <w:rsid w:val="008B097E"/>
    <w:rsid w:val="008B2518"/>
    <w:rsid w:val="008B2EFA"/>
    <w:rsid w:val="008B3BD9"/>
    <w:rsid w:val="008B4437"/>
    <w:rsid w:val="008B47F7"/>
    <w:rsid w:val="008B4A0C"/>
    <w:rsid w:val="008B56AD"/>
    <w:rsid w:val="008B6935"/>
    <w:rsid w:val="008B762F"/>
    <w:rsid w:val="008B7814"/>
    <w:rsid w:val="008B7C9F"/>
    <w:rsid w:val="008C03CC"/>
    <w:rsid w:val="008C05CF"/>
    <w:rsid w:val="008C1298"/>
    <w:rsid w:val="008C137D"/>
    <w:rsid w:val="008C1D48"/>
    <w:rsid w:val="008C1F43"/>
    <w:rsid w:val="008C2B8E"/>
    <w:rsid w:val="008C3722"/>
    <w:rsid w:val="008C3914"/>
    <w:rsid w:val="008C3A54"/>
    <w:rsid w:val="008C45DD"/>
    <w:rsid w:val="008C460B"/>
    <w:rsid w:val="008C6E91"/>
    <w:rsid w:val="008D04B1"/>
    <w:rsid w:val="008D16AB"/>
    <w:rsid w:val="008D19FF"/>
    <w:rsid w:val="008D2106"/>
    <w:rsid w:val="008D3133"/>
    <w:rsid w:val="008D4B8F"/>
    <w:rsid w:val="008D4B93"/>
    <w:rsid w:val="008D5F9B"/>
    <w:rsid w:val="008D6363"/>
    <w:rsid w:val="008D6D66"/>
    <w:rsid w:val="008D6FF3"/>
    <w:rsid w:val="008D7F8A"/>
    <w:rsid w:val="008E09AA"/>
    <w:rsid w:val="008E12C8"/>
    <w:rsid w:val="008E19AD"/>
    <w:rsid w:val="008E1B41"/>
    <w:rsid w:val="008E387B"/>
    <w:rsid w:val="008E3A2A"/>
    <w:rsid w:val="008E4A1A"/>
    <w:rsid w:val="008E5B70"/>
    <w:rsid w:val="008E7984"/>
    <w:rsid w:val="008E7D11"/>
    <w:rsid w:val="008F1095"/>
    <w:rsid w:val="008F29D6"/>
    <w:rsid w:val="008F318F"/>
    <w:rsid w:val="008F3801"/>
    <w:rsid w:val="008F4E58"/>
    <w:rsid w:val="008F59E2"/>
    <w:rsid w:val="008F73F8"/>
    <w:rsid w:val="008F7540"/>
    <w:rsid w:val="008F76FE"/>
    <w:rsid w:val="008F7EE0"/>
    <w:rsid w:val="008F7FDD"/>
    <w:rsid w:val="00901808"/>
    <w:rsid w:val="00901ED0"/>
    <w:rsid w:val="00901ED5"/>
    <w:rsid w:val="009022D5"/>
    <w:rsid w:val="00903079"/>
    <w:rsid w:val="00905531"/>
    <w:rsid w:val="009060BD"/>
    <w:rsid w:val="00906300"/>
    <w:rsid w:val="009069EA"/>
    <w:rsid w:val="0090774F"/>
    <w:rsid w:val="00907830"/>
    <w:rsid w:val="009111D6"/>
    <w:rsid w:val="00911933"/>
    <w:rsid w:val="00911BBB"/>
    <w:rsid w:val="0091233E"/>
    <w:rsid w:val="00912980"/>
    <w:rsid w:val="00912E37"/>
    <w:rsid w:val="00914B32"/>
    <w:rsid w:val="00916B4D"/>
    <w:rsid w:val="009171C5"/>
    <w:rsid w:val="00917F28"/>
    <w:rsid w:val="00920C3B"/>
    <w:rsid w:val="00920D1E"/>
    <w:rsid w:val="0092107A"/>
    <w:rsid w:val="00921C49"/>
    <w:rsid w:val="00922052"/>
    <w:rsid w:val="00923111"/>
    <w:rsid w:val="00925356"/>
    <w:rsid w:val="00926D36"/>
    <w:rsid w:val="009275FF"/>
    <w:rsid w:val="0092786E"/>
    <w:rsid w:val="00930287"/>
    <w:rsid w:val="009304DF"/>
    <w:rsid w:val="009319C4"/>
    <w:rsid w:val="00931AF3"/>
    <w:rsid w:val="00931FEE"/>
    <w:rsid w:val="0093252E"/>
    <w:rsid w:val="00932682"/>
    <w:rsid w:val="00933951"/>
    <w:rsid w:val="0093447D"/>
    <w:rsid w:val="009354B4"/>
    <w:rsid w:val="00936BE7"/>
    <w:rsid w:val="00937D4F"/>
    <w:rsid w:val="00937F50"/>
    <w:rsid w:val="00941D36"/>
    <w:rsid w:val="00942DB0"/>
    <w:rsid w:val="00944152"/>
    <w:rsid w:val="00944B0A"/>
    <w:rsid w:val="0094748C"/>
    <w:rsid w:val="0095042E"/>
    <w:rsid w:val="009526EA"/>
    <w:rsid w:val="00953072"/>
    <w:rsid w:val="0095439A"/>
    <w:rsid w:val="0095449C"/>
    <w:rsid w:val="009564C1"/>
    <w:rsid w:val="0095673C"/>
    <w:rsid w:val="0095734C"/>
    <w:rsid w:val="009573AA"/>
    <w:rsid w:val="00957AE7"/>
    <w:rsid w:val="009607F5"/>
    <w:rsid w:val="00960C7F"/>
    <w:rsid w:val="00964695"/>
    <w:rsid w:val="00964B9F"/>
    <w:rsid w:val="00964D6F"/>
    <w:rsid w:val="00965807"/>
    <w:rsid w:val="00965B2C"/>
    <w:rsid w:val="0096619F"/>
    <w:rsid w:val="00966DFF"/>
    <w:rsid w:val="009671AC"/>
    <w:rsid w:val="0096778B"/>
    <w:rsid w:val="00970164"/>
    <w:rsid w:val="009705D1"/>
    <w:rsid w:val="0097071E"/>
    <w:rsid w:val="009708C1"/>
    <w:rsid w:val="00970F90"/>
    <w:rsid w:val="0097105E"/>
    <w:rsid w:val="00972497"/>
    <w:rsid w:val="00972804"/>
    <w:rsid w:val="0097315F"/>
    <w:rsid w:val="009745D0"/>
    <w:rsid w:val="009760DD"/>
    <w:rsid w:val="00977BA9"/>
    <w:rsid w:val="00981459"/>
    <w:rsid w:val="00984727"/>
    <w:rsid w:val="00984A4B"/>
    <w:rsid w:val="00985341"/>
    <w:rsid w:val="00985E59"/>
    <w:rsid w:val="0098673D"/>
    <w:rsid w:val="00987BF1"/>
    <w:rsid w:val="00987E4E"/>
    <w:rsid w:val="009903CD"/>
    <w:rsid w:val="00991159"/>
    <w:rsid w:val="00991457"/>
    <w:rsid w:val="009925E7"/>
    <w:rsid w:val="0099274D"/>
    <w:rsid w:val="00993A20"/>
    <w:rsid w:val="00993BBC"/>
    <w:rsid w:val="009945A7"/>
    <w:rsid w:val="00994C02"/>
    <w:rsid w:val="00994EDF"/>
    <w:rsid w:val="009950A5"/>
    <w:rsid w:val="00995601"/>
    <w:rsid w:val="00995D62"/>
    <w:rsid w:val="009963A9"/>
    <w:rsid w:val="00996A73"/>
    <w:rsid w:val="009A04EB"/>
    <w:rsid w:val="009A05F0"/>
    <w:rsid w:val="009A2617"/>
    <w:rsid w:val="009A2814"/>
    <w:rsid w:val="009A47F2"/>
    <w:rsid w:val="009A7760"/>
    <w:rsid w:val="009A7B55"/>
    <w:rsid w:val="009A7F39"/>
    <w:rsid w:val="009B36AC"/>
    <w:rsid w:val="009B388A"/>
    <w:rsid w:val="009B495D"/>
    <w:rsid w:val="009B53A9"/>
    <w:rsid w:val="009B57A9"/>
    <w:rsid w:val="009B6B0C"/>
    <w:rsid w:val="009B7735"/>
    <w:rsid w:val="009B7E1A"/>
    <w:rsid w:val="009C0AC3"/>
    <w:rsid w:val="009C2C8F"/>
    <w:rsid w:val="009C30D5"/>
    <w:rsid w:val="009C6D27"/>
    <w:rsid w:val="009C7414"/>
    <w:rsid w:val="009C799B"/>
    <w:rsid w:val="009D0856"/>
    <w:rsid w:val="009D1155"/>
    <w:rsid w:val="009D11DE"/>
    <w:rsid w:val="009D202A"/>
    <w:rsid w:val="009D2A27"/>
    <w:rsid w:val="009D3206"/>
    <w:rsid w:val="009D532B"/>
    <w:rsid w:val="009D60FC"/>
    <w:rsid w:val="009D64BA"/>
    <w:rsid w:val="009D6DF4"/>
    <w:rsid w:val="009D7076"/>
    <w:rsid w:val="009D78DC"/>
    <w:rsid w:val="009E2154"/>
    <w:rsid w:val="009E285A"/>
    <w:rsid w:val="009E285E"/>
    <w:rsid w:val="009E3E2B"/>
    <w:rsid w:val="009E3F04"/>
    <w:rsid w:val="009E3FB4"/>
    <w:rsid w:val="009E4991"/>
    <w:rsid w:val="009E4AED"/>
    <w:rsid w:val="009E5670"/>
    <w:rsid w:val="009E656B"/>
    <w:rsid w:val="009E69AD"/>
    <w:rsid w:val="009E6C71"/>
    <w:rsid w:val="009E753F"/>
    <w:rsid w:val="009F0E53"/>
    <w:rsid w:val="009F1A9E"/>
    <w:rsid w:val="009F239E"/>
    <w:rsid w:val="009F2794"/>
    <w:rsid w:val="009F4C46"/>
    <w:rsid w:val="009F576B"/>
    <w:rsid w:val="009F591A"/>
    <w:rsid w:val="009F5B0F"/>
    <w:rsid w:val="009F61E4"/>
    <w:rsid w:val="00A00128"/>
    <w:rsid w:val="00A0033B"/>
    <w:rsid w:val="00A00862"/>
    <w:rsid w:val="00A00FF8"/>
    <w:rsid w:val="00A016A4"/>
    <w:rsid w:val="00A01DD4"/>
    <w:rsid w:val="00A048CA"/>
    <w:rsid w:val="00A04DEE"/>
    <w:rsid w:val="00A05828"/>
    <w:rsid w:val="00A061BD"/>
    <w:rsid w:val="00A066DC"/>
    <w:rsid w:val="00A06DDE"/>
    <w:rsid w:val="00A0708D"/>
    <w:rsid w:val="00A0782C"/>
    <w:rsid w:val="00A079F2"/>
    <w:rsid w:val="00A10312"/>
    <w:rsid w:val="00A123C4"/>
    <w:rsid w:val="00A124FB"/>
    <w:rsid w:val="00A13269"/>
    <w:rsid w:val="00A148A8"/>
    <w:rsid w:val="00A15F8C"/>
    <w:rsid w:val="00A16325"/>
    <w:rsid w:val="00A1655C"/>
    <w:rsid w:val="00A17481"/>
    <w:rsid w:val="00A178F0"/>
    <w:rsid w:val="00A2032E"/>
    <w:rsid w:val="00A2166A"/>
    <w:rsid w:val="00A218BD"/>
    <w:rsid w:val="00A21C47"/>
    <w:rsid w:val="00A221BF"/>
    <w:rsid w:val="00A22454"/>
    <w:rsid w:val="00A22AB5"/>
    <w:rsid w:val="00A22B35"/>
    <w:rsid w:val="00A23481"/>
    <w:rsid w:val="00A252A5"/>
    <w:rsid w:val="00A266FB"/>
    <w:rsid w:val="00A26B25"/>
    <w:rsid w:val="00A30A0A"/>
    <w:rsid w:val="00A30CCD"/>
    <w:rsid w:val="00A31870"/>
    <w:rsid w:val="00A3292A"/>
    <w:rsid w:val="00A32C63"/>
    <w:rsid w:val="00A3309A"/>
    <w:rsid w:val="00A33757"/>
    <w:rsid w:val="00A356E2"/>
    <w:rsid w:val="00A3683F"/>
    <w:rsid w:val="00A370D0"/>
    <w:rsid w:val="00A42326"/>
    <w:rsid w:val="00A42EF0"/>
    <w:rsid w:val="00A4338B"/>
    <w:rsid w:val="00A433F2"/>
    <w:rsid w:val="00A44128"/>
    <w:rsid w:val="00A442D7"/>
    <w:rsid w:val="00A44E86"/>
    <w:rsid w:val="00A4512F"/>
    <w:rsid w:val="00A45548"/>
    <w:rsid w:val="00A457A0"/>
    <w:rsid w:val="00A45E56"/>
    <w:rsid w:val="00A46138"/>
    <w:rsid w:val="00A46551"/>
    <w:rsid w:val="00A46560"/>
    <w:rsid w:val="00A46687"/>
    <w:rsid w:val="00A46A66"/>
    <w:rsid w:val="00A503E9"/>
    <w:rsid w:val="00A50F08"/>
    <w:rsid w:val="00A514AD"/>
    <w:rsid w:val="00A51F55"/>
    <w:rsid w:val="00A54208"/>
    <w:rsid w:val="00A55038"/>
    <w:rsid w:val="00A56394"/>
    <w:rsid w:val="00A56ABB"/>
    <w:rsid w:val="00A60DAC"/>
    <w:rsid w:val="00A60E73"/>
    <w:rsid w:val="00A61751"/>
    <w:rsid w:val="00A62515"/>
    <w:rsid w:val="00A62C82"/>
    <w:rsid w:val="00A63F1B"/>
    <w:rsid w:val="00A64768"/>
    <w:rsid w:val="00A6574E"/>
    <w:rsid w:val="00A723D2"/>
    <w:rsid w:val="00A72D4D"/>
    <w:rsid w:val="00A7321B"/>
    <w:rsid w:val="00A737C0"/>
    <w:rsid w:val="00A738A9"/>
    <w:rsid w:val="00A73DDB"/>
    <w:rsid w:val="00A74113"/>
    <w:rsid w:val="00A742A1"/>
    <w:rsid w:val="00A743FC"/>
    <w:rsid w:val="00A74FBF"/>
    <w:rsid w:val="00A75408"/>
    <w:rsid w:val="00A77F06"/>
    <w:rsid w:val="00A816C1"/>
    <w:rsid w:val="00A82669"/>
    <w:rsid w:val="00A837C4"/>
    <w:rsid w:val="00A8392A"/>
    <w:rsid w:val="00A83E0E"/>
    <w:rsid w:val="00A845AD"/>
    <w:rsid w:val="00A84B7C"/>
    <w:rsid w:val="00A85E91"/>
    <w:rsid w:val="00A865D2"/>
    <w:rsid w:val="00A87727"/>
    <w:rsid w:val="00A87BAB"/>
    <w:rsid w:val="00A902C0"/>
    <w:rsid w:val="00A92A88"/>
    <w:rsid w:val="00A92DE7"/>
    <w:rsid w:val="00A92FB0"/>
    <w:rsid w:val="00A932ED"/>
    <w:rsid w:val="00A939EA"/>
    <w:rsid w:val="00A93E59"/>
    <w:rsid w:val="00A94B8D"/>
    <w:rsid w:val="00A9657C"/>
    <w:rsid w:val="00A969D6"/>
    <w:rsid w:val="00A9700A"/>
    <w:rsid w:val="00A972D0"/>
    <w:rsid w:val="00A97328"/>
    <w:rsid w:val="00A97E3D"/>
    <w:rsid w:val="00AA2CD9"/>
    <w:rsid w:val="00AA2D3F"/>
    <w:rsid w:val="00AA3EF8"/>
    <w:rsid w:val="00AA4BC8"/>
    <w:rsid w:val="00AA4EB7"/>
    <w:rsid w:val="00AA5915"/>
    <w:rsid w:val="00AA598C"/>
    <w:rsid w:val="00AA6D93"/>
    <w:rsid w:val="00AA720E"/>
    <w:rsid w:val="00AB0785"/>
    <w:rsid w:val="00AB08A7"/>
    <w:rsid w:val="00AB0EE7"/>
    <w:rsid w:val="00AB1192"/>
    <w:rsid w:val="00AB3429"/>
    <w:rsid w:val="00AB3C6E"/>
    <w:rsid w:val="00AB5478"/>
    <w:rsid w:val="00AB5DE0"/>
    <w:rsid w:val="00AB686F"/>
    <w:rsid w:val="00AB6977"/>
    <w:rsid w:val="00AB7771"/>
    <w:rsid w:val="00AC0384"/>
    <w:rsid w:val="00AC08FB"/>
    <w:rsid w:val="00AC0DE8"/>
    <w:rsid w:val="00AC192F"/>
    <w:rsid w:val="00AC228C"/>
    <w:rsid w:val="00AC35BF"/>
    <w:rsid w:val="00AC4837"/>
    <w:rsid w:val="00AC4987"/>
    <w:rsid w:val="00AC4D9E"/>
    <w:rsid w:val="00AD2019"/>
    <w:rsid w:val="00AD45D3"/>
    <w:rsid w:val="00AD4A17"/>
    <w:rsid w:val="00AD4D5A"/>
    <w:rsid w:val="00AD5372"/>
    <w:rsid w:val="00AD653B"/>
    <w:rsid w:val="00AE01A4"/>
    <w:rsid w:val="00AE0738"/>
    <w:rsid w:val="00AE1E83"/>
    <w:rsid w:val="00AE24A0"/>
    <w:rsid w:val="00AE2824"/>
    <w:rsid w:val="00AE34FC"/>
    <w:rsid w:val="00AE3846"/>
    <w:rsid w:val="00AE4590"/>
    <w:rsid w:val="00AE4EE3"/>
    <w:rsid w:val="00AE7FD4"/>
    <w:rsid w:val="00AF090B"/>
    <w:rsid w:val="00AF1163"/>
    <w:rsid w:val="00AF18FE"/>
    <w:rsid w:val="00AF2868"/>
    <w:rsid w:val="00AF47B6"/>
    <w:rsid w:val="00AF5A7C"/>
    <w:rsid w:val="00B014DE"/>
    <w:rsid w:val="00B01AC3"/>
    <w:rsid w:val="00B02635"/>
    <w:rsid w:val="00B02F42"/>
    <w:rsid w:val="00B032AB"/>
    <w:rsid w:val="00B11830"/>
    <w:rsid w:val="00B1271A"/>
    <w:rsid w:val="00B1419D"/>
    <w:rsid w:val="00B16313"/>
    <w:rsid w:val="00B171CB"/>
    <w:rsid w:val="00B1728B"/>
    <w:rsid w:val="00B202E1"/>
    <w:rsid w:val="00B22A91"/>
    <w:rsid w:val="00B24820"/>
    <w:rsid w:val="00B25613"/>
    <w:rsid w:val="00B25A9C"/>
    <w:rsid w:val="00B26795"/>
    <w:rsid w:val="00B304DA"/>
    <w:rsid w:val="00B3067B"/>
    <w:rsid w:val="00B30717"/>
    <w:rsid w:val="00B31D31"/>
    <w:rsid w:val="00B3209A"/>
    <w:rsid w:val="00B32C89"/>
    <w:rsid w:val="00B34D10"/>
    <w:rsid w:val="00B365C8"/>
    <w:rsid w:val="00B36633"/>
    <w:rsid w:val="00B3709D"/>
    <w:rsid w:val="00B37B5D"/>
    <w:rsid w:val="00B40212"/>
    <w:rsid w:val="00B40CE6"/>
    <w:rsid w:val="00B40FA0"/>
    <w:rsid w:val="00B420C2"/>
    <w:rsid w:val="00B42F14"/>
    <w:rsid w:val="00B44670"/>
    <w:rsid w:val="00B46989"/>
    <w:rsid w:val="00B473F7"/>
    <w:rsid w:val="00B5068C"/>
    <w:rsid w:val="00B51643"/>
    <w:rsid w:val="00B5178F"/>
    <w:rsid w:val="00B53ED0"/>
    <w:rsid w:val="00B5506A"/>
    <w:rsid w:val="00B551DB"/>
    <w:rsid w:val="00B554F1"/>
    <w:rsid w:val="00B55B45"/>
    <w:rsid w:val="00B56B83"/>
    <w:rsid w:val="00B56C90"/>
    <w:rsid w:val="00B60602"/>
    <w:rsid w:val="00B61C88"/>
    <w:rsid w:val="00B61D7D"/>
    <w:rsid w:val="00B63293"/>
    <w:rsid w:val="00B63D50"/>
    <w:rsid w:val="00B64918"/>
    <w:rsid w:val="00B6545D"/>
    <w:rsid w:val="00B66518"/>
    <w:rsid w:val="00B70093"/>
    <w:rsid w:val="00B70200"/>
    <w:rsid w:val="00B71CF2"/>
    <w:rsid w:val="00B736F3"/>
    <w:rsid w:val="00B74028"/>
    <w:rsid w:val="00B74B9C"/>
    <w:rsid w:val="00B76239"/>
    <w:rsid w:val="00B7656D"/>
    <w:rsid w:val="00B77653"/>
    <w:rsid w:val="00B7777B"/>
    <w:rsid w:val="00B80BFE"/>
    <w:rsid w:val="00B825AE"/>
    <w:rsid w:val="00B826B7"/>
    <w:rsid w:val="00B849F8"/>
    <w:rsid w:val="00B8604E"/>
    <w:rsid w:val="00B86A6D"/>
    <w:rsid w:val="00B86EFC"/>
    <w:rsid w:val="00B8759E"/>
    <w:rsid w:val="00B87850"/>
    <w:rsid w:val="00B905BC"/>
    <w:rsid w:val="00B9077E"/>
    <w:rsid w:val="00B90F27"/>
    <w:rsid w:val="00B91802"/>
    <w:rsid w:val="00B92693"/>
    <w:rsid w:val="00B92C99"/>
    <w:rsid w:val="00B93107"/>
    <w:rsid w:val="00B9350A"/>
    <w:rsid w:val="00B94E9A"/>
    <w:rsid w:val="00B95CC1"/>
    <w:rsid w:val="00B95E82"/>
    <w:rsid w:val="00B96278"/>
    <w:rsid w:val="00B96580"/>
    <w:rsid w:val="00B96956"/>
    <w:rsid w:val="00B969F1"/>
    <w:rsid w:val="00B9769B"/>
    <w:rsid w:val="00BA1188"/>
    <w:rsid w:val="00BA1559"/>
    <w:rsid w:val="00BA1D46"/>
    <w:rsid w:val="00BA204E"/>
    <w:rsid w:val="00BA605E"/>
    <w:rsid w:val="00BA6B68"/>
    <w:rsid w:val="00BA6EBA"/>
    <w:rsid w:val="00BA70FE"/>
    <w:rsid w:val="00BA7467"/>
    <w:rsid w:val="00BB14AA"/>
    <w:rsid w:val="00BB18CD"/>
    <w:rsid w:val="00BB2714"/>
    <w:rsid w:val="00BB3010"/>
    <w:rsid w:val="00BB400B"/>
    <w:rsid w:val="00BB52BD"/>
    <w:rsid w:val="00BB6BA6"/>
    <w:rsid w:val="00BB6FE6"/>
    <w:rsid w:val="00BB7507"/>
    <w:rsid w:val="00BB7BA6"/>
    <w:rsid w:val="00BC0B13"/>
    <w:rsid w:val="00BC1B2F"/>
    <w:rsid w:val="00BC4F45"/>
    <w:rsid w:val="00BC6552"/>
    <w:rsid w:val="00BC79A2"/>
    <w:rsid w:val="00BD03F4"/>
    <w:rsid w:val="00BD05F8"/>
    <w:rsid w:val="00BD0B69"/>
    <w:rsid w:val="00BD0BE1"/>
    <w:rsid w:val="00BD0D39"/>
    <w:rsid w:val="00BD602D"/>
    <w:rsid w:val="00BD64A4"/>
    <w:rsid w:val="00BD6D01"/>
    <w:rsid w:val="00BE032E"/>
    <w:rsid w:val="00BE0A2F"/>
    <w:rsid w:val="00BE1E93"/>
    <w:rsid w:val="00BE2BAB"/>
    <w:rsid w:val="00BE30BD"/>
    <w:rsid w:val="00BE34B7"/>
    <w:rsid w:val="00BE48D6"/>
    <w:rsid w:val="00BE4EC6"/>
    <w:rsid w:val="00BE4FFA"/>
    <w:rsid w:val="00BE54F4"/>
    <w:rsid w:val="00BE6D8C"/>
    <w:rsid w:val="00BE720B"/>
    <w:rsid w:val="00BF0141"/>
    <w:rsid w:val="00BF0541"/>
    <w:rsid w:val="00BF0B6D"/>
    <w:rsid w:val="00BF0CC1"/>
    <w:rsid w:val="00BF1361"/>
    <w:rsid w:val="00BF31E3"/>
    <w:rsid w:val="00BF451F"/>
    <w:rsid w:val="00BF67CF"/>
    <w:rsid w:val="00BF6E4F"/>
    <w:rsid w:val="00BF7AB3"/>
    <w:rsid w:val="00C000CE"/>
    <w:rsid w:val="00C01D73"/>
    <w:rsid w:val="00C020C5"/>
    <w:rsid w:val="00C03A43"/>
    <w:rsid w:val="00C04437"/>
    <w:rsid w:val="00C05932"/>
    <w:rsid w:val="00C05A60"/>
    <w:rsid w:val="00C07BAF"/>
    <w:rsid w:val="00C07CBB"/>
    <w:rsid w:val="00C07D54"/>
    <w:rsid w:val="00C07FE0"/>
    <w:rsid w:val="00C10433"/>
    <w:rsid w:val="00C105A9"/>
    <w:rsid w:val="00C11E13"/>
    <w:rsid w:val="00C126BA"/>
    <w:rsid w:val="00C144D1"/>
    <w:rsid w:val="00C153A2"/>
    <w:rsid w:val="00C15AB4"/>
    <w:rsid w:val="00C16222"/>
    <w:rsid w:val="00C1647A"/>
    <w:rsid w:val="00C1660D"/>
    <w:rsid w:val="00C16B35"/>
    <w:rsid w:val="00C16FEC"/>
    <w:rsid w:val="00C172B3"/>
    <w:rsid w:val="00C20343"/>
    <w:rsid w:val="00C20857"/>
    <w:rsid w:val="00C21090"/>
    <w:rsid w:val="00C2388A"/>
    <w:rsid w:val="00C24146"/>
    <w:rsid w:val="00C25DF8"/>
    <w:rsid w:val="00C26302"/>
    <w:rsid w:val="00C2656E"/>
    <w:rsid w:val="00C27456"/>
    <w:rsid w:val="00C27C04"/>
    <w:rsid w:val="00C31C2F"/>
    <w:rsid w:val="00C3493A"/>
    <w:rsid w:val="00C370DD"/>
    <w:rsid w:val="00C40116"/>
    <w:rsid w:val="00C40D18"/>
    <w:rsid w:val="00C43761"/>
    <w:rsid w:val="00C43A3D"/>
    <w:rsid w:val="00C43DEA"/>
    <w:rsid w:val="00C45464"/>
    <w:rsid w:val="00C45A9B"/>
    <w:rsid w:val="00C45E83"/>
    <w:rsid w:val="00C45EB7"/>
    <w:rsid w:val="00C468D2"/>
    <w:rsid w:val="00C46AE3"/>
    <w:rsid w:val="00C46E79"/>
    <w:rsid w:val="00C478EF"/>
    <w:rsid w:val="00C47BF2"/>
    <w:rsid w:val="00C52CB5"/>
    <w:rsid w:val="00C5328C"/>
    <w:rsid w:val="00C54741"/>
    <w:rsid w:val="00C56D21"/>
    <w:rsid w:val="00C61630"/>
    <w:rsid w:val="00C61A84"/>
    <w:rsid w:val="00C61AF0"/>
    <w:rsid w:val="00C625BE"/>
    <w:rsid w:val="00C650CE"/>
    <w:rsid w:val="00C65B99"/>
    <w:rsid w:val="00C662C8"/>
    <w:rsid w:val="00C671FD"/>
    <w:rsid w:val="00C72717"/>
    <w:rsid w:val="00C72ED2"/>
    <w:rsid w:val="00C731A5"/>
    <w:rsid w:val="00C74B66"/>
    <w:rsid w:val="00C750F7"/>
    <w:rsid w:val="00C77BE9"/>
    <w:rsid w:val="00C80664"/>
    <w:rsid w:val="00C80AF5"/>
    <w:rsid w:val="00C812C7"/>
    <w:rsid w:val="00C81EBC"/>
    <w:rsid w:val="00C82EAA"/>
    <w:rsid w:val="00C83848"/>
    <w:rsid w:val="00C83936"/>
    <w:rsid w:val="00C842E3"/>
    <w:rsid w:val="00C86E64"/>
    <w:rsid w:val="00C86EC4"/>
    <w:rsid w:val="00C8746F"/>
    <w:rsid w:val="00C903B9"/>
    <w:rsid w:val="00C90602"/>
    <w:rsid w:val="00C916CB"/>
    <w:rsid w:val="00C92123"/>
    <w:rsid w:val="00C92894"/>
    <w:rsid w:val="00C92F25"/>
    <w:rsid w:val="00C93CCA"/>
    <w:rsid w:val="00C93F41"/>
    <w:rsid w:val="00CA1B13"/>
    <w:rsid w:val="00CA2120"/>
    <w:rsid w:val="00CA2DE7"/>
    <w:rsid w:val="00CA4F4B"/>
    <w:rsid w:val="00CA5BBB"/>
    <w:rsid w:val="00CA6C00"/>
    <w:rsid w:val="00CA71C5"/>
    <w:rsid w:val="00CA77D0"/>
    <w:rsid w:val="00CA7DA2"/>
    <w:rsid w:val="00CA7E54"/>
    <w:rsid w:val="00CB009D"/>
    <w:rsid w:val="00CB0165"/>
    <w:rsid w:val="00CB0854"/>
    <w:rsid w:val="00CB1E75"/>
    <w:rsid w:val="00CB2995"/>
    <w:rsid w:val="00CB3C6E"/>
    <w:rsid w:val="00CB4487"/>
    <w:rsid w:val="00CB4C52"/>
    <w:rsid w:val="00CB5F67"/>
    <w:rsid w:val="00CC3660"/>
    <w:rsid w:val="00CC3D03"/>
    <w:rsid w:val="00CC55FB"/>
    <w:rsid w:val="00CC5C1D"/>
    <w:rsid w:val="00CC7EB2"/>
    <w:rsid w:val="00CD1EFA"/>
    <w:rsid w:val="00CD265E"/>
    <w:rsid w:val="00CD40E0"/>
    <w:rsid w:val="00CD5F16"/>
    <w:rsid w:val="00CD6045"/>
    <w:rsid w:val="00CD62B3"/>
    <w:rsid w:val="00CD725C"/>
    <w:rsid w:val="00CD72F9"/>
    <w:rsid w:val="00CE3A36"/>
    <w:rsid w:val="00CE42A3"/>
    <w:rsid w:val="00CE47E7"/>
    <w:rsid w:val="00CE48A7"/>
    <w:rsid w:val="00CE493B"/>
    <w:rsid w:val="00CE4B10"/>
    <w:rsid w:val="00CF1016"/>
    <w:rsid w:val="00CF275D"/>
    <w:rsid w:val="00CF34D6"/>
    <w:rsid w:val="00CF5BF1"/>
    <w:rsid w:val="00CF61B5"/>
    <w:rsid w:val="00CF63C7"/>
    <w:rsid w:val="00CF6806"/>
    <w:rsid w:val="00CF7570"/>
    <w:rsid w:val="00CF7BC3"/>
    <w:rsid w:val="00D03965"/>
    <w:rsid w:val="00D047AB"/>
    <w:rsid w:val="00D04AD8"/>
    <w:rsid w:val="00D0511E"/>
    <w:rsid w:val="00D0559D"/>
    <w:rsid w:val="00D059F1"/>
    <w:rsid w:val="00D05DA1"/>
    <w:rsid w:val="00D07EFC"/>
    <w:rsid w:val="00D109A1"/>
    <w:rsid w:val="00D11FA5"/>
    <w:rsid w:val="00D138AA"/>
    <w:rsid w:val="00D14BF4"/>
    <w:rsid w:val="00D15B18"/>
    <w:rsid w:val="00D1642B"/>
    <w:rsid w:val="00D20819"/>
    <w:rsid w:val="00D20E4E"/>
    <w:rsid w:val="00D21947"/>
    <w:rsid w:val="00D2333D"/>
    <w:rsid w:val="00D238B5"/>
    <w:rsid w:val="00D258AF"/>
    <w:rsid w:val="00D31E4D"/>
    <w:rsid w:val="00D3265B"/>
    <w:rsid w:val="00D334F1"/>
    <w:rsid w:val="00D33D37"/>
    <w:rsid w:val="00D3428E"/>
    <w:rsid w:val="00D37CD5"/>
    <w:rsid w:val="00D37F44"/>
    <w:rsid w:val="00D400E7"/>
    <w:rsid w:val="00D40E27"/>
    <w:rsid w:val="00D42249"/>
    <w:rsid w:val="00D43660"/>
    <w:rsid w:val="00D442CD"/>
    <w:rsid w:val="00D455CA"/>
    <w:rsid w:val="00D46259"/>
    <w:rsid w:val="00D46BE5"/>
    <w:rsid w:val="00D47643"/>
    <w:rsid w:val="00D47A83"/>
    <w:rsid w:val="00D503B3"/>
    <w:rsid w:val="00D50DA7"/>
    <w:rsid w:val="00D51858"/>
    <w:rsid w:val="00D53037"/>
    <w:rsid w:val="00D54952"/>
    <w:rsid w:val="00D54B69"/>
    <w:rsid w:val="00D55335"/>
    <w:rsid w:val="00D55CB0"/>
    <w:rsid w:val="00D60651"/>
    <w:rsid w:val="00D612C6"/>
    <w:rsid w:val="00D612E8"/>
    <w:rsid w:val="00D614A0"/>
    <w:rsid w:val="00D633DC"/>
    <w:rsid w:val="00D63940"/>
    <w:rsid w:val="00D63A33"/>
    <w:rsid w:val="00D64E8B"/>
    <w:rsid w:val="00D65258"/>
    <w:rsid w:val="00D6569A"/>
    <w:rsid w:val="00D66CE2"/>
    <w:rsid w:val="00D679EA"/>
    <w:rsid w:val="00D67C55"/>
    <w:rsid w:val="00D71BD3"/>
    <w:rsid w:val="00D722F0"/>
    <w:rsid w:val="00D73BF6"/>
    <w:rsid w:val="00D73FDE"/>
    <w:rsid w:val="00D74735"/>
    <w:rsid w:val="00D74879"/>
    <w:rsid w:val="00D74B00"/>
    <w:rsid w:val="00D7568C"/>
    <w:rsid w:val="00D75CF6"/>
    <w:rsid w:val="00D76231"/>
    <w:rsid w:val="00D77299"/>
    <w:rsid w:val="00D779B6"/>
    <w:rsid w:val="00D802F5"/>
    <w:rsid w:val="00D809CC"/>
    <w:rsid w:val="00D8136B"/>
    <w:rsid w:val="00D81856"/>
    <w:rsid w:val="00D82701"/>
    <w:rsid w:val="00D83A51"/>
    <w:rsid w:val="00D8418A"/>
    <w:rsid w:val="00D86019"/>
    <w:rsid w:val="00D87501"/>
    <w:rsid w:val="00D9042A"/>
    <w:rsid w:val="00D91B7D"/>
    <w:rsid w:val="00D9225D"/>
    <w:rsid w:val="00D92493"/>
    <w:rsid w:val="00D925E6"/>
    <w:rsid w:val="00D92980"/>
    <w:rsid w:val="00D94051"/>
    <w:rsid w:val="00D95300"/>
    <w:rsid w:val="00D964C6"/>
    <w:rsid w:val="00D965AF"/>
    <w:rsid w:val="00D96AA6"/>
    <w:rsid w:val="00DA0912"/>
    <w:rsid w:val="00DA0D03"/>
    <w:rsid w:val="00DA1D01"/>
    <w:rsid w:val="00DA30A8"/>
    <w:rsid w:val="00DA4DF4"/>
    <w:rsid w:val="00DA5CE3"/>
    <w:rsid w:val="00DA738B"/>
    <w:rsid w:val="00DB0864"/>
    <w:rsid w:val="00DB16C8"/>
    <w:rsid w:val="00DB20B7"/>
    <w:rsid w:val="00DB25DE"/>
    <w:rsid w:val="00DB3A4E"/>
    <w:rsid w:val="00DB41D1"/>
    <w:rsid w:val="00DB44BC"/>
    <w:rsid w:val="00DB487D"/>
    <w:rsid w:val="00DB4948"/>
    <w:rsid w:val="00DB55DE"/>
    <w:rsid w:val="00DC0F21"/>
    <w:rsid w:val="00DC11E3"/>
    <w:rsid w:val="00DC2977"/>
    <w:rsid w:val="00DC51D9"/>
    <w:rsid w:val="00DC547F"/>
    <w:rsid w:val="00DC79FE"/>
    <w:rsid w:val="00DC7A1C"/>
    <w:rsid w:val="00DD04FB"/>
    <w:rsid w:val="00DD06AE"/>
    <w:rsid w:val="00DD072D"/>
    <w:rsid w:val="00DD094C"/>
    <w:rsid w:val="00DD3D17"/>
    <w:rsid w:val="00DD3E85"/>
    <w:rsid w:val="00DD41D2"/>
    <w:rsid w:val="00DD511C"/>
    <w:rsid w:val="00DD51DA"/>
    <w:rsid w:val="00DD6FC9"/>
    <w:rsid w:val="00DE198F"/>
    <w:rsid w:val="00DE418D"/>
    <w:rsid w:val="00DE5D6C"/>
    <w:rsid w:val="00DE5E5A"/>
    <w:rsid w:val="00DE6C71"/>
    <w:rsid w:val="00DF0BAB"/>
    <w:rsid w:val="00DF1041"/>
    <w:rsid w:val="00DF1CB4"/>
    <w:rsid w:val="00DF20C5"/>
    <w:rsid w:val="00DF2598"/>
    <w:rsid w:val="00DF2793"/>
    <w:rsid w:val="00DF2C3E"/>
    <w:rsid w:val="00DF2D66"/>
    <w:rsid w:val="00DF50D9"/>
    <w:rsid w:val="00DF51E9"/>
    <w:rsid w:val="00DF57B0"/>
    <w:rsid w:val="00DF6750"/>
    <w:rsid w:val="00DF6F1E"/>
    <w:rsid w:val="00DF6F71"/>
    <w:rsid w:val="00DF704A"/>
    <w:rsid w:val="00DF76F2"/>
    <w:rsid w:val="00DF7A90"/>
    <w:rsid w:val="00DF7DD4"/>
    <w:rsid w:val="00E006EB"/>
    <w:rsid w:val="00E00726"/>
    <w:rsid w:val="00E00C01"/>
    <w:rsid w:val="00E01C12"/>
    <w:rsid w:val="00E02245"/>
    <w:rsid w:val="00E02288"/>
    <w:rsid w:val="00E03302"/>
    <w:rsid w:val="00E03946"/>
    <w:rsid w:val="00E03BEA"/>
    <w:rsid w:val="00E043AE"/>
    <w:rsid w:val="00E04472"/>
    <w:rsid w:val="00E04913"/>
    <w:rsid w:val="00E04BA3"/>
    <w:rsid w:val="00E05851"/>
    <w:rsid w:val="00E05CD8"/>
    <w:rsid w:val="00E06586"/>
    <w:rsid w:val="00E06932"/>
    <w:rsid w:val="00E07EA2"/>
    <w:rsid w:val="00E102C7"/>
    <w:rsid w:val="00E10393"/>
    <w:rsid w:val="00E1217B"/>
    <w:rsid w:val="00E1262C"/>
    <w:rsid w:val="00E12E5E"/>
    <w:rsid w:val="00E13311"/>
    <w:rsid w:val="00E13B71"/>
    <w:rsid w:val="00E1490A"/>
    <w:rsid w:val="00E16F0E"/>
    <w:rsid w:val="00E1728C"/>
    <w:rsid w:val="00E17E81"/>
    <w:rsid w:val="00E20465"/>
    <w:rsid w:val="00E20478"/>
    <w:rsid w:val="00E20FBA"/>
    <w:rsid w:val="00E21C64"/>
    <w:rsid w:val="00E21F97"/>
    <w:rsid w:val="00E220C9"/>
    <w:rsid w:val="00E225A7"/>
    <w:rsid w:val="00E227E0"/>
    <w:rsid w:val="00E22B64"/>
    <w:rsid w:val="00E22CD5"/>
    <w:rsid w:val="00E233DA"/>
    <w:rsid w:val="00E25DC5"/>
    <w:rsid w:val="00E26165"/>
    <w:rsid w:val="00E26D2D"/>
    <w:rsid w:val="00E27129"/>
    <w:rsid w:val="00E27841"/>
    <w:rsid w:val="00E30CD7"/>
    <w:rsid w:val="00E331F0"/>
    <w:rsid w:val="00E35677"/>
    <w:rsid w:val="00E35D3B"/>
    <w:rsid w:val="00E3628C"/>
    <w:rsid w:val="00E36BD2"/>
    <w:rsid w:val="00E36DE4"/>
    <w:rsid w:val="00E37159"/>
    <w:rsid w:val="00E37345"/>
    <w:rsid w:val="00E41B7A"/>
    <w:rsid w:val="00E428A5"/>
    <w:rsid w:val="00E429F9"/>
    <w:rsid w:val="00E43926"/>
    <w:rsid w:val="00E44AC2"/>
    <w:rsid w:val="00E452DF"/>
    <w:rsid w:val="00E501C4"/>
    <w:rsid w:val="00E5158F"/>
    <w:rsid w:val="00E519A0"/>
    <w:rsid w:val="00E52765"/>
    <w:rsid w:val="00E5277F"/>
    <w:rsid w:val="00E54A4B"/>
    <w:rsid w:val="00E563F7"/>
    <w:rsid w:val="00E5678D"/>
    <w:rsid w:val="00E56E1A"/>
    <w:rsid w:val="00E6179E"/>
    <w:rsid w:val="00E626D1"/>
    <w:rsid w:val="00E62FD5"/>
    <w:rsid w:val="00E659BB"/>
    <w:rsid w:val="00E65ED7"/>
    <w:rsid w:val="00E66CDA"/>
    <w:rsid w:val="00E67F63"/>
    <w:rsid w:val="00E713DC"/>
    <w:rsid w:val="00E73C8C"/>
    <w:rsid w:val="00E73C97"/>
    <w:rsid w:val="00E741FC"/>
    <w:rsid w:val="00E7474E"/>
    <w:rsid w:val="00E75901"/>
    <w:rsid w:val="00E77142"/>
    <w:rsid w:val="00E77A26"/>
    <w:rsid w:val="00E77E47"/>
    <w:rsid w:val="00E77F82"/>
    <w:rsid w:val="00E80A51"/>
    <w:rsid w:val="00E80DA3"/>
    <w:rsid w:val="00E822EA"/>
    <w:rsid w:val="00E82E3C"/>
    <w:rsid w:val="00E8474C"/>
    <w:rsid w:val="00E8730A"/>
    <w:rsid w:val="00E87E0D"/>
    <w:rsid w:val="00E87F6D"/>
    <w:rsid w:val="00E90E5F"/>
    <w:rsid w:val="00E9118E"/>
    <w:rsid w:val="00E9233C"/>
    <w:rsid w:val="00E93A89"/>
    <w:rsid w:val="00E93E88"/>
    <w:rsid w:val="00E9511A"/>
    <w:rsid w:val="00E95951"/>
    <w:rsid w:val="00E967B0"/>
    <w:rsid w:val="00E96986"/>
    <w:rsid w:val="00E96BC0"/>
    <w:rsid w:val="00EA2438"/>
    <w:rsid w:val="00EA2579"/>
    <w:rsid w:val="00EA2962"/>
    <w:rsid w:val="00EA4CB3"/>
    <w:rsid w:val="00EA5136"/>
    <w:rsid w:val="00EA7D7B"/>
    <w:rsid w:val="00EB010A"/>
    <w:rsid w:val="00EB06DF"/>
    <w:rsid w:val="00EB1677"/>
    <w:rsid w:val="00EB18B9"/>
    <w:rsid w:val="00EB1ABE"/>
    <w:rsid w:val="00EB3CF9"/>
    <w:rsid w:val="00EB4749"/>
    <w:rsid w:val="00EB5FBD"/>
    <w:rsid w:val="00EB6FBE"/>
    <w:rsid w:val="00EB7007"/>
    <w:rsid w:val="00EB7455"/>
    <w:rsid w:val="00EB7E1F"/>
    <w:rsid w:val="00EC0899"/>
    <w:rsid w:val="00EC1490"/>
    <w:rsid w:val="00EC1739"/>
    <w:rsid w:val="00EC2A4C"/>
    <w:rsid w:val="00EC4234"/>
    <w:rsid w:val="00EC5DFE"/>
    <w:rsid w:val="00ED0882"/>
    <w:rsid w:val="00ED08A1"/>
    <w:rsid w:val="00ED4906"/>
    <w:rsid w:val="00ED545F"/>
    <w:rsid w:val="00ED5F60"/>
    <w:rsid w:val="00ED7C5E"/>
    <w:rsid w:val="00EE1B1B"/>
    <w:rsid w:val="00EE2681"/>
    <w:rsid w:val="00EE37A2"/>
    <w:rsid w:val="00EE541D"/>
    <w:rsid w:val="00EE54B4"/>
    <w:rsid w:val="00EE70AC"/>
    <w:rsid w:val="00EE7559"/>
    <w:rsid w:val="00EF01D1"/>
    <w:rsid w:val="00EF0A3D"/>
    <w:rsid w:val="00EF0F1A"/>
    <w:rsid w:val="00EF2346"/>
    <w:rsid w:val="00EF27B9"/>
    <w:rsid w:val="00EF29AC"/>
    <w:rsid w:val="00EF32AC"/>
    <w:rsid w:val="00EF383D"/>
    <w:rsid w:val="00EF38FB"/>
    <w:rsid w:val="00EF78BA"/>
    <w:rsid w:val="00F000B9"/>
    <w:rsid w:val="00F013C9"/>
    <w:rsid w:val="00F039DB"/>
    <w:rsid w:val="00F03D99"/>
    <w:rsid w:val="00F03F31"/>
    <w:rsid w:val="00F03F4A"/>
    <w:rsid w:val="00F05A3C"/>
    <w:rsid w:val="00F05DB0"/>
    <w:rsid w:val="00F06252"/>
    <w:rsid w:val="00F06E18"/>
    <w:rsid w:val="00F128F1"/>
    <w:rsid w:val="00F13F72"/>
    <w:rsid w:val="00F14480"/>
    <w:rsid w:val="00F1520A"/>
    <w:rsid w:val="00F165DF"/>
    <w:rsid w:val="00F172B9"/>
    <w:rsid w:val="00F1732D"/>
    <w:rsid w:val="00F17453"/>
    <w:rsid w:val="00F177AE"/>
    <w:rsid w:val="00F178F1"/>
    <w:rsid w:val="00F17FA9"/>
    <w:rsid w:val="00F202FC"/>
    <w:rsid w:val="00F209B0"/>
    <w:rsid w:val="00F2262E"/>
    <w:rsid w:val="00F22C8A"/>
    <w:rsid w:val="00F238DE"/>
    <w:rsid w:val="00F2407E"/>
    <w:rsid w:val="00F244A9"/>
    <w:rsid w:val="00F2453E"/>
    <w:rsid w:val="00F24A4F"/>
    <w:rsid w:val="00F24E84"/>
    <w:rsid w:val="00F256D4"/>
    <w:rsid w:val="00F30197"/>
    <w:rsid w:val="00F32346"/>
    <w:rsid w:val="00F343BE"/>
    <w:rsid w:val="00F35FBF"/>
    <w:rsid w:val="00F37F5C"/>
    <w:rsid w:val="00F41721"/>
    <w:rsid w:val="00F4298B"/>
    <w:rsid w:val="00F43121"/>
    <w:rsid w:val="00F435FD"/>
    <w:rsid w:val="00F43AA0"/>
    <w:rsid w:val="00F44657"/>
    <w:rsid w:val="00F44BC9"/>
    <w:rsid w:val="00F44ED7"/>
    <w:rsid w:val="00F45FDC"/>
    <w:rsid w:val="00F50B22"/>
    <w:rsid w:val="00F511B0"/>
    <w:rsid w:val="00F52B3F"/>
    <w:rsid w:val="00F53732"/>
    <w:rsid w:val="00F539B9"/>
    <w:rsid w:val="00F54B09"/>
    <w:rsid w:val="00F557D8"/>
    <w:rsid w:val="00F5681D"/>
    <w:rsid w:val="00F57F9E"/>
    <w:rsid w:val="00F60069"/>
    <w:rsid w:val="00F606DA"/>
    <w:rsid w:val="00F62C0E"/>
    <w:rsid w:val="00F63176"/>
    <w:rsid w:val="00F63693"/>
    <w:rsid w:val="00F63876"/>
    <w:rsid w:val="00F63884"/>
    <w:rsid w:val="00F638B2"/>
    <w:rsid w:val="00F64D54"/>
    <w:rsid w:val="00F65335"/>
    <w:rsid w:val="00F654F5"/>
    <w:rsid w:val="00F65EC1"/>
    <w:rsid w:val="00F670DE"/>
    <w:rsid w:val="00F71C40"/>
    <w:rsid w:val="00F72720"/>
    <w:rsid w:val="00F728F5"/>
    <w:rsid w:val="00F72ED3"/>
    <w:rsid w:val="00F732B7"/>
    <w:rsid w:val="00F73343"/>
    <w:rsid w:val="00F74E59"/>
    <w:rsid w:val="00F75B43"/>
    <w:rsid w:val="00F76BE5"/>
    <w:rsid w:val="00F76E1C"/>
    <w:rsid w:val="00F775E5"/>
    <w:rsid w:val="00F8046E"/>
    <w:rsid w:val="00F8056A"/>
    <w:rsid w:val="00F81CB6"/>
    <w:rsid w:val="00F81E38"/>
    <w:rsid w:val="00F842ED"/>
    <w:rsid w:val="00F843D9"/>
    <w:rsid w:val="00F84780"/>
    <w:rsid w:val="00F85ABC"/>
    <w:rsid w:val="00F85F21"/>
    <w:rsid w:val="00F868F8"/>
    <w:rsid w:val="00F9048D"/>
    <w:rsid w:val="00F91318"/>
    <w:rsid w:val="00F91FD8"/>
    <w:rsid w:val="00F9392D"/>
    <w:rsid w:val="00F94424"/>
    <w:rsid w:val="00F946C5"/>
    <w:rsid w:val="00F94D6F"/>
    <w:rsid w:val="00F963D4"/>
    <w:rsid w:val="00F96D5A"/>
    <w:rsid w:val="00F96E78"/>
    <w:rsid w:val="00FA07AC"/>
    <w:rsid w:val="00FA1BD3"/>
    <w:rsid w:val="00FA1D73"/>
    <w:rsid w:val="00FA4D1D"/>
    <w:rsid w:val="00FA5364"/>
    <w:rsid w:val="00FA5447"/>
    <w:rsid w:val="00FA5867"/>
    <w:rsid w:val="00FA5BE9"/>
    <w:rsid w:val="00FA692A"/>
    <w:rsid w:val="00FA6E95"/>
    <w:rsid w:val="00FA6F2D"/>
    <w:rsid w:val="00FA7821"/>
    <w:rsid w:val="00FB1D4F"/>
    <w:rsid w:val="00FB28D6"/>
    <w:rsid w:val="00FB2D26"/>
    <w:rsid w:val="00FB3796"/>
    <w:rsid w:val="00FB3FD5"/>
    <w:rsid w:val="00FB5472"/>
    <w:rsid w:val="00FB604F"/>
    <w:rsid w:val="00FB61B6"/>
    <w:rsid w:val="00FC106F"/>
    <w:rsid w:val="00FC33EE"/>
    <w:rsid w:val="00FC3849"/>
    <w:rsid w:val="00FC55F2"/>
    <w:rsid w:val="00FC5957"/>
    <w:rsid w:val="00FC7009"/>
    <w:rsid w:val="00FC7F39"/>
    <w:rsid w:val="00FD0227"/>
    <w:rsid w:val="00FD0A88"/>
    <w:rsid w:val="00FD0ABB"/>
    <w:rsid w:val="00FD0DA0"/>
    <w:rsid w:val="00FD1906"/>
    <w:rsid w:val="00FD1B4F"/>
    <w:rsid w:val="00FD2779"/>
    <w:rsid w:val="00FD2CA0"/>
    <w:rsid w:val="00FD30AC"/>
    <w:rsid w:val="00FD517A"/>
    <w:rsid w:val="00FD546A"/>
    <w:rsid w:val="00FD5963"/>
    <w:rsid w:val="00FD5C0B"/>
    <w:rsid w:val="00FD7086"/>
    <w:rsid w:val="00FE42C6"/>
    <w:rsid w:val="00FE4A75"/>
    <w:rsid w:val="00FE5D7F"/>
    <w:rsid w:val="00FE7D15"/>
    <w:rsid w:val="00FF26E8"/>
    <w:rsid w:val="00FF3160"/>
    <w:rsid w:val="00FF5900"/>
    <w:rsid w:val="024D73D6"/>
    <w:rsid w:val="03CB66F9"/>
    <w:rsid w:val="05100F97"/>
    <w:rsid w:val="051D70CE"/>
    <w:rsid w:val="05634787"/>
    <w:rsid w:val="06160849"/>
    <w:rsid w:val="062324EB"/>
    <w:rsid w:val="06EA3392"/>
    <w:rsid w:val="06EA4749"/>
    <w:rsid w:val="09D15E1A"/>
    <w:rsid w:val="0A1B7495"/>
    <w:rsid w:val="0A2E7345"/>
    <w:rsid w:val="0A4525DD"/>
    <w:rsid w:val="0C3D1023"/>
    <w:rsid w:val="0C91664A"/>
    <w:rsid w:val="0CFE33FD"/>
    <w:rsid w:val="0F92113A"/>
    <w:rsid w:val="0FD92EA0"/>
    <w:rsid w:val="110404C0"/>
    <w:rsid w:val="112836E2"/>
    <w:rsid w:val="11BA2F46"/>
    <w:rsid w:val="1215239A"/>
    <w:rsid w:val="126D0CF9"/>
    <w:rsid w:val="13765FAF"/>
    <w:rsid w:val="143023AD"/>
    <w:rsid w:val="15CE0081"/>
    <w:rsid w:val="162F2654"/>
    <w:rsid w:val="173C534B"/>
    <w:rsid w:val="18703AAE"/>
    <w:rsid w:val="18BB5CC8"/>
    <w:rsid w:val="19046121"/>
    <w:rsid w:val="19956D8C"/>
    <w:rsid w:val="1A880FB2"/>
    <w:rsid w:val="1AB76F1C"/>
    <w:rsid w:val="1B5F292F"/>
    <w:rsid w:val="1EB52F05"/>
    <w:rsid w:val="1EB73B68"/>
    <w:rsid w:val="1ED41988"/>
    <w:rsid w:val="1EF77BD8"/>
    <w:rsid w:val="1F7F0325"/>
    <w:rsid w:val="1FD572DD"/>
    <w:rsid w:val="21DC018A"/>
    <w:rsid w:val="23347D36"/>
    <w:rsid w:val="25165E7C"/>
    <w:rsid w:val="25204394"/>
    <w:rsid w:val="26A53EE1"/>
    <w:rsid w:val="27175325"/>
    <w:rsid w:val="276849E3"/>
    <w:rsid w:val="282C77FC"/>
    <w:rsid w:val="28E675FC"/>
    <w:rsid w:val="299131D4"/>
    <w:rsid w:val="299501D6"/>
    <w:rsid w:val="2B3677B7"/>
    <w:rsid w:val="2C471AC0"/>
    <w:rsid w:val="2C7274C8"/>
    <w:rsid w:val="2C7664CD"/>
    <w:rsid w:val="2DE40AAD"/>
    <w:rsid w:val="2E870878"/>
    <w:rsid w:val="2F267730"/>
    <w:rsid w:val="300530C5"/>
    <w:rsid w:val="305F55E2"/>
    <w:rsid w:val="30F30DC4"/>
    <w:rsid w:val="342E1739"/>
    <w:rsid w:val="36104325"/>
    <w:rsid w:val="36E54A3D"/>
    <w:rsid w:val="36E661F9"/>
    <w:rsid w:val="37416EE9"/>
    <w:rsid w:val="38510BD3"/>
    <w:rsid w:val="39992256"/>
    <w:rsid w:val="39AE7E1A"/>
    <w:rsid w:val="39BF3DBA"/>
    <w:rsid w:val="3A884120"/>
    <w:rsid w:val="3A9C7A0B"/>
    <w:rsid w:val="3C2262CB"/>
    <w:rsid w:val="3C7603F0"/>
    <w:rsid w:val="3DDE4F93"/>
    <w:rsid w:val="3DFD37C2"/>
    <w:rsid w:val="3EAE5AB6"/>
    <w:rsid w:val="3ED36819"/>
    <w:rsid w:val="3EE440E8"/>
    <w:rsid w:val="3F5D3851"/>
    <w:rsid w:val="408419C2"/>
    <w:rsid w:val="42216818"/>
    <w:rsid w:val="42D226D4"/>
    <w:rsid w:val="44BF6C3C"/>
    <w:rsid w:val="44D7704C"/>
    <w:rsid w:val="457023B9"/>
    <w:rsid w:val="4722458B"/>
    <w:rsid w:val="47F02B38"/>
    <w:rsid w:val="480C43FE"/>
    <w:rsid w:val="48320F47"/>
    <w:rsid w:val="4A652BFF"/>
    <w:rsid w:val="4C467C1D"/>
    <w:rsid w:val="4CDB2EA9"/>
    <w:rsid w:val="4D922FEC"/>
    <w:rsid w:val="4E0D70DD"/>
    <w:rsid w:val="4F23763C"/>
    <w:rsid w:val="4F3813C5"/>
    <w:rsid w:val="50C05A8B"/>
    <w:rsid w:val="524C2268"/>
    <w:rsid w:val="53AF7813"/>
    <w:rsid w:val="5410223E"/>
    <w:rsid w:val="54CB40F5"/>
    <w:rsid w:val="553E08A0"/>
    <w:rsid w:val="58934FE8"/>
    <w:rsid w:val="5A5E3F84"/>
    <w:rsid w:val="5AD05272"/>
    <w:rsid w:val="5BC14C33"/>
    <w:rsid w:val="5D6A0F6D"/>
    <w:rsid w:val="5DA05E17"/>
    <w:rsid w:val="5DA753E3"/>
    <w:rsid w:val="5EB245ED"/>
    <w:rsid w:val="5ECA3D39"/>
    <w:rsid w:val="615B256D"/>
    <w:rsid w:val="61735C61"/>
    <w:rsid w:val="62536749"/>
    <w:rsid w:val="640E45C0"/>
    <w:rsid w:val="64CE30C3"/>
    <w:rsid w:val="6547727B"/>
    <w:rsid w:val="659F6FA4"/>
    <w:rsid w:val="66313D1A"/>
    <w:rsid w:val="6709439D"/>
    <w:rsid w:val="67C250AA"/>
    <w:rsid w:val="6AFC24B5"/>
    <w:rsid w:val="6B4D45C8"/>
    <w:rsid w:val="6B9802BE"/>
    <w:rsid w:val="6C0F6218"/>
    <w:rsid w:val="6CD24860"/>
    <w:rsid w:val="6DCF03BB"/>
    <w:rsid w:val="701946BA"/>
    <w:rsid w:val="70DF6A2E"/>
    <w:rsid w:val="7113426A"/>
    <w:rsid w:val="71F342E7"/>
    <w:rsid w:val="72C3514B"/>
    <w:rsid w:val="73495049"/>
    <w:rsid w:val="734C17D6"/>
    <w:rsid w:val="73C80512"/>
    <w:rsid w:val="74CA3E53"/>
    <w:rsid w:val="77CE239B"/>
    <w:rsid w:val="7890429B"/>
    <w:rsid w:val="79712F7A"/>
    <w:rsid w:val="79CE14C0"/>
    <w:rsid w:val="7B552B56"/>
    <w:rsid w:val="7B7B79E9"/>
    <w:rsid w:val="7B993875"/>
    <w:rsid w:val="7BC159DC"/>
    <w:rsid w:val="7D6412D7"/>
    <w:rsid w:val="7E0005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87"/>
    <w:qFormat/>
    <w:uiPriority w:val="0"/>
    <w:pPr>
      <w:keepNext/>
      <w:keepLines/>
      <w:spacing w:before="340" w:after="330" w:line="578" w:lineRule="auto"/>
      <w:outlineLvl w:val="0"/>
    </w:pPr>
    <w:rPr>
      <w:b/>
      <w:bCs/>
      <w:kern w:val="44"/>
      <w:sz w:val="44"/>
      <w:szCs w:val="44"/>
    </w:rPr>
  </w:style>
  <w:style w:type="paragraph" w:styleId="6">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7">
    <w:name w:val="heading 3"/>
    <w:basedOn w:val="1"/>
    <w:next w:val="1"/>
    <w:link w:val="77"/>
    <w:unhideWhenUsed/>
    <w:qFormat/>
    <w:uiPriority w:val="0"/>
    <w:pPr>
      <w:keepNext/>
      <w:keepLines/>
      <w:spacing w:line="360" w:lineRule="auto"/>
      <w:jc w:val="left"/>
      <w:outlineLvl w:val="2"/>
    </w:pPr>
    <w:rPr>
      <w:rFonts w:ascii="Calibri" w:hAnsi="Calibri"/>
      <w:b/>
    </w:rPr>
  </w:style>
  <w:style w:type="character" w:default="1" w:styleId="31">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customStyle="1" w:styleId="2">
    <w:name w:val="Default"/>
    <w:basedOn w:val="3"/>
    <w:next w:val="4"/>
    <w:qFormat/>
    <w:uiPriority w:val="0"/>
    <w:pPr>
      <w:autoSpaceDE w:val="0"/>
      <w:autoSpaceDN w:val="0"/>
    </w:pPr>
    <w:rPr>
      <w:rFonts w:ascii="Times New Roman" w:hAnsi="Times New Roman"/>
      <w:color w:val="000000"/>
      <w:sz w:val="24"/>
      <w:szCs w:val="24"/>
    </w:rPr>
  </w:style>
  <w:style w:type="paragraph" w:customStyle="1" w:styleId="3">
    <w:name w:val="纯文本1"/>
    <w:basedOn w:val="1"/>
    <w:qFormat/>
    <w:uiPriority w:val="0"/>
    <w:pPr>
      <w:adjustRightInd w:val="0"/>
    </w:pPr>
    <w:rPr>
      <w:rFonts w:ascii="宋体" w:hAnsi="Courier New"/>
      <w:szCs w:val="20"/>
    </w:rPr>
  </w:style>
  <w:style w:type="paragraph" w:customStyle="1" w:styleId="4">
    <w:name w:val="1正文段落"/>
    <w:basedOn w:val="1"/>
    <w:qFormat/>
    <w:uiPriority w:val="0"/>
    <w:pPr>
      <w:spacing w:line="360" w:lineRule="auto"/>
      <w:ind w:firstLine="480" w:firstLineChars="200"/>
      <w:jc w:val="left"/>
    </w:pPr>
    <w:rPr>
      <w:kern w:val="0"/>
      <w:sz w:val="24"/>
      <w:szCs w:val="22"/>
    </w:rPr>
  </w:style>
  <w:style w:type="paragraph" w:styleId="8">
    <w:name w:val="List 3"/>
    <w:basedOn w:val="1"/>
    <w:next w:val="1"/>
    <w:qFormat/>
    <w:uiPriority w:val="0"/>
    <w:pPr>
      <w:autoSpaceDE w:val="0"/>
      <w:autoSpaceDN w:val="0"/>
      <w:adjustRightInd w:val="0"/>
      <w:spacing w:line="288" w:lineRule="auto"/>
      <w:ind w:left="1260" w:hanging="420"/>
      <w:jc w:val="left"/>
      <w:textAlignment w:val="baseline"/>
    </w:pPr>
    <w:rPr>
      <w:kern w:val="0"/>
      <w:sz w:val="24"/>
      <w:szCs w:val="20"/>
    </w:rPr>
  </w:style>
  <w:style w:type="paragraph" w:styleId="9">
    <w:name w:val="Normal Indent"/>
    <w:basedOn w:val="1"/>
    <w:qFormat/>
    <w:uiPriority w:val="0"/>
    <w:pPr>
      <w:adjustRightInd w:val="0"/>
      <w:spacing w:line="312" w:lineRule="atLeast"/>
      <w:ind w:firstLine="420"/>
      <w:textAlignment w:val="baseline"/>
    </w:pPr>
  </w:style>
  <w:style w:type="paragraph" w:styleId="10">
    <w:name w:val="caption"/>
    <w:basedOn w:val="1"/>
    <w:next w:val="1"/>
    <w:qFormat/>
    <w:uiPriority w:val="35"/>
    <w:pPr>
      <w:jc w:val="center"/>
    </w:pPr>
    <w:rPr>
      <w:rFonts w:ascii="Cambria" w:hAnsi="Cambria"/>
      <w:b/>
      <w:sz w:val="24"/>
      <w:szCs w:val="20"/>
    </w:rPr>
  </w:style>
  <w:style w:type="paragraph" w:styleId="11">
    <w:name w:val="annotation text"/>
    <w:basedOn w:val="1"/>
    <w:link w:val="58"/>
    <w:qFormat/>
    <w:uiPriority w:val="0"/>
    <w:pPr>
      <w:jc w:val="left"/>
    </w:pPr>
    <w:rPr>
      <w:kern w:val="0"/>
      <w:sz w:val="24"/>
      <w:szCs w:val="20"/>
    </w:rPr>
  </w:style>
  <w:style w:type="paragraph" w:styleId="12">
    <w:name w:val="Body Text"/>
    <w:basedOn w:val="1"/>
    <w:link w:val="50"/>
    <w:qFormat/>
    <w:uiPriority w:val="0"/>
    <w:pPr>
      <w:widowControl/>
      <w:snapToGrid w:val="0"/>
      <w:spacing w:before="60" w:after="160" w:line="259" w:lineRule="auto"/>
      <w:ind w:right="113"/>
    </w:pPr>
    <w:rPr>
      <w:kern w:val="0"/>
      <w:sz w:val="18"/>
      <w:szCs w:val="20"/>
    </w:rPr>
  </w:style>
  <w:style w:type="paragraph" w:styleId="13">
    <w:name w:val="Body Text Indent"/>
    <w:basedOn w:val="1"/>
    <w:next w:val="14"/>
    <w:qFormat/>
    <w:uiPriority w:val="0"/>
    <w:pPr>
      <w:spacing w:after="120"/>
      <w:ind w:left="420" w:leftChars="200"/>
    </w:pPr>
    <w:rPr>
      <w:kern w:val="0"/>
      <w:sz w:val="24"/>
      <w:szCs w:val="20"/>
    </w:rPr>
  </w:style>
  <w:style w:type="paragraph" w:styleId="14">
    <w:name w:val="envelope return"/>
    <w:basedOn w:val="1"/>
    <w:unhideWhenUsed/>
    <w:qFormat/>
    <w:uiPriority w:val="99"/>
    <w:pPr>
      <w:snapToGrid w:val="0"/>
    </w:pPr>
    <w:rPr>
      <w:rFonts w:ascii="Arial" w:hAnsi="Arial"/>
    </w:rPr>
  </w:style>
  <w:style w:type="paragraph" w:styleId="15">
    <w:name w:val="Plain Text"/>
    <w:basedOn w:val="1"/>
    <w:link w:val="78"/>
    <w:unhideWhenUsed/>
    <w:qFormat/>
    <w:uiPriority w:val="99"/>
    <w:rPr>
      <w:rFonts w:ascii="宋体" w:hAnsi="Courier New" w:cs="Courier New"/>
      <w:szCs w:val="21"/>
    </w:rPr>
  </w:style>
  <w:style w:type="paragraph" w:styleId="16">
    <w:name w:val="List Bullet 5"/>
    <w:basedOn w:val="1"/>
    <w:qFormat/>
    <w:uiPriority w:val="0"/>
    <w:pPr>
      <w:tabs>
        <w:tab w:val="left" w:pos="2040"/>
      </w:tabs>
      <w:ind w:left="420" w:hanging="132"/>
    </w:pPr>
  </w:style>
  <w:style w:type="paragraph" w:styleId="17">
    <w:name w:val="Body Text Indent 2"/>
    <w:basedOn w:val="1"/>
    <w:next w:val="18"/>
    <w:link w:val="85"/>
    <w:unhideWhenUsed/>
    <w:qFormat/>
    <w:uiPriority w:val="99"/>
    <w:pPr>
      <w:spacing w:after="120" w:line="480" w:lineRule="auto"/>
      <w:ind w:left="420" w:leftChars="200"/>
    </w:pPr>
  </w:style>
  <w:style w:type="paragraph" w:styleId="18">
    <w:name w:val="Body Text First Indent 2"/>
    <w:basedOn w:val="13"/>
    <w:next w:val="1"/>
    <w:link w:val="68"/>
    <w:qFormat/>
    <w:uiPriority w:val="0"/>
    <w:pPr>
      <w:ind w:firstLine="420"/>
    </w:pPr>
  </w:style>
  <w:style w:type="paragraph" w:styleId="19">
    <w:name w:val="Balloon Text"/>
    <w:basedOn w:val="1"/>
    <w:link w:val="64"/>
    <w:qFormat/>
    <w:uiPriority w:val="0"/>
    <w:rPr>
      <w:sz w:val="18"/>
      <w:szCs w:val="18"/>
    </w:rPr>
  </w:style>
  <w:style w:type="paragraph" w:styleId="20">
    <w:name w:val="footer"/>
    <w:basedOn w:val="1"/>
    <w:link w:val="61"/>
    <w:qFormat/>
    <w:uiPriority w:val="99"/>
    <w:pPr>
      <w:tabs>
        <w:tab w:val="center" w:pos="4153"/>
        <w:tab w:val="right" w:pos="8306"/>
      </w:tabs>
      <w:snapToGrid w:val="0"/>
      <w:jc w:val="left"/>
    </w:pPr>
    <w:rPr>
      <w:kern w:val="0"/>
      <w:sz w:val="18"/>
      <w:szCs w:val="20"/>
    </w:rPr>
  </w:style>
  <w:style w:type="paragraph" w:styleId="21">
    <w:name w:val="header"/>
    <w:basedOn w:val="1"/>
    <w:next w:val="22"/>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22">
    <w:name w:val="样式5"/>
    <w:basedOn w:val="23"/>
    <w:autoRedefine/>
    <w:qFormat/>
    <w:uiPriority w:val="0"/>
    <w:pPr>
      <w:tabs>
        <w:tab w:val="left" w:pos="360"/>
        <w:tab w:val="left" w:pos="567"/>
      </w:tabs>
    </w:pPr>
  </w:style>
  <w:style w:type="paragraph" w:customStyle="1" w:styleId="23">
    <w:name w:val="正文1"/>
    <w:basedOn w:val="9"/>
    <w:qFormat/>
    <w:uiPriority w:val="0"/>
    <w:pPr>
      <w:jc w:val="center"/>
    </w:pPr>
    <w:rPr>
      <w:rFonts w:ascii="Calibri" w:hAnsi="Calibri"/>
      <w:szCs w:val="21"/>
    </w:rPr>
  </w:style>
  <w:style w:type="paragraph" w:styleId="24">
    <w:name w:val="Body Text 2"/>
    <w:basedOn w:val="1"/>
    <w:next w:val="1"/>
    <w:link w:val="63"/>
    <w:qFormat/>
    <w:uiPriority w:val="0"/>
    <w:rPr>
      <w:sz w:val="28"/>
    </w:rPr>
  </w:style>
  <w:style w:type="paragraph" w:styleId="25">
    <w:name w:val="HTML Preformatted"/>
    <w:basedOn w:val="1"/>
    <w:link w:val="5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26">
    <w:name w:val="Normal (Web)"/>
    <w:basedOn w:val="1"/>
    <w:qFormat/>
    <w:uiPriority w:val="99"/>
    <w:pPr>
      <w:widowControl/>
      <w:spacing w:before="100" w:beforeAutospacing="1" w:after="100" w:afterAutospacing="1"/>
      <w:jc w:val="left"/>
    </w:pPr>
    <w:rPr>
      <w:rFonts w:ascii="宋体" w:hAnsi="宋体"/>
      <w:kern w:val="0"/>
      <w:sz w:val="24"/>
      <w:szCs w:val="20"/>
    </w:rPr>
  </w:style>
  <w:style w:type="paragraph" w:styleId="27">
    <w:name w:val="annotation subject"/>
    <w:basedOn w:val="11"/>
    <w:next w:val="11"/>
    <w:link w:val="69"/>
    <w:qFormat/>
    <w:uiPriority w:val="0"/>
    <w:rPr>
      <w:b/>
      <w:bCs/>
      <w:kern w:val="2"/>
      <w:sz w:val="21"/>
      <w:szCs w:val="24"/>
    </w:rPr>
  </w:style>
  <w:style w:type="table" w:styleId="29">
    <w:name w:val="Table Grid"/>
    <w:basedOn w:val="28"/>
    <w:qFormat/>
    <w:uiPriority w:val="0"/>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style>
  <w:style w:type="table" w:styleId="30">
    <w:name w:val="Table Grid 5"/>
    <w:basedOn w:val="28"/>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vAlign w:val="center"/>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character" w:styleId="32">
    <w:name w:val="Strong"/>
    <w:qFormat/>
    <w:uiPriority w:val="0"/>
    <w:rPr>
      <w:b/>
      <w:bCs/>
    </w:rPr>
  </w:style>
  <w:style w:type="character" w:styleId="33">
    <w:name w:val="page number"/>
    <w:basedOn w:val="31"/>
    <w:qFormat/>
    <w:uiPriority w:val="0"/>
  </w:style>
  <w:style w:type="character" w:styleId="34">
    <w:name w:val="Hyperlink"/>
    <w:basedOn w:val="31"/>
    <w:unhideWhenUsed/>
    <w:qFormat/>
    <w:uiPriority w:val="99"/>
    <w:rPr>
      <w:color w:val="0000FF"/>
      <w:u w:val="single"/>
    </w:rPr>
  </w:style>
  <w:style w:type="character" w:styleId="35">
    <w:name w:val="annotation reference"/>
    <w:qFormat/>
    <w:uiPriority w:val="0"/>
    <w:rPr>
      <w:sz w:val="21"/>
    </w:rPr>
  </w:style>
  <w:style w:type="paragraph" w:customStyle="1" w:styleId="36">
    <w:name w:val="表格内容"/>
    <w:basedOn w:val="37"/>
    <w:next w:val="1"/>
    <w:qFormat/>
    <w:uiPriority w:val="0"/>
    <w:pPr>
      <w:spacing w:line="240" w:lineRule="atLeast"/>
    </w:pPr>
    <w:rPr>
      <w:rFonts w:eastAsia="宋体"/>
      <w:sz w:val="21"/>
    </w:rPr>
  </w:style>
  <w:style w:type="paragraph" w:customStyle="1" w:styleId="37">
    <w:name w:val="表格标题"/>
    <w:basedOn w:val="1"/>
    <w:next w:val="1"/>
    <w:qFormat/>
    <w:uiPriority w:val="0"/>
    <w:pPr>
      <w:spacing w:line="360" w:lineRule="auto"/>
      <w:jc w:val="center"/>
    </w:pPr>
    <w:rPr>
      <w:rFonts w:eastAsia="黑体"/>
      <w:sz w:val="24"/>
      <w:szCs w:val="20"/>
    </w:rPr>
  </w:style>
  <w:style w:type="paragraph" w:customStyle="1" w:styleId="38">
    <w:name w:val="Default1"/>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9">
    <w:name w:val="正文 + 仿宋_GB2312"/>
    <w:basedOn w:val="1"/>
    <w:qFormat/>
    <w:uiPriority w:val="99"/>
    <w:pPr>
      <w:ind w:firstLine="480" w:firstLineChars="200"/>
    </w:pPr>
    <w:rPr>
      <w:rFonts w:ascii="仿宋_GB2312" w:hAnsi="Calibri" w:eastAsia="仿宋_GB2312"/>
      <w:sz w:val="24"/>
    </w:rPr>
  </w:style>
  <w:style w:type="paragraph" w:customStyle="1" w:styleId="40">
    <w:name w:val="胡正文"/>
    <w:basedOn w:val="1"/>
    <w:qFormat/>
    <w:uiPriority w:val="0"/>
    <w:pPr>
      <w:spacing w:line="360" w:lineRule="auto"/>
      <w:ind w:firstLine="200" w:firstLineChars="200"/>
      <w:jc w:val="left"/>
    </w:pPr>
    <w:rPr>
      <w:rFonts w:ascii="宋体" w:hAnsi="宋体"/>
      <w:sz w:val="24"/>
      <w:szCs w:val="28"/>
    </w:rPr>
  </w:style>
  <w:style w:type="paragraph" w:customStyle="1" w:styleId="41">
    <w:name w:val="24磅正文"/>
    <w:basedOn w:val="1"/>
    <w:qFormat/>
    <w:uiPriority w:val="0"/>
    <w:pPr>
      <w:spacing w:line="480" w:lineRule="exact"/>
      <w:ind w:firstLine="480" w:firstLineChars="200"/>
    </w:pPr>
  </w:style>
  <w:style w:type="paragraph" w:customStyle="1" w:styleId="42">
    <w:name w:val="文字"/>
    <w:basedOn w:val="1"/>
    <w:qFormat/>
    <w:uiPriority w:val="0"/>
    <w:pPr>
      <w:spacing w:line="360" w:lineRule="auto"/>
    </w:pPr>
  </w:style>
  <w:style w:type="paragraph" w:customStyle="1" w:styleId="43">
    <w:name w:val="图、表标题"/>
    <w:basedOn w:val="1"/>
    <w:qFormat/>
    <w:uiPriority w:val="0"/>
    <w:pPr>
      <w:jc w:val="center"/>
    </w:pPr>
    <w:rPr>
      <w:b/>
    </w:rPr>
  </w:style>
  <w:style w:type="paragraph" w:customStyle="1" w:styleId="44">
    <w:name w:val="表格"/>
    <w:basedOn w:val="1"/>
    <w:next w:val="1"/>
    <w:link w:val="56"/>
    <w:qFormat/>
    <w:uiPriority w:val="0"/>
    <w:pPr>
      <w:adjustRightInd w:val="0"/>
      <w:snapToGrid w:val="0"/>
      <w:spacing w:beforeLines="10" w:afterLines="10" w:line="259" w:lineRule="auto"/>
      <w:jc w:val="center"/>
    </w:pPr>
    <w:rPr>
      <w:rFonts w:ascii="宋体"/>
      <w:kern w:val="0"/>
      <w:szCs w:val="20"/>
    </w:rPr>
  </w:style>
  <w:style w:type="paragraph" w:customStyle="1" w:styleId="45">
    <w:name w:val="报告表正文"/>
    <w:basedOn w:val="1"/>
    <w:qFormat/>
    <w:uiPriority w:val="0"/>
    <w:pPr>
      <w:ind w:firstLine="640" w:firstLineChars="200"/>
    </w:pPr>
  </w:style>
  <w:style w:type="paragraph" w:customStyle="1" w:styleId="46">
    <w:name w:val="Table Paragraph"/>
    <w:basedOn w:val="1"/>
    <w:qFormat/>
    <w:uiPriority w:val="1"/>
    <w:rPr>
      <w:rFonts w:ascii="宋体" w:hAnsi="宋体" w:cs="宋体"/>
      <w:lang w:val="zh-CN" w:bidi="zh-CN"/>
    </w:rPr>
  </w:style>
  <w:style w:type="character" w:customStyle="1" w:styleId="47">
    <w:name w:val="NormalCharacter"/>
    <w:link w:val="48"/>
    <w:qFormat/>
    <w:uiPriority w:val="0"/>
    <w:rPr>
      <w:rFonts w:ascii="宋体" w:hAnsi="宋体" w:eastAsia="宋体"/>
      <w:kern w:val="2"/>
      <w:sz w:val="24"/>
      <w:szCs w:val="24"/>
      <w:lang w:val="en-US" w:eastAsia="zh-CN" w:bidi="ar-SA"/>
    </w:rPr>
  </w:style>
  <w:style w:type="paragraph" w:customStyle="1" w:styleId="48">
    <w:name w:val="UserStyle_12"/>
    <w:basedOn w:val="1"/>
    <w:link w:val="47"/>
    <w:qFormat/>
    <w:uiPriority w:val="0"/>
    <w:pPr>
      <w:spacing w:after="50" w:line="360" w:lineRule="auto"/>
      <w:ind w:firstLine="200" w:firstLineChars="200"/>
      <w:textAlignment w:val="baseline"/>
    </w:pPr>
    <w:rPr>
      <w:rFonts w:ascii="宋体" w:hAnsi="宋体"/>
      <w:sz w:val="24"/>
    </w:rPr>
  </w:style>
  <w:style w:type="paragraph" w:customStyle="1" w:styleId="49">
    <w:name w:val="表内容"/>
    <w:basedOn w:val="41"/>
    <w:next w:val="1"/>
    <w:qFormat/>
    <w:uiPriority w:val="0"/>
    <w:pPr>
      <w:spacing w:line="360" w:lineRule="exact"/>
      <w:ind w:firstLine="0" w:firstLineChars="0"/>
      <w:jc w:val="center"/>
    </w:pPr>
    <w:rPr>
      <w:szCs w:val="21"/>
    </w:rPr>
  </w:style>
  <w:style w:type="character" w:customStyle="1" w:styleId="50">
    <w:name w:val="正文文本 字符"/>
    <w:link w:val="12"/>
    <w:qFormat/>
    <w:locked/>
    <w:uiPriority w:val="0"/>
    <w:rPr>
      <w:sz w:val="18"/>
    </w:rPr>
  </w:style>
  <w:style w:type="character" w:customStyle="1" w:styleId="51">
    <w:name w:val="HTML 预设格式 字符"/>
    <w:basedOn w:val="31"/>
    <w:link w:val="25"/>
    <w:qFormat/>
    <w:uiPriority w:val="0"/>
    <w:rPr>
      <w:rFonts w:ascii="宋体" w:hAnsi="宋体"/>
      <w:sz w:val="24"/>
      <w:szCs w:val="24"/>
    </w:rPr>
  </w:style>
  <w:style w:type="paragraph" w:customStyle="1" w:styleId="52">
    <w:name w:val="4表头、图头格式"/>
    <w:basedOn w:val="1"/>
    <w:qFormat/>
    <w:uiPriority w:val="0"/>
    <w:pPr>
      <w:jc w:val="center"/>
    </w:pPr>
    <w:rPr>
      <w:rFonts w:cs="Calibri"/>
      <w:b/>
      <w:kern w:val="0"/>
      <w:szCs w:val="21"/>
    </w:rPr>
  </w:style>
  <w:style w:type="paragraph" w:customStyle="1" w:styleId="53">
    <w:name w:val="4表格内正文"/>
    <w:basedOn w:val="1"/>
    <w:link w:val="54"/>
    <w:qFormat/>
    <w:uiPriority w:val="0"/>
    <w:pPr>
      <w:jc w:val="center"/>
    </w:pPr>
  </w:style>
  <w:style w:type="character" w:customStyle="1" w:styleId="54">
    <w:name w:val="4表格内正文 字符"/>
    <w:link w:val="53"/>
    <w:qFormat/>
    <w:uiPriority w:val="0"/>
    <w:rPr>
      <w:kern w:val="2"/>
      <w:sz w:val="21"/>
      <w:szCs w:val="24"/>
    </w:rPr>
  </w:style>
  <w:style w:type="paragraph" w:customStyle="1" w:styleId="55">
    <w:name w:val="正文 首行缩进:  2 字符"/>
    <w:basedOn w:val="1"/>
    <w:qFormat/>
    <w:uiPriority w:val="0"/>
    <w:pPr>
      <w:adjustRightInd w:val="0"/>
      <w:snapToGrid w:val="0"/>
      <w:spacing w:line="500" w:lineRule="exact"/>
      <w:ind w:firstLine="200" w:firstLineChars="200"/>
    </w:pPr>
    <w:rPr>
      <w:sz w:val="24"/>
    </w:rPr>
  </w:style>
  <w:style w:type="character" w:customStyle="1" w:styleId="56">
    <w:name w:val="表格 Char"/>
    <w:link w:val="44"/>
    <w:qFormat/>
    <w:locked/>
    <w:uiPriority w:val="0"/>
    <w:rPr>
      <w:rFonts w:ascii="宋体"/>
      <w:sz w:val="21"/>
    </w:rPr>
  </w:style>
  <w:style w:type="paragraph" w:customStyle="1" w:styleId="57">
    <w:name w:val="正文缩进1"/>
    <w:basedOn w:val="1"/>
    <w:qFormat/>
    <w:uiPriority w:val="0"/>
    <w:rPr>
      <w:rFonts w:ascii="Calibri" w:hAnsi="Calibri"/>
      <w:sz w:val="28"/>
    </w:rPr>
  </w:style>
  <w:style w:type="character" w:customStyle="1" w:styleId="58">
    <w:name w:val="批注文字 字符"/>
    <w:basedOn w:val="31"/>
    <w:link w:val="11"/>
    <w:qFormat/>
    <w:uiPriority w:val="0"/>
    <w:rPr>
      <w:sz w:val="24"/>
    </w:rPr>
  </w:style>
  <w:style w:type="paragraph" w:styleId="59">
    <w:name w:val="List Paragraph"/>
    <w:basedOn w:val="1"/>
    <w:qFormat/>
    <w:uiPriority w:val="99"/>
    <w:pPr>
      <w:ind w:firstLine="420" w:firstLineChars="200"/>
    </w:pPr>
  </w:style>
  <w:style w:type="paragraph" w:customStyle="1" w:styleId="60">
    <w:name w:val="表格文字2"/>
    <w:basedOn w:val="1"/>
    <w:qFormat/>
    <w:uiPriority w:val="0"/>
    <w:pPr>
      <w:widowControl/>
      <w:tabs>
        <w:tab w:val="left" w:pos="277"/>
        <w:tab w:val="left" w:pos="600"/>
        <w:tab w:val="left" w:pos="780"/>
        <w:tab w:val="left" w:pos="2517"/>
      </w:tabs>
      <w:adjustRightInd w:val="0"/>
      <w:jc w:val="center"/>
      <w:textAlignment w:val="baseline"/>
    </w:pPr>
    <w:rPr>
      <w:rFonts w:cs="宋体"/>
      <w:color w:val="000000"/>
      <w:kern w:val="0"/>
      <w:szCs w:val="21"/>
    </w:rPr>
  </w:style>
  <w:style w:type="character" w:customStyle="1" w:styleId="61">
    <w:name w:val="页脚 字符"/>
    <w:basedOn w:val="31"/>
    <w:link w:val="20"/>
    <w:qFormat/>
    <w:uiPriority w:val="99"/>
    <w:rPr>
      <w:sz w:val="18"/>
    </w:rPr>
  </w:style>
  <w:style w:type="paragraph" w:customStyle="1" w:styleId="62">
    <w:name w:val="样式 (中文) 仿宋_GB2312 四号1"/>
    <w:basedOn w:val="1"/>
    <w:qFormat/>
    <w:uiPriority w:val="0"/>
    <w:pPr>
      <w:spacing w:line="360" w:lineRule="auto"/>
      <w:ind w:firstLine="480" w:firstLineChars="200"/>
      <w:jc w:val="left"/>
    </w:pPr>
    <w:rPr>
      <w:rFonts w:ascii="宋体" w:hAnsi="宋体" w:cs="宋体"/>
      <w:kern w:val="0"/>
      <w:sz w:val="24"/>
    </w:rPr>
  </w:style>
  <w:style w:type="character" w:customStyle="1" w:styleId="63">
    <w:name w:val="正文文本 2 字符"/>
    <w:basedOn w:val="31"/>
    <w:link w:val="24"/>
    <w:qFormat/>
    <w:uiPriority w:val="0"/>
    <w:rPr>
      <w:kern w:val="2"/>
      <w:sz w:val="28"/>
      <w:szCs w:val="24"/>
    </w:rPr>
  </w:style>
  <w:style w:type="character" w:customStyle="1" w:styleId="64">
    <w:name w:val="批注框文本 字符"/>
    <w:basedOn w:val="31"/>
    <w:link w:val="19"/>
    <w:qFormat/>
    <w:uiPriority w:val="0"/>
    <w:rPr>
      <w:kern w:val="2"/>
      <w:sz w:val="18"/>
      <w:szCs w:val="18"/>
    </w:rPr>
  </w:style>
  <w:style w:type="paragraph" w:customStyle="1" w:styleId="65">
    <w:name w:val="表格内文字"/>
    <w:basedOn w:val="1"/>
    <w:link w:val="67"/>
    <w:qFormat/>
    <w:uiPriority w:val="0"/>
    <w:pPr>
      <w:tabs>
        <w:tab w:val="left" w:pos="0"/>
      </w:tabs>
      <w:adjustRightInd w:val="0"/>
      <w:snapToGrid w:val="0"/>
      <w:jc w:val="center"/>
    </w:pPr>
    <w:rPr>
      <w:rFonts w:eastAsia="仿宋_GB2312"/>
      <w:sz w:val="24"/>
      <w:szCs w:val="28"/>
    </w:rPr>
  </w:style>
  <w:style w:type="paragraph" w:customStyle="1" w:styleId="66">
    <w:name w:val="报告正文"/>
    <w:basedOn w:val="1"/>
    <w:qFormat/>
    <w:uiPriority w:val="0"/>
    <w:pPr>
      <w:topLinePunct/>
      <w:spacing w:line="360" w:lineRule="auto"/>
      <w:ind w:firstLine="200" w:firstLineChars="200"/>
    </w:pPr>
    <w:rPr>
      <w:bCs/>
      <w:spacing w:val="14"/>
      <w:sz w:val="24"/>
    </w:rPr>
  </w:style>
  <w:style w:type="character" w:customStyle="1" w:styleId="67">
    <w:name w:val="表格内文字 Char Char"/>
    <w:link w:val="65"/>
    <w:qFormat/>
    <w:uiPriority w:val="0"/>
    <w:rPr>
      <w:rFonts w:eastAsia="仿宋_GB2312"/>
      <w:kern w:val="2"/>
      <w:sz w:val="24"/>
      <w:szCs w:val="28"/>
    </w:rPr>
  </w:style>
  <w:style w:type="character" w:customStyle="1" w:styleId="68">
    <w:name w:val="正文首行缩进 2 字符"/>
    <w:basedOn w:val="31"/>
    <w:link w:val="18"/>
    <w:qFormat/>
    <w:uiPriority w:val="0"/>
    <w:rPr>
      <w:sz w:val="24"/>
    </w:rPr>
  </w:style>
  <w:style w:type="character" w:customStyle="1" w:styleId="69">
    <w:name w:val="批注主题 字符"/>
    <w:basedOn w:val="58"/>
    <w:link w:val="27"/>
    <w:qFormat/>
    <w:uiPriority w:val="0"/>
    <w:rPr>
      <w:b/>
      <w:bCs/>
      <w:kern w:val="2"/>
      <w:sz w:val="21"/>
      <w:szCs w:val="24"/>
    </w:rPr>
  </w:style>
  <w:style w:type="paragraph" w:customStyle="1" w:styleId="70">
    <w:name w:val="Char"/>
    <w:basedOn w:val="1"/>
    <w:qFormat/>
    <w:uiPriority w:val="0"/>
  </w:style>
  <w:style w:type="paragraph" w:customStyle="1" w:styleId="71">
    <w:name w:val="Char1"/>
    <w:basedOn w:val="1"/>
    <w:qFormat/>
    <w:uiPriority w:val="0"/>
  </w:style>
  <w:style w:type="paragraph" w:customStyle="1" w:styleId="72">
    <w:name w:val="Char2"/>
    <w:basedOn w:val="1"/>
    <w:qFormat/>
    <w:uiPriority w:val="0"/>
  </w:style>
  <w:style w:type="paragraph" w:customStyle="1" w:styleId="73">
    <w:name w:val="段落1"/>
    <w:basedOn w:val="1"/>
    <w:qFormat/>
    <w:uiPriority w:val="0"/>
    <w:pPr>
      <w:spacing w:line="480" w:lineRule="exact"/>
      <w:ind w:firstLine="200" w:firstLineChars="200"/>
    </w:pPr>
    <w:rPr>
      <w:rFonts w:eastAsia="楷体_GB2312"/>
      <w:spacing w:val="6"/>
      <w:sz w:val="28"/>
    </w:rPr>
  </w:style>
  <w:style w:type="paragraph" w:customStyle="1" w:styleId="74">
    <w:name w:val="zhang正文"/>
    <w:basedOn w:val="13"/>
    <w:qFormat/>
    <w:uiPriority w:val="0"/>
    <w:pPr>
      <w:autoSpaceDE w:val="0"/>
      <w:autoSpaceDN w:val="0"/>
      <w:adjustRightInd w:val="0"/>
      <w:snapToGrid w:val="0"/>
      <w:spacing w:after="0" w:line="500" w:lineRule="exact"/>
      <w:ind w:left="-88" w:leftChars="0" w:firstLine="539"/>
      <w:textAlignment w:val="baseline"/>
    </w:pPr>
    <w:rPr>
      <w:rFonts w:eastAsia="楷体_GB2312"/>
    </w:rPr>
  </w:style>
  <w:style w:type="table" w:customStyle="1" w:styleId="75">
    <w:name w:val="lily 表格1"/>
    <w:basedOn w:val="28"/>
    <w:qFormat/>
    <w:uiPriority w:val="59"/>
    <w:pPr>
      <w:widowControl w:val="0"/>
      <w:jc w:val="both"/>
    </w:pPr>
    <w:rPr>
      <w:rFonts w:ascii="Calibri" w:hAnsi="Calibri"/>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style>
  <w:style w:type="paragraph" w:customStyle="1" w:styleId="76">
    <w:name w:val="Default2"/>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77">
    <w:name w:val="标题 3 字符"/>
    <w:basedOn w:val="31"/>
    <w:link w:val="7"/>
    <w:qFormat/>
    <w:uiPriority w:val="0"/>
    <w:rPr>
      <w:rFonts w:ascii="Calibri" w:hAnsi="Calibri"/>
      <w:b/>
      <w:kern w:val="2"/>
      <w:sz w:val="21"/>
      <w:szCs w:val="24"/>
    </w:rPr>
  </w:style>
  <w:style w:type="character" w:customStyle="1" w:styleId="78">
    <w:name w:val="纯文本 字符"/>
    <w:basedOn w:val="31"/>
    <w:link w:val="15"/>
    <w:qFormat/>
    <w:uiPriority w:val="99"/>
    <w:rPr>
      <w:rFonts w:ascii="宋体" w:hAnsi="Courier New" w:cs="Courier New"/>
      <w:kern w:val="2"/>
      <w:sz w:val="21"/>
      <w:szCs w:val="21"/>
    </w:rPr>
  </w:style>
  <w:style w:type="paragraph" w:customStyle="1" w:styleId="79">
    <w:name w:val="Char Char11 Char Char"/>
    <w:basedOn w:val="1"/>
    <w:qFormat/>
    <w:uiPriority w:val="0"/>
    <w:rPr>
      <w:spacing w:val="-2"/>
      <w:kern w:val="0"/>
      <w:sz w:val="20"/>
      <w:szCs w:val="20"/>
    </w:rPr>
  </w:style>
  <w:style w:type="paragraph" w:customStyle="1" w:styleId="80">
    <w:name w:val="Char Char11 Char Char1"/>
    <w:basedOn w:val="1"/>
    <w:qFormat/>
    <w:uiPriority w:val="0"/>
    <w:rPr>
      <w:spacing w:val="-2"/>
      <w:kern w:val="0"/>
      <w:sz w:val="20"/>
      <w:szCs w:val="20"/>
    </w:rPr>
  </w:style>
  <w:style w:type="character" w:customStyle="1" w:styleId="81">
    <w:name w:val="表格文字 Char"/>
    <w:link w:val="82"/>
    <w:qFormat/>
    <w:locked/>
    <w:uiPriority w:val="0"/>
    <w:rPr>
      <w:rFonts w:eastAsia="仿宋_GB2312"/>
      <w:sz w:val="24"/>
    </w:rPr>
  </w:style>
  <w:style w:type="paragraph" w:customStyle="1" w:styleId="82">
    <w:name w:val="表格文字"/>
    <w:basedOn w:val="1"/>
    <w:next w:val="15"/>
    <w:link w:val="81"/>
    <w:qFormat/>
    <w:uiPriority w:val="0"/>
    <w:pPr>
      <w:autoSpaceDE w:val="0"/>
      <w:autoSpaceDN w:val="0"/>
      <w:adjustRightInd w:val="0"/>
      <w:spacing w:before="60" w:after="60"/>
      <w:jc w:val="center"/>
      <w:textAlignment w:val="bottom"/>
    </w:pPr>
    <w:rPr>
      <w:rFonts w:eastAsia="仿宋_GB2312"/>
      <w:kern w:val="0"/>
      <w:sz w:val="24"/>
      <w:szCs w:val="20"/>
    </w:rPr>
  </w:style>
  <w:style w:type="paragraph" w:customStyle="1" w:styleId="83">
    <w:name w:val="样式35"/>
    <w:basedOn w:val="1"/>
    <w:qFormat/>
    <w:uiPriority w:val="0"/>
    <w:pPr>
      <w:adjustRightInd w:val="0"/>
      <w:spacing w:line="312" w:lineRule="auto"/>
      <w:ind w:firstLine="567"/>
    </w:pPr>
    <w:rPr>
      <w:rFonts w:ascii="宋体"/>
      <w:kern w:val="0"/>
      <w:sz w:val="28"/>
      <w:szCs w:val="20"/>
    </w:rPr>
  </w:style>
  <w:style w:type="paragraph" w:customStyle="1" w:styleId="84">
    <w:name w:val="Char Char Char1 Char"/>
    <w:basedOn w:val="1"/>
    <w:qFormat/>
    <w:uiPriority w:val="0"/>
    <w:rPr>
      <w:szCs w:val="22"/>
    </w:rPr>
  </w:style>
  <w:style w:type="character" w:customStyle="1" w:styleId="85">
    <w:name w:val="正文文本缩进 2 字符"/>
    <w:basedOn w:val="31"/>
    <w:link w:val="17"/>
    <w:qFormat/>
    <w:uiPriority w:val="99"/>
    <w:rPr>
      <w:kern w:val="2"/>
      <w:sz w:val="21"/>
      <w:szCs w:val="24"/>
    </w:rPr>
  </w:style>
  <w:style w:type="paragraph" w:customStyle="1" w:styleId="86">
    <w:name w:val="正文（用）"/>
    <w:basedOn w:val="1"/>
    <w:qFormat/>
    <w:uiPriority w:val="0"/>
    <w:pPr>
      <w:spacing w:line="360" w:lineRule="auto"/>
      <w:ind w:firstLine="480" w:firstLineChars="200"/>
      <w:jc w:val="left"/>
    </w:pPr>
    <w:rPr>
      <w:rFonts w:ascii="宋体" w:hAnsi="宋体" w:cs="宋体"/>
      <w:sz w:val="24"/>
    </w:rPr>
  </w:style>
  <w:style w:type="character" w:customStyle="1" w:styleId="87">
    <w:name w:val="标题 1 字符"/>
    <w:basedOn w:val="31"/>
    <w:link w:val="5"/>
    <w:qFormat/>
    <w:uiPriority w:val="0"/>
    <w:rPr>
      <w:b/>
      <w:bCs/>
      <w:kern w:val="44"/>
      <w:sz w:val="44"/>
      <w:szCs w:val="44"/>
    </w:rPr>
  </w:style>
  <w:style w:type="paragraph" w:customStyle="1" w:styleId="88">
    <w:name w:val="报告 两端对齐 首行缩进:  2 字符"/>
    <w:autoRedefine/>
    <w:qFormat/>
    <w:uiPriority w:val="0"/>
    <w:pPr>
      <w:spacing w:line="360" w:lineRule="auto"/>
      <w:ind w:firstLine="200" w:firstLineChars="200"/>
      <w:jc w:val="both"/>
    </w:pPr>
    <w:rPr>
      <w:rFonts w:ascii="宋体" w:hAnsi="Times New Roman" w:eastAsia="宋体" w:cs="宋体"/>
      <w:kern w:val="2"/>
      <w:sz w:val="24"/>
      <w:szCs w:val="24"/>
      <w:lang w:val="en-US" w:eastAsia="zh-CN" w:bidi="ar-SA"/>
    </w:rPr>
  </w:style>
  <w:style w:type="paragraph" w:customStyle="1" w:styleId="89">
    <w:name w:val="正文-zl"/>
    <w:basedOn w:val="1"/>
    <w:autoRedefine/>
    <w:qFormat/>
    <w:uiPriority w:val="0"/>
    <w:pPr>
      <w:spacing w:line="360" w:lineRule="auto"/>
      <w:ind w:firstLine="480" w:firstLineChars="200"/>
    </w:pPr>
    <w:rPr>
      <w:color w:val="000000"/>
      <w:sz w:val="24"/>
    </w:rPr>
  </w:style>
  <w:style w:type="paragraph" w:customStyle="1" w:styleId="90">
    <w:name w:val="正式文本"/>
    <w:basedOn w:val="1"/>
    <w:autoRedefine/>
    <w:qFormat/>
    <w:uiPriority w:val="99"/>
    <w:pPr>
      <w:adjustRightInd w:val="0"/>
      <w:snapToGrid w:val="0"/>
      <w:spacing w:line="360" w:lineRule="auto"/>
      <w:ind w:firstLine="420" w:firstLineChars="200"/>
      <w:jc w:val="left"/>
    </w:pPr>
  </w:style>
  <w:style w:type="paragraph" w:customStyle="1" w:styleId="91">
    <w:name w:val="S报告正文"/>
    <w:basedOn w:val="1"/>
    <w:qFormat/>
    <w:uiPriority w:val="0"/>
    <w:pPr>
      <w:widowControl w:val="0"/>
      <w:spacing w:line="360" w:lineRule="auto"/>
      <w:ind w:firstLine="480" w:firstLineChars="200"/>
      <w:jc w:val="both"/>
    </w:pPr>
    <w:rPr>
      <w:rFonts w:ascii="Times New Roman" w:hAnsi="Times New Roman" w:cs="Times New Roman"/>
      <w:kern w:val="2"/>
    </w:rPr>
  </w:style>
  <w:style w:type="paragraph" w:customStyle="1" w:styleId="92">
    <w:name w:val="Normal_0"/>
    <w:basedOn w:val="1"/>
    <w:qFormat/>
    <w:uiPriority w:val="0"/>
    <w:pPr>
      <w:widowControl w:val="0"/>
      <w:spacing w:line="360" w:lineRule="auto"/>
      <w:ind w:firstLine="200" w:firstLineChars="200"/>
      <w:jc w:val="both"/>
    </w:pPr>
    <w:rPr>
      <w:rFonts w:ascii="Times New Roman" w:hAnsi="Times New Roman" w:eastAsia="仿宋" w:cs="Times New Roman"/>
      <w:kern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0.jpe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wmf"/><Relationship Id="rId18" Type="http://schemas.openxmlformats.org/officeDocument/2006/relationships/oleObject" Target="embeddings/oleObject1.bin"/><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DE2A22A-74F7-4B96-9501-9C63A5C9FDA7}">
  <ds:schemaRefs/>
</ds:datastoreItem>
</file>

<file path=docProps/app.xml><?xml version="1.0" encoding="utf-8"?>
<Properties xmlns="http://schemas.openxmlformats.org/officeDocument/2006/extended-properties" xmlns:vt="http://schemas.openxmlformats.org/officeDocument/2006/docPropsVTypes">
  <Template>Normal.dotm</Template>
  <Pages>58</Pages>
  <Words>9122</Words>
  <Characters>9723</Characters>
  <Lines>218</Lines>
  <Paragraphs>61</Paragraphs>
  <TotalTime>56</TotalTime>
  <ScaleCrop>false</ScaleCrop>
  <LinksUpToDate>false</LinksUpToDate>
  <CharactersWithSpaces>9790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2021-04-22T08:03:00Z</dcterms:created>
  <dc:creator>XJ.W</dc:creator>
  <cp:lastModifiedBy>段梦梦</cp:lastModifiedBy>
  <dcterms:modified xsi:type="dcterms:W3CDTF">2025-09-10T02:43:00Z</dcterms:modified>
  <cp:revision>2335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E362745D67C34A94961F9B3CAC12F09B</vt:lpwstr>
  </property>
  <property fmtid="{D5CDD505-2E9C-101B-9397-08002B2CF9AE}" pid="4" name="KSOTemplateDocerSaveRecord">
    <vt:lpwstr>eyJoZGlkIjoiYjk1MjlkOGJiYzlmYjcwMDNmOWU4YTZjMGRhODZiZmMiLCJ1c2VySWQiOiI0MjM3NjA2MjEifQ==</vt:lpwstr>
  </property>
</Properties>
</file>