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03807F">
      <w:pPr>
        <w:adjustRightInd w:val="0"/>
        <w:snapToGrid w:val="0"/>
        <w:outlineLvl w:val="0"/>
        <w:rPr>
          <w:bCs/>
          <w:color w:val="000000"/>
          <w:sz w:val="72"/>
          <w:szCs w:val="72"/>
        </w:rPr>
      </w:pPr>
    </w:p>
    <w:p w14:paraId="0D65607B">
      <w:pPr>
        <w:adjustRightInd w:val="0"/>
        <w:snapToGrid w:val="0"/>
        <w:jc w:val="center"/>
        <w:outlineLvl w:val="0"/>
        <w:rPr>
          <w:bCs/>
          <w:color w:val="000000"/>
          <w:sz w:val="72"/>
          <w:szCs w:val="72"/>
        </w:rPr>
      </w:pPr>
      <w:r>
        <w:rPr>
          <w:bCs/>
          <w:color w:val="000000"/>
          <w:sz w:val="72"/>
          <w:szCs w:val="72"/>
        </w:rPr>
        <w:t>建设项目环境影响报告表</w:t>
      </w:r>
    </w:p>
    <w:p w14:paraId="05330815">
      <w:pPr>
        <w:pStyle w:val="10"/>
        <w:rPr>
          <w:color w:val="000000"/>
        </w:rPr>
      </w:pPr>
    </w:p>
    <w:p w14:paraId="11C9C65A">
      <w:pPr>
        <w:adjustRightInd w:val="0"/>
        <w:snapToGrid w:val="0"/>
        <w:spacing w:before="249" w:beforeLines="80"/>
        <w:jc w:val="center"/>
        <w:rPr>
          <w:bCs/>
          <w:color w:val="000000"/>
          <w:sz w:val="48"/>
          <w:szCs w:val="48"/>
        </w:rPr>
      </w:pPr>
      <w:r>
        <w:rPr>
          <w:bCs/>
          <w:color w:val="000000"/>
          <w:sz w:val="48"/>
          <w:szCs w:val="48"/>
        </w:rPr>
        <w:t>（污染影响类）</w:t>
      </w:r>
    </w:p>
    <w:p w14:paraId="04CB316E">
      <w:pPr>
        <w:jc w:val="center"/>
        <w:rPr>
          <w:color w:val="000000"/>
          <w:sz w:val="52"/>
          <w:szCs w:val="52"/>
        </w:rPr>
      </w:pPr>
    </w:p>
    <w:p w14:paraId="02340E6C">
      <w:pPr>
        <w:ind w:firstLine="1040"/>
        <w:rPr>
          <w:color w:val="000000"/>
          <w:sz w:val="44"/>
          <w:szCs w:val="44"/>
        </w:rPr>
      </w:pPr>
    </w:p>
    <w:p w14:paraId="221A0753">
      <w:pPr>
        <w:ind w:firstLine="1040"/>
        <w:rPr>
          <w:color w:val="000000"/>
          <w:sz w:val="44"/>
          <w:szCs w:val="44"/>
        </w:rPr>
      </w:pPr>
    </w:p>
    <w:p w14:paraId="5B97B692">
      <w:pPr>
        <w:ind w:firstLine="1040"/>
        <w:rPr>
          <w:color w:val="000000"/>
          <w:sz w:val="44"/>
          <w:szCs w:val="44"/>
        </w:rPr>
      </w:pPr>
    </w:p>
    <w:p w14:paraId="6643F174">
      <w:pPr>
        <w:ind w:firstLine="1040"/>
        <w:rPr>
          <w:color w:val="000000"/>
          <w:sz w:val="44"/>
          <w:szCs w:val="44"/>
        </w:rPr>
      </w:pPr>
    </w:p>
    <w:p w14:paraId="5792D6FD">
      <w:pPr>
        <w:ind w:firstLine="1040"/>
        <w:rPr>
          <w:color w:val="000000"/>
          <w:sz w:val="44"/>
          <w:szCs w:val="44"/>
        </w:rPr>
      </w:pPr>
    </w:p>
    <w:p w14:paraId="374E9EAC">
      <w:pPr>
        <w:adjustRightInd w:val="0"/>
        <w:snapToGrid w:val="0"/>
        <w:spacing w:line="288" w:lineRule="auto"/>
        <w:ind w:left="1800" w:hanging="1800" w:hangingChars="500"/>
        <w:rPr>
          <w:color w:val="000000"/>
          <w:sz w:val="36"/>
          <w:szCs w:val="36"/>
          <w:u w:val="single"/>
        </w:rPr>
      </w:pPr>
      <w:bookmarkStart w:id="0" w:name="_Hlk57884087"/>
      <w:r>
        <w:rPr>
          <w:color w:val="000000"/>
          <w:sz w:val="36"/>
          <w:szCs w:val="36"/>
        </w:rPr>
        <w:t>项目名称：</w:t>
      </w:r>
      <w:r>
        <w:rPr>
          <w:rFonts w:hint="eastAsia"/>
          <w:color w:val="000000"/>
          <w:sz w:val="36"/>
          <w:szCs w:val="36"/>
          <w:u w:val="single"/>
        </w:rPr>
        <w:t xml:space="preserve">     宿州华升种业园技术改造项目    </w:t>
      </w:r>
      <w:r>
        <w:rPr>
          <w:color w:val="000000"/>
          <w:sz w:val="36"/>
          <w:szCs w:val="36"/>
          <w:u w:val="single"/>
        </w:rPr>
        <w:t xml:space="preserve"> </w:t>
      </w:r>
      <w:r>
        <w:rPr>
          <w:rFonts w:hint="eastAsia"/>
          <w:color w:val="000000"/>
          <w:sz w:val="36"/>
          <w:szCs w:val="36"/>
          <w:u w:val="single"/>
        </w:rPr>
        <w:t xml:space="preserve"> </w:t>
      </w:r>
      <w:r>
        <w:rPr>
          <w:color w:val="000000"/>
          <w:sz w:val="36"/>
          <w:szCs w:val="36"/>
          <w:u w:val="single"/>
        </w:rPr>
        <w:t xml:space="preserve"> </w:t>
      </w:r>
    </w:p>
    <w:p w14:paraId="5E2A0280">
      <w:pPr>
        <w:adjustRightInd w:val="0"/>
        <w:snapToGrid w:val="0"/>
        <w:spacing w:line="288" w:lineRule="auto"/>
        <w:rPr>
          <w:color w:val="000000"/>
          <w:sz w:val="36"/>
          <w:szCs w:val="36"/>
          <w:u w:val="single"/>
        </w:rPr>
      </w:pPr>
      <w:r>
        <w:rPr>
          <w:color w:val="000000"/>
          <w:sz w:val="36"/>
          <w:szCs w:val="36"/>
        </w:rPr>
        <w:t>建设单位</w:t>
      </w:r>
      <w:r>
        <w:rPr>
          <w:rFonts w:hint="eastAsia"/>
          <w:color w:val="000000"/>
          <w:sz w:val="36"/>
          <w:szCs w:val="36"/>
        </w:rPr>
        <w:t>：</w:t>
      </w:r>
      <w:r>
        <w:rPr>
          <w:color w:val="000000"/>
          <w:sz w:val="36"/>
          <w:szCs w:val="36"/>
          <w:u w:val="single"/>
        </w:rPr>
        <w:t xml:space="preserve"> </w:t>
      </w:r>
      <w:r>
        <w:rPr>
          <w:rFonts w:hint="eastAsia"/>
          <w:color w:val="000000"/>
          <w:sz w:val="36"/>
          <w:szCs w:val="36"/>
          <w:u w:val="single"/>
        </w:rPr>
        <w:t xml:space="preserve">    宿州华升生态农业有限责任公司</w:t>
      </w:r>
      <w:r>
        <w:rPr>
          <w:color w:val="000000"/>
          <w:sz w:val="36"/>
          <w:szCs w:val="36"/>
          <w:u w:val="single"/>
        </w:rPr>
        <w:t xml:space="preserve"> </w:t>
      </w:r>
      <w:r>
        <w:rPr>
          <w:rFonts w:hint="eastAsia"/>
          <w:color w:val="000000"/>
          <w:sz w:val="36"/>
          <w:szCs w:val="36"/>
          <w:u w:val="single"/>
        </w:rPr>
        <w:t xml:space="preserve">      </w:t>
      </w:r>
    </w:p>
    <w:p w14:paraId="0CAED66C">
      <w:pPr>
        <w:adjustRightInd w:val="0"/>
        <w:snapToGrid w:val="0"/>
        <w:spacing w:line="288" w:lineRule="auto"/>
        <w:rPr>
          <w:color w:val="000000"/>
          <w:sz w:val="36"/>
          <w:szCs w:val="36"/>
          <w:u w:val="single"/>
        </w:rPr>
      </w:pPr>
      <w:r>
        <w:rPr>
          <w:color w:val="000000"/>
          <w:sz w:val="36"/>
          <w:szCs w:val="36"/>
        </w:rPr>
        <w:t>编制日期：</w:t>
      </w:r>
      <w:r>
        <w:rPr>
          <w:color w:val="000000"/>
          <w:sz w:val="36"/>
          <w:szCs w:val="36"/>
          <w:u w:val="single"/>
        </w:rPr>
        <w:t xml:space="preserve">           202</w:t>
      </w:r>
      <w:r>
        <w:rPr>
          <w:rFonts w:hint="eastAsia"/>
          <w:color w:val="000000"/>
          <w:sz w:val="36"/>
          <w:szCs w:val="36"/>
          <w:u w:val="single"/>
        </w:rPr>
        <w:t>5</w:t>
      </w:r>
      <w:r>
        <w:rPr>
          <w:color w:val="000000"/>
          <w:sz w:val="36"/>
          <w:szCs w:val="36"/>
          <w:u w:val="single"/>
        </w:rPr>
        <w:t>年</w:t>
      </w:r>
      <w:r>
        <w:rPr>
          <w:rFonts w:hint="eastAsia"/>
          <w:color w:val="000000"/>
          <w:sz w:val="36"/>
          <w:szCs w:val="36"/>
          <w:u w:val="single"/>
          <w:lang w:val="en-US" w:eastAsia="zh-CN"/>
        </w:rPr>
        <w:t>9</w:t>
      </w:r>
      <w:r>
        <w:rPr>
          <w:color w:val="000000"/>
          <w:sz w:val="36"/>
          <w:szCs w:val="36"/>
          <w:u w:val="single"/>
        </w:rPr>
        <w:t xml:space="preserve">月             </w:t>
      </w:r>
    </w:p>
    <w:p w14:paraId="2A64B29F">
      <w:pPr>
        <w:adjustRightInd w:val="0"/>
        <w:snapToGrid w:val="0"/>
        <w:spacing w:line="288" w:lineRule="auto"/>
        <w:ind w:firstLine="1040"/>
        <w:rPr>
          <w:color w:val="000000"/>
          <w:sz w:val="36"/>
          <w:szCs w:val="36"/>
          <w:u w:val="single"/>
        </w:rPr>
      </w:pPr>
    </w:p>
    <w:p w14:paraId="742538E1">
      <w:pPr>
        <w:adjustRightInd w:val="0"/>
        <w:snapToGrid w:val="0"/>
        <w:spacing w:line="288" w:lineRule="auto"/>
        <w:ind w:firstLine="1040"/>
        <w:rPr>
          <w:color w:val="000000"/>
          <w:sz w:val="36"/>
          <w:szCs w:val="36"/>
        </w:rPr>
      </w:pPr>
    </w:p>
    <w:p w14:paraId="5303F5A4">
      <w:pPr>
        <w:adjustRightInd w:val="0"/>
        <w:snapToGrid w:val="0"/>
        <w:spacing w:line="288" w:lineRule="auto"/>
        <w:ind w:firstLine="1040"/>
        <w:rPr>
          <w:color w:val="000000"/>
          <w:sz w:val="36"/>
          <w:szCs w:val="36"/>
        </w:rPr>
      </w:pPr>
    </w:p>
    <w:p w14:paraId="59F36F9D">
      <w:pPr>
        <w:adjustRightInd w:val="0"/>
        <w:snapToGrid w:val="0"/>
        <w:spacing w:line="288" w:lineRule="auto"/>
        <w:ind w:firstLine="1040"/>
        <w:rPr>
          <w:color w:val="000000"/>
          <w:sz w:val="36"/>
          <w:szCs w:val="36"/>
        </w:rPr>
      </w:pPr>
    </w:p>
    <w:p w14:paraId="6B0DCE79">
      <w:pPr>
        <w:pStyle w:val="10"/>
        <w:rPr>
          <w:color w:val="000000"/>
          <w:sz w:val="36"/>
          <w:szCs w:val="36"/>
        </w:rPr>
      </w:pPr>
    </w:p>
    <w:p w14:paraId="0BB6DC24">
      <w:pPr>
        <w:pStyle w:val="16"/>
        <w:rPr>
          <w:rFonts w:ascii="Times New Roman" w:hAnsi="Times New Roman" w:eastAsia="宋体" w:cs="Times New Roman"/>
          <w:color w:val="000000"/>
        </w:rPr>
      </w:pPr>
    </w:p>
    <w:p w14:paraId="0127FF03">
      <w:pPr>
        <w:adjustRightInd w:val="0"/>
        <w:snapToGrid w:val="0"/>
        <w:spacing w:line="288" w:lineRule="auto"/>
        <w:ind w:firstLine="1040"/>
        <w:rPr>
          <w:color w:val="000000"/>
          <w:sz w:val="36"/>
          <w:szCs w:val="36"/>
        </w:rPr>
      </w:pPr>
    </w:p>
    <w:bookmarkEnd w:id="0"/>
    <w:p w14:paraId="766ED6D3">
      <w:pPr>
        <w:adjustRightInd w:val="0"/>
        <w:snapToGrid w:val="0"/>
        <w:spacing w:line="288" w:lineRule="auto"/>
        <w:jc w:val="center"/>
        <w:rPr>
          <w:color w:val="000000"/>
          <w:sz w:val="36"/>
          <w:szCs w:val="36"/>
        </w:rPr>
      </w:pPr>
    </w:p>
    <w:p w14:paraId="15345A76">
      <w:pPr>
        <w:jc w:val="center"/>
        <w:rPr>
          <w:color w:val="000000"/>
          <w:sz w:val="36"/>
          <w:szCs w:val="36"/>
        </w:rPr>
        <w:sectPr>
          <w:pgSz w:w="11906" w:h="16838"/>
          <w:pgMar w:top="1440" w:right="1800" w:bottom="1440" w:left="1800" w:header="851" w:footer="992" w:gutter="0"/>
          <w:cols w:space="425" w:num="1"/>
          <w:docGrid w:type="lines" w:linePitch="312" w:charSpace="0"/>
        </w:sectPr>
      </w:pPr>
      <w:r>
        <w:rPr>
          <w:color w:val="000000"/>
          <w:sz w:val="36"/>
          <w:szCs w:val="36"/>
        </w:rPr>
        <w:t>中华人民共和国生态环境部制</w:t>
      </w:r>
    </w:p>
    <w:p w14:paraId="147F1EFC">
      <w:pPr>
        <w:pStyle w:val="12"/>
        <w:sectPr>
          <w:pgSz w:w="11906" w:h="16838"/>
          <w:pgMar w:top="1440" w:right="1800" w:bottom="1440" w:left="1800" w:header="851" w:footer="992" w:gutter="0"/>
          <w:cols w:space="425" w:num="1"/>
          <w:docGrid w:type="lines" w:linePitch="312" w:charSpace="0"/>
        </w:sectPr>
      </w:pPr>
    </w:p>
    <w:p w14:paraId="6BD47346">
      <w:pPr>
        <w:pStyle w:val="20"/>
        <w:spacing w:before="0" w:beforeAutospacing="0" w:after="0" w:afterAutospacing="0" w:line="360" w:lineRule="auto"/>
        <w:jc w:val="center"/>
        <w:outlineLvl w:val="0"/>
        <w:rPr>
          <w:rFonts w:ascii="Times New Roman" w:hAnsi="Times New Roman"/>
          <w:b/>
          <w:bCs/>
          <w:snapToGrid w:val="0"/>
          <w:color w:val="000000"/>
          <w:sz w:val="30"/>
          <w:szCs w:val="30"/>
        </w:rPr>
      </w:pPr>
      <w:r>
        <w:rPr>
          <w:rFonts w:hint="eastAsia" w:ascii="Times New Roman" w:hAnsi="Times New Roman"/>
          <w:b/>
          <w:bCs/>
          <w:snapToGrid w:val="0"/>
          <w:color w:val="000000"/>
          <w:sz w:val="30"/>
          <w:szCs w:val="30"/>
        </w:rPr>
        <w:t>一、建设项目基本情况</w:t>
      </w:r>
    </w:p>
    <w:tbl>
      <w:tblPr>
        <w:tblStyle w:val="23"/>
        <w:tblW w:w="542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34"/>
        <w:gridCol w:w="2246"/>
        <w:gridCol w:w="2088"/>
        <w:gridCol w:w="3567"/>
      </w:tblGrid>
      <w:tr w14:paraId="217DA8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627" w:type="pct"/>
            <w:tcMar>
              <w:top w:w="16" w:type="dxa"/>
              <w:left w:w="16" w:type="dxa"/>
              <w:right w:w="16" w:type="dxa"/>
            </w:tcMar>
            <w:vAlign w:val="center"/>
          </w:tcPr>
          <w:p w14:paraId="50573A71">
            <w:pPr>
              <w:adjustRightInd w:val="0"/>
              <w:snapToGrid w:val="0"/>
              <w:jc w:val="center"/>
              <w:rPr>
                <w:color w:val="000000"/>
                <w:sz w:val="24"/>
              </w:rPr>
            </w:pPr>
            <w:r>
              <w:rPr>
                <w:color w:val="000000"/>
                <w:sz w:val="24"/>
              </w:rPr>
              <w:t>建设项目名称</w:t>
            </w:r>
          </w:p>
        </w:tc>
        <w:tc>
          <w:tcPr>
            <w:tcW w:w="4372" w:type="pct"/>
            <w:gridSpan w:val="3"/>
            <w:vAlign w:val="center"/>
          </w:tcPr>
          <w:p w14:paraId="3D69DE30">
            <w:pPr>
              <w:adjustRightInd w:val="0"/>
              <w:snapToGrid w:val="0"/>
              <w:jc w:val="center"/>
              <w:rPr>
                <w:color w:val="000000"/>
                <w:sz w:val="24"/>
              </w:rPr>
            </w:pPr>
            <w:r>
              <w:rPr>
                <w:rFonts w:hint="eastAsia"/>
                <w:color w:val="000000"/>
                <w:sz w:val="24"/>
              </w:rPr>
              <w:t>宿州华升种业园技术改造项目</w:t>
            </w:r>
          </w:p>
        </w:tc>
      </w:tr>
      <w:tr w14:paraId="2CF6C3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71" w:hRule="atLeast"/>
          <w:jc w:val="center"/>
        </w:trPr>
        <w:tc>
          <w:tcPr>
            <w:tcW w:w="627" w:type="pct"/>
            <w:tcMar>
              <w:top w:w="16" w:type="dxa"/>
              <w:left w:w="16" w:type="dxa"/>
              <w:right w:w="16" w:type="dxa"/>
            </w:tcMar>
            <w:vAlign w:val="center"/>
          </w:tcPr>
          <w:p w14:paraId="6CC1F114">
            <w:pPr>
              <w:adjustRightInd w:val="0"/>
              <w:snapToGrid w:val="0"/>
              <w:jc w:val="center"/>
              <w:rPr>
                <w:color w:val="000000"/>
                <w:sz w:val="24"/>
              </w:rPr>
            </w:pPr>
            <w:r>
              <w:rPr>
                <w:color w:val="000000"/>
                <w:sz w:val="24"/>
              </w:rPr>
              <w:t>项目代码</w:t>
            </w:r>
          </w:p>
        </w:tc>
        <w:tc>
          <w:tcPr>
            <w:tcW w:w="4372" w:type="pct"/>
            <w:gridSpan w:val="3"/>
            <w:vAlign w:val="center"/>
          </w:tcPr>
          <w:p w14:paraId="674A6AF9">
            <w:pPr>
              <w:adjustRightInd w:val="0"/>
              <w:snapToGrid w:val="0"/>
              <w:jc w:val="center"/>
              <w:rPr>
                <w:color w:val="000000"/>
                <w:sz w:val="24"/>
              </w:rPr>
            </w:pPr>
            <w:r>
              <w:rPr>
                <w:rFonts w:hint="eastAsia"/>
                <w:color w:val="000000"/>
                <w:sz w:val="24"/>
              </w:rPr>
              <w:t>2408-341302-04-02-381633</w:t>
            </w:r>
            <w:bookmarkStart w:id="10" w:name="_GoBack"/>
            <w:bookmarkEnd w:id="10"/>
          </w:p>
        </w:tc>
      </w:tr>
      <w:tr w14:paraId="0558BB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7" w:hRule="atLeast"/>
          <w:jc w:val="center"/>
        </w:trPr>
        <w:tc>
          <w:tcPr>
            <w:tcW w:w="627" w:type="pct"/>
            <w:tcMar>
              <w:top w:w="16" w:type="dxa"/>
              <w:left w:w="16" w:type="dxa"/>
              <w:right w:w="16" w:type="dxa"/>
            </w:tcMar>
            <w:vAlign w:val="center"/>
          </w:tcPr>
          <w:p w14:paraId="11A689F8">
            <w:pPr>
              <w:adjustRightInd w:val="0"/>
              <w:snapToGrid w:val="0"/>
              <w:jc w:val="center"/>
              <w:rPr>
                <w:color w:val="000000"/>
                <w:sz w:val="24"/>
              </w:rPr>
            </w:pPr>
            <w:r>
              <w:rPr>
                <w:color w:val="000000"/>
                <w:sz w:val="24"/>
              </w:rPr>
              <w:t>建设单位联系人</w:t>
            </w:r>
          </w:p>
        </w:tc>
        <w:tc>
          <w:tcPr>
            <w:tcW w:w="1243" w:type="pct"/>
            <w:vAlign w:val="center"/>
          </w:tcPr>
          <w:p w14:paraId="3D07AF4F">
            <w:pPr>
              <w:adjustRightInd w:val="0"/>
              <w:snapToGrid w:val="0"/>
              <w:jc w:val="center"/>
              <w:rPr>
                <w:color w:val="000000"/>
                <w:sz w:val="24"/>
              </w:rPr>
            </w:pPr>
          </w:p>
        </w:tc>
        <w:tc>
          <w:tcPr>
            <w:tcW w:w="1155" w:type="pct"/>
            <w:vAlign w:val="center"/>
          </w:tcPr>
          <w:p w14:paraId="6ADD36B9">
            <w:pPr>
              <w:adjustRightInd w:val="0"/>
              <w:snapToGrid w:val="0"/>
              <w:jc w:val="center"/>
              <w:rPr>
                <w:color w:val="000000"/>
                <w:sz w:val="24"/>
              </w:rPr>
            </w:pPr>
            <w:r>
              <w:rPr>
                <w:color w:val="000000"/>
                <w:sz w:val="24"/>
              </w:rPr>
              <w:t>联系方式</w:t>
            </w:r>
          </w:p>
        </w:tc>
        <w:tc>
          <w:tcPr>
            <w:tcW w:w="1973" w:type="pct"/>
            <w:vAlign w:val="center"/>
          </w:tcPr>
          <w:p w14:paraId="43894CEB">
            <w:pPr>
              <w:adjustRightInd w:val="0"/>
              <w:snapToGrid w:val="0"/>
              <w:jc w:val="center"/>
              <w:rPr>
                <w:color w:val="000000"/>
                <w:sz w:val="24"/>
              </w:rPr>
            </w:pPr>
          </w:p>
        </w:tc>
      </w:tr>
      <w:tr w14:paraId="629672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3" w:hRule="atLeast"/>
          <w:jc w:val="center"/>
        </w:trPr>
        <w:tc>
          <w:tcPr>
            <w:tcW w:w="627" w:type="pct"/>
            <w:tcMar>
              <w:top w:w="16" w:type="dxa"/>
              <w:left w:w="16" w:type="dxa"/>
              <w:right w:w="16" w:type="dxa"/>
            </w:tcMar>
            <w:vAlign w:val="center"/>
          </w:tcPr>
          <w:p w14:paraId="380AAA7E">
            <w:pPr>
              <w:adjustRightInd w:val="0"/>
              <w:snapToGrid w:val="0"/>
              <w:jc w:val="center"/>
              <w:rPr>
                <w:color w:val="000000"/>
                <w:sz w:val="24"/>
              </w:rPr>
            </w:pPr>
            <w:r>
              <w:rPr>
                <w:color w:val="000000"/>
                <w:sz w:val="24"/>
              </w:rPr>
              <w:t>建设地点</w:t>
            </w:r>
          </w:p>
        </w:tc>
        <w:tc>
          <w:tcPr>
            <w:tcW w:w="4372" w:type="pct"/>
            <w:gridSpan w:val="3"/>
            <w:vAlign w:val="center"/>
          </w:tcPr>
          <w:p w14:paraId="0C3B8628">
            <w:pPr>
              <w:adjustRightInd w:val="0"/>
              <w:snapToGrid w:val="0"/>
              <w:jc w:val="center"/>
              <w:rPr>
                <w:color w:val="000000"/>
                <w:sz w:val="24"/>
              </w:rPr>
            </w:pPr>
            <w:r>
              <w:rPr>
                <w:rFonts w:hint="eastAsia"/>
                <w:color w:val="000000"/>
                <w:sz w:val="24"/>
                <w:lang w:val="en-US" w:eastAsia="zh-CN"/>
              </w:rPr>
              <w:t>安徽省宿州市埇桥区灰古镇国家现代农业示范区</w:t>
            </w:r>
            <w:r>
              <w:rPr>
                <w:rFonts w:hint="eastAsia"/>
                <w:color w:val="000000"/>
                <w:sz w:val="24"/>
              </w:rPr>
              <w:t>东三环与北三环交叉口</w:t>
            </w:r>
          </w:p>
        </w:tc>
      </w:tr>
      <w:tr w14:paraId="3A2FEE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27" w:type="pct"/>
            <w:tcMar>
              <w:top w:w="16" w:type="dxa"/>
              <w:left w:w="16" w:type="dxa"/>
              <w:right w:w="16" w:type="dxa"/>
            </w:tcMar>
            <w:vAlign w:val="center"/>
          </w:tcPr>
          <w:p w14:paraId="40C53DAE">
            <w:pPr>
              <w:adjustRightInd w:val="0"/>
              <w:snapToGrid w:val="0"/>
              <w:jc w:val="center"/>
              <w:rPr>
                <w:color w:val="000000"/>
                <w:sz w:val="24"/>
              </w:rPr>
            </w:pPr>
            <w:r>
              <w:rPr>
                <w:color w:val="000000"/>
                <w:sz w:val="24"/>
              </w:rPr>
              <w:t>地理坐标</w:t>
            </w:r>
          </w:p>
        </w:tc>
        <w:tc>
          <w:tcPr>
            <w:tcW w:w="4372" w:type="pct"/>
            <w:gridSpan w:val="3"/>
            <w:vAlign w:val="center"/>
          </w:tcPr>
          <w:p w14:paraId="69DC0EC8">
            <w:pPr>
              <w:jc w:val="center"/>
              <w:rPr>
                <w:color w:val="000000"/>
                <w:sz w:val="24"/>
              </w:rPr>
            </w:pPr>
            <w:r>
              <w:rPr>
                <w:color w:val="000000"/>
                <w:sz w:val="24"/>
              </w:rPr>
              <w:t>（</w:t>
            </w:r>
            <w:r>
              <w:rPr>
                <w:rFonts w:hint="eastAsia"/>
                <w:sz w:val="24"/>
                <w:lang w:val="en-US" w:eastAsia="zh-CN"/>
              </w:rPr>
              <w:t>东经</w:t>
            </w:r>
            <w:r>
              <w:rPr>
                <w:rFonts w:hint="eastAsia"/>
                <w:sz w:val="24"/>
              </w:rPr>
              <w:t>：</w:t>
            </w:r>
            <w:r>
              <w:rPr>
                <w:color w:val="000000"/>
                <w:kern w:val="0"/>
                <w:sz w:val="24"/>
                <w:lang w:bidi="ar"/>
              </w:rPr>
              <w:t>117</w:t>
            </w:r>
            <w:r>
              <w:rPr>
                <w:sz w:val="24"/>
              </w:rPr>
              <w:t>度</w:t>
            </w:r>
            <w:r>
              <w:rPr>
                <w:color w:val="000000"/>
                <w:kern w:val="0"/>
                <w:sz w:val="24"/>
                <w:lang w:bidi="ar"/>
              </w:rPr>
              <w:t>6</w:t>
            </w:r>
            <w:r>
              <w:rPr>
                <w:sz w:val="24"/>
              </w:rPr>
              <w:t>分</w:t>
            </w:r>
            <w:r>
              <w:rPr>
                <w:color w:val="000000"/>
                <w:kern w:val="0"/>
                <w:sz w:val="24"/>
                <w:lang w:bidi="ar"/>
              </w:rPr>
              <w:t>0.377</w:t>
            </w:r>
            <w:r>
              <w:rPr>
                <w:sz w:val="24"/>
              </w:rPr>
              <w:t>秒</w:t>
            </w:r>
            <w:r>
              <w:rPr>
                <w:color w:val="000000"/>
                <w:kern w:val="0"/>
                <w:sz w:val="24"/>
                <w:lang w:bidi="ar"/>
              </w:rPr>
              <w:t>，</w:t>
            </w:r>
            <w:r>
              <w:rPr>
                <w:rFonts w:hint="eastAsia"/>
                <w:color w:val="000000"/>
                <w:kern w:val="0"/>
                <w:sz w:val="24"/>
                <w:lang w:val="en-US" w:eastAsia="zh-CN" w:bidi="ar"/>
              </w:rPr>
              <w:t>北纬</w:t>
            </w:r>
            <w:r>
              <w:rPr>
                <w:rFonts w:hint="eastAsia"/>
                <w:sz w:val="24"/>
              </w:rPr>
              <w:t>：</w:t>
            </w:r>
            <w:r>
              <w:rPr>
                <w:color w:val="000000"/>
                <w:kern w:val="0"/>
                <w:sz w:val="24"/>
                <w:lang w:bidi="ar"/>
              </w:rPr>
              <w:t>33</w:t>
            </w:r>
            <w:r>
              <w:rPr>
                <w:sz w:val="24"/>
              </w:rPr>
              <w:t>度</w:t>
            </w:r>
            <w:r>
              <w:rPr>
                <w:color w:val="000000"/>
                <w:kern w:val="0"/>
                <w:sz w:val="24"/>
                <w:lang w:bidi="ar"/>
              </w:rPr>
              <w:t>41</w:t>
            </w:r>
            <w:r>
              <w:rPr>
                <w:sz w:val="24"/>
              </w:rPr>
              <w:t>分</w:t>
            </w:r>
            <w:r>
              <w:rPr>
                <w:color w:val="000000"/>
                <w:kern w:val="0"/>
                <w:sz w:val="24"/>
                <w:lang w:bidi="ar"/>
              </w:rPr>
              <w:t>45.</w:t>
            </w:r>
            <w:r>
              <w:rPr>
                <w:rFonts w:hint="eastAsia"/>
                <w:color w:val="000000"/>
                <w:kern w:val="0"/>
                <w:sz w:val="24"/>
                <w:lang w:val="en-US" w:eastAsia="zh-CN" w:bidi="ar"/>
              </w:rPr>
              <w:t>986</w:t>
            </w:r>
            <w:r>
              <w:rPr>
                <w:sz w:val="24"/>
              </w:rPr>
              <w:t>秒</w:t>
            </w:r>
            <w:r>
              <w:rPr>
                <w:color w:val="000000"/>
                <w:sz w:val="24"/>
              </w:rPr>
              <w:t>）</w:t>
            </w:r>
          </w:p>
        </w:tc>
      </w:tr>
      <w:tr w14:paraId="56B36D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27" w:hRule="atLeast"/>
          <w:jc w:val="center"/>
        </w:trPr>
        <w:tc>
          <w:tcPr>
            <w:tcW w:w="627" w:type="pct"/>
            <w:tcMar>
              <w:top w:w="16" w:type="dxa"/>
              <w:left w:w="16" w:type="dxa"/>
              <w:right w:w="16" w:type="dxa"/>
            </w:tcMar>
            <w:vAlign w:val="center"/>
          </w:tcPr>
          <w:p w14:paraId="5BEE56AF">
            <w:pPr>
              <w:adjustRightInd w:val="0"/>
              <w:snapToGrid w:val="0"/>
              <w:jc w:val="center"/>
              <w:rPr>
                <w:color w:val="000000"/>
                <w:sz w:val="24"/>
              </w:rPr>
            </w:pPr>
            <w:r>
              <w:rPr>
                <w:color w:val="000000"/>
                <w:sz w:val="24"/>
              </w:rPr>
              <w:t>国民经济</w:t>
            </w:r>
          </w:p>
          <w:p w14:paraId="61806E2F">
            <w:pPr>
              <w:adjustRightInd w:val="0"/>
              <w:snapToGrid w:val="0"/>
              <w:jc w:val="center"/>
              <w:rPr>
                <w:color w:val="000000"/>
                <w:sz w:val="24"/>
              </w:rPr>
            </w:pPr>
            <w:r>
              <w:rPr>
                <w:color w:val="000000"/>
                <w:sz w:val="24"/>
              </w:rPr>
              <w:t>行业类别</w:t>
            </w:r>
          </w:p>
        </w:tc>
        <w:tc>
          <w:tcPr>
            <w:tcW w:w="1243" w:type="pct"/>
            <w:vAlign w:val="center"/>
          </w:tcPr>
          <w:p w14:paraId="170FEF85">
            <w:pPr>
              <w:keepNext w:val="0"/>
              <w:keepLines w:val="0"/>
              <w:pageBreakBefore w:val="0"/>
              <w:widowControl w:val="0"/>
              <w:kinsoku/>
              <w:wordWrap/>
              <w:overflowPunct/>
              <w:topLinePunct w:val="0"/>
              <w:autoSpaceDE/>
              <w:autoSpaceDN/>
              <w:bidi w:val="0"/>
              <w:adjustRightInd/>
              <w:snapToGrid/>
              <w:jc w:val="center"/>
              <w:textAlignment w:val="auto"/>
              <w:rPr>
                <w:color w:val="000000"/>
                <w:sz w:val="24"/>
              </w:rPr>
            </w:pPr>
            <w:r>
              <w:rPr>
                <w:rFonts w:hint="eastAsia"/>
                <w:color w:val="000000"/>
                <w:sz w:val="24"/>
              </w:rPr>
              <w:t>热力生产和供应【C4430】、谷物仓储【G5951】</w:t>
            </w:r>
          </w:p>
        </w:tc>
        <w:tc>
          <w:tcPr>
            <w:tcW w:w="1155" w:type="pct"/>
            <w:vAlign w:val="center"/>
          </w:tcPr>
          <w:p w14:paraId="5964911D">
            <w:pPr>
              <w:adjustRightInd w:val="0"/>
              <w:snapToGrid w:val="0"/>
              <w:jc w:val="center"/>
              <w:rPr>
                <w:color w:val="000000"/>
                <w:sz w:val="24"/>
              </w:rPr>
            </w:pPr>
            <w:bookmarkStart w:id="1" w:name="_Hlk49843745"/>
            <w:r>
              <w:rPr>
                <w:color w:val="000000"/>
                <w:sz w:val="24"/>
              </w:rPr>
              <w:t>建设项目</w:t>
            </w:r>
          </w:p>
          <w:p w14:paraId="021FF089">
            <w:pPr>
              <w:adjustRightInd w:val="0"/>
              <w:snapToGrid w:val="0"/>
              <w:jc w:val="center"/>
              <w:rPr>
                <w:color w:val="000000"/>
                <w:sz w:val="24"/>
              </w:rPr>
            </w:pPr>
            <w:r>
              <w:rPr>
                <w:color w:val="000000"/>
                <w:sz w:val="24"/>
              </w:rPr>
              <w:t>行业类别</w:t>
            </w:r>
            <w:bookmarkEnd w:id="1"/>
          </w:p>
        </w:tc>
        <w:tc>
          <w:tcPr>
            <w:tcW w:w="1973" w:type="pct"/>
            <w:vAlign w:val="center"/>
          </w:tcPr>
          <w:p w14:paraId="1E5B79EF">
            <w:pPr>
              <w:adjustRightInd w:val="0"/>
              <w:snapToGrid w:val="0"/>
              <w:jc w:val="center"/>
              <w:rPr>
                <w:color w:val="000000"/>
                <w:sz w:val="24"/>
              </w:rPr>
            </w:pPr>
            <w:r>
              <w:rPr>
                <w:rFonts w:hint="eastAsia"/>
                <w:color w:val="000000"/>
                <w:sz w:val="24"/>
              </w:rPr>
              <w:t>四十一、电力、热力生产和</w:t>
            </w:r>
          </w:p>
          <w:p w14:paraId="36618837">
            <w:pPr>
              <w:adjustRightInd w:val="0"/>
              <w:snapToGrid w:val="0"/>
              <w:jc w:val="center"/>
              <w:rPr>
                <w:color w:val="000000"/>
              </w:rPr>
            </w:pPr>
            <w:r>
              <w:rPr>
                <w:rFonts w:hint="eastAsia"/>
                <w:color w:val="000000"/>
                <w:sz w:val="24"/>
              </w:rPr>
              <w:t xml:space="preserve">供应业 </w:t>
            </w:r>
            <w:r>
              <w:rPr>
                <w:color w:val="000000"/>
                <w:sz w:val="24"/>
              </w:rPr>
              <w:t>91</w:t>
            </w:r>
            <w:r>
              <w:rPr>
                <w:rFonts w:hint="eastAsia"/>
                <w:color w:val="000000"/>
                <w:sz w:val="24"/>
              </w:rPr>
              <w:t>、热力生产和供应工程（包括建设单位自建自用的供热工程）</w:t>
            </w:r>
            <w:r>
              <w:rPr>
                <w:color w:val="000000"/>
                <w:sz w:val="24"/>
              </w:rPr>
              <w:t>/</w:t>
            </w:r>
            <w:r>
              <w:rPr>
                <w:rFonts w:hint="eastAsia"/>
                <w:color w:val="000000"/>
                <w:sz w:val="24"/>
              </w:rPr>
              <w:t>燃煤、燃油锅炉总容量</w:t>
            </w:r>
            <w:r>
              <w:rPr>
                <w:color w:val="000000"/>
                <w:sz w:val="24"/>
              </w:rPr>
              <w:t>65</w:t>
            </w:r>
            <w:r>
              <w:rPr>
                <w:rFonts w:hint="eastAsia"/>
                <w:color w:val="000000"/>
                <w:sz w:val="24"/>
              </w:rPr>
              <w:t>吨</w:t>
            </w:r>
            <w:r>
              <w:rPr>
                <w:color w:val="000000"/>
                <w:sz w:val="24"/>
              </w:rPr>
              <w:t>/</w:t>
            </w:r>
            <w:r>
              <w:rPr>
                <w:rFonts w:hint="eastAsia"/>
                <w:color w:val="000000"/>
                <w:sz w:val="24"/>
              </w:rPr>
              <w:t>小时（</w:t>
            </w:r>
            <w:r>
              <w:rPr>
                <w:color w:val="000000"/>
                <w:sz w:val="24"/>
              </w:rPr>
              <w:t>45.5</w:t>
            </w:r>
            <w:r>
              <w:rPr>
                <w:rFonts w:hint="eastAsia"/>
                <w:color w:val="000000"/>
                <w:sz w:val="24"/>
              </w:rPr>
              <w:t>兆瓦）及以下的；天然气锅炉总容量</w:t>
            </w:r>
            <w:r>
              <w:rPr>
                <w:color w:val="000000"/>
                <w:sz w:val="24"/>
              </w:rPr>
              <w:t>1</w:t>
            </w:r>
            <w:r>
              <w:rPr>
                <w:rFonts w:hint="eastAsia"/>
                <w:color w:val="000000"/>
                <w:sz w:val="24"/>
              </w:rPr>
              <w:t>吨</w:t>
            </w:r>
            <w:r>
              <w:rPr>
                <w:color w:val="000000"/>
                <w:sz w:val="24"/>
              </w:rPr>
              <w:t>/</w:t>
            </w:r>
            <w:r>
              <w:rPr>
                <w:rFonts w:hint="eastAsia"/>
                <w:color w:val="000000"/>
                <w:sz w:val="24"/>
              </w:rPr>
              <w:t>小时（</w:t>
            </w:r>
            <w:r>
              <w:rPr>
                <w:color w:val="000000"/>
                <w:sz w:val="24"/>
              </w:rPr>
              <w:t>0.7</w:t>
            </w:r>
            <w:r>
              <w:rPr>
                <w:rFonts w:hint="eastAsia"/>
                <w:color w:val="000000"/>
                <w:sz w:val="24"/>
              </w:rPr>
              <w:t>兆瓦）以上的；使用其他高污染燃料的（高污染燃料指国环规大气</w:t>
            </w:r>
            <w:r>
              <w:rPr>
                <w:color w:val="000000"/>
                <w:sz w:val="24"/>
              </w:rPr>
              <w:t>[2017]2</w:t>
            </w:r>
            <w:r>
              <w:rPr>
                <w:rFonts w:hint="eastAsia"/>
                <w:color w:val="000000"/>
                <w:sz w:val="24"/>
              </w:rPr>
              <w:t>号《高污染目录》中规定的燃料）</w:t>
            </w:r>
          </w:p>
        </w:tc>
      </w:tr>
      <w:tr w14:paraId="0B9EAC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41" w:hRule="atLeast"/>
          <w:jc w:val="center"/>
        </w:trPr>
        <w:tc>
          <w:tcPr>
            <w:tcW w:w="627" w:type="pct"/>
            <w:tcMar>
              <w:top w:w="16" w:type="dxa"/>
              <w:left w:w="16" w:type="dxa"/>
              <w:right w:w="16" w:type="dxa"/>
            </w:tcMar>
            <w:vAlign w:val="center"/>
          </w:tcPr>
          <w:p w14:paraId="3C8C6BDF">
            <w:pPr>
              <w:adjustRightInd w:val="0"/>
              <w:snapToGrid w:val="0"/>
              <w:jc w:val="center"/>
              <w:rPr>
                <w:color w:val="000000"/>
                <w:sz w:val="24"/>
              </w:rPr>
            </w:pPr>
            <w:r>
              <w:rPr>
                <w:color w:val="000000"/>
                <w:sz w:val="24"/>
              </w:rPr>
              <w:t>建设性质</w:t>
            </w:r>
          </w:p>
        </w:tc>
        <w:tc>
          <w:tcPr>
            <w:tcW w:w="1243" w:type="pct"/>
            <w:vAlign w:val="center"/>
          </w:tcPr>
          <w:p w14:paraId="721316E3">
            <w:pPr>
              <w:keepNext w:val="0"/>
              <w:keepLines w:val="0"/>
              <w:pageBreakBefore w:val="0"/>
              <w:widowControl w:val="0"/>
              <w:kinsoku/>
              <w:wordWrap/>
              <w:overflowPunct/>
              <w:topLinePunct w:val="0"/>
              <w:autoSpaceDE/>
              <w:autoSpaceDN/>
              <w:bidi w:val="0"/>
              <w:adjustRightInd/>
              <w:snapToGrid/>
              <w:spacing w:line="240" w:lineRule="auto"/>
              <w:jc w:val="left"/>
              <w:textAlignment w:val="auto"/>
              <w:rPr>
                <w:color w:val="000000"/>
                <w:sz w:val="24"/>
              </w:rPr>
            </w:pPr>
            <w:r>
              <w:rPr>
                <w:color w:val="000000"/>
                <w:sz w:val="24"/>
              </w:rPr>
              <w:sym w:font="Wingdings 2" w:char="00A3"/>
            </w:r>
            <w:r>
              <w:rPr>
                <w:color w:val="000000"/>
                <w:sz w:val="24"/>
              </w:rPr>
              <w:t>新建（迁建）</w:t>
            </w:r>
          </w:p>
          <w:p w14:paraId="6161EA3D">
            <w:pPr>
              <w:keepNext w:val="0"/>
              <w:keepLines w:val="0"/>
              <w:pageBreakBefore w:val="0"/>
              <w:widowControl w:val="0"/>
              <w:kinsoku/>
              <w:wordWrap/>
              <w:overflowPunct/>
              <w:topLinePunct w:val="0"/>
              <w:autoSpaceDE/>
              <w:autoSpaceDN/>
              <w:bidi w:val="0"/>
              <w:adjustRightInd/>
              <w:snapToGrid/>
              <w:spacing w:line="240" w:lineRule="auto"/>
              <w:jc w:val="left"/>
              <w:textAlignment w:val="auto"/>
              <w:rPr>
                <w:color w:val="000000"/>
                <w:sz w:val="24"/>
              </w:rPr>
            </w:pPr>
            <w:r>
              <w:rPr>
                <w:rFonts w:hint="eastAsia"/>
                <w:color w:val="000000"/>
                <w:sz w:val="24"/>
              </w:rPr>
              <w:t>☑</w:t>
            </w:r>
            <w:r>
              <w:rPr>
                <w:color w:val="000000"/>
                <w:sz w:val="24"/>
              </w:rPr>
              <w:t>改建</w:t>
            </w:r>
          </w:p>
          <w:p w14:paraId="04641608">
            <w:pPr>
              <w:keepNext w:val="0"/>
              <w:keepLines w:val="0"/>
              <w:pageBreakBefore w:val="0"/>
              <w:widowControl w:val="0"/>
              <w:kinsoku/>
              <w:wordWrap/>
              <w:overflowPunct/>
              <w:topLinePunct w:val="0"/>
              <w:autoSpaceDE/>
              <w:autoSpaceDN/>
              <w:bidi w:val="0"/>
              <w:adjustRightInd/>
              <w:snapToGrid/>
              <w:spacing w:line="240" w:lineRule="auto"/>
              <w:jc w:val="left"/>
              <w:textAlignment w:val="auto"/>
              <w:rPr>
                <w:color w:val="000000"/>
                <w:sz w:val="24"/>
              </w:rPr>
            </w:pPr>
            <w:r>
              <w:rPr>
                <w:rFonts w:hint="eastAsia"/>
                <w:color w:val="000000"/>
                <w:sz w:val="24"/>
              </w:rPr>
              <w:t>□</w:t>
            </w:r>
            <w:r>
              <w:rPr>
                <w:color w:val="000000"/>
                <w:sz w:val="24"/>
              </w:rPr>
              <w:t>扩建</w:t>
            </w:r>
          </w:p>
          <w:p w14:paraId="0EADEBA7">
            <w:pPr>
              <w:keepNext w:val="0"/>
              <w:keepLines w:val="0"/>
              <w:pageBreakBefore w:val="0"/>
              <w:widowControl w:val="0"/>
              <w:kinsoku/>
              <w:wordWrap/>
              <w:overflowPunct/>
              <w:topLinePunct w:val="0"/>
              <w:autoSpaceDE/>
              <w:autoSpaceDN/>
              <w:bidi w:val="0"/>
              <w:adjustRightInd/>
              <w:snapToGrid/>
              <w:spacing w:line="240" w:lineRule="auto"/>
              <w:jc w:val="left"/>
              <w:textAlignment w:val="auto"/>
              <w:rPr>
                <w:color w:val="000000"/>
                <w:sz w:val="24"/>
              </w:rPr>
            </w:pPr>
            <w:r>
              <w:rPr>
                <w:rFonts w:hint="eastAsia"/>
                <w:color w:val="000000"/>
                <w:sz w:val="24"/>
              </w:rPr>
              <w:t>□</w:t>
            </w:r>
            <w:r>
              <w:rPr>
                <w:color w:val="000000"/>
                <w:sz w:val="24"/>
              </w:rPr>
              <w:t>技术改造</w:t>
            </w:r>
          </w:p>
        </w:tc>
        <w:tc>
          <w:tcPr>
            <w:tcW w:w="1155" w:type="pct"/>
            <w:vAlign w:val="center"/>
          </w:tcPr>
          <w:p w14:paraId="413628BB">
            <w:pPr>
              <w:tabs>
                <w:tab w:val="center" w:pos="1161"/>
                <w:tab w:val="right" w:pos="2202"/>
              </w:tabs>
              <w:adjustRightInd w:val="0"/>
              <w:snapToGrid w:val="0"/>
              <w:jc w:val="center"/>
              <w:rPr>
                <w:color w:val="000000"/>
                <w:sz w:val="24"/>
              </w:rPr>
            </w:pPr>
            <w:r>
              <w:rPr>
                <w:color w:val="000000"/>
                <w:sz w:val="24"/>
              </w:rPr>
              <w:t>建设项目</w:t>
            </w:r>
          </w:p>
          <w:p w14:paraId="55C55736">
            <w:pPr>
              <w:adjustRightInd w:val="0"/>
              <w:snapToGrid w:val="0"/>
              <w:jc w:val="center"/>
              <w:rPr>
                <w:color w:val="000000"/>
                <w:sz w:val="24"/>
              </w:rPr>
            </w:pPr>
            <w:r>
              <w:rPr>
                <w:color w:val="000000"/>
                <w:sz w:val="24"/>
              </w:rPr>
              <w:t>申报情形</w:t>
            </w:r>
          </w:p>
        </w:tc>
        <w:tc>
          <w:tcPr>
            <w:tcW w:w="1973" w:type="pct"/>
            <w:vAlign w:val="center"/>
          </w:tcPr>
          <w:p w14:paraId="0EAFA530">
            <w:pPr>
              <w:keepNext w:val="0"/>
              <w:keepLines w:val="0"/>
              <w:pageBreakBefore w:val="0"/>
              <w:widowControl w:val="0"/>
              <w:kinsoku/>
              <w:wordWrap/>
              <w:overflowPunct/>
              <w:topLinePunct w:val="0"/>
              <w:autoSpaceDE/>
              <w:autoSpaceDN/>
              <w:bidi w:val="0"/>
              <w:adjustRightInd/>
              <w:snapToGrid/>
              <w:spacing w:line="240" w:lineRule="auto"/>
              <w:jc w:val="left"/>
              <w:textAlignment w:val="auto"/>
              <w:rPr>
                <w:color w:val="000000"/>
                <w:sz w:val="24"/>
              </w:rPr>
            </w:pPr>
            <w:r>
              <w:rPr>
                <w:color w:val="000000"/>
                <w:sz w:val="24"/>
              </w:rPr>
              <w:sym w:font="Wingdings 2" w:char="0052"/>
            </w:r>
            <w:r>
              <w:rPr>
                <w:color w:val="000000"/>
                <w:sz w:val="24"/>
              </w:rPr>
              <w:t xml:space="preserve">首次申报项目             </w:t>
            </w:r>
          </w:p>
          <w:p w14:paraId="0360CB81">
            <w:pPr>
              <w:keepNext w:val="0"/>
              <w:keepLines w:val="0"/>
              <w:pageBreakBefore w:val="0"/>
              <w:widowControl w:val="0"/>
              <w:kinsoku/>
              <w:wordWrap/>
              <w:overflowPunct/>
              <w:topLinePunct w:val="0"/>
              <w:autoSpaceDE/>
              <w:autoSpaceDN/>
              <w:bidi w:val="0"/>
              <w:adjustRightInd/>
              <w:snapToGrid/>
              <w:spacing w:line="240" w:lineRule="auto"/>
              <w:jc w:val="left"/>
              <w:textAlignment w:val="auto"/>
              <w:rPr>
                <w:color w:val="000000"/>
                <w:sz w:val="24"/>
              </w:rPr>
            </w:pPr>
            <w:r>
              <w:rPr>
                <w:rFonts w:hint="eastAsia"/>
                <w:color w:val="000000"/>
                <w:sz w:val="24"/>
              </w:rPr>
              <w:t>□</w:t>
            </w:r>
            <w:r>
              <w:rPr>
                <w:color w:val="000000"/>
                <w:sz w:val="24"/>
              </w:rPr>
              <w:t>不予批准后再次申报项目</w:t>
            </w:r>
          </w:p>
          <w:p w14:paraId="336BB5A8">
            <w:pPr>
              <w:keepNext w:val="0"/>
              <w:keepLines w:val="0"/>
              <w:pageBreakBefore w:val="0"/>
              <w:widowControl w:val="0"/>
              <w:kinsoku/>
              <w:wordWrap/>
              <w:overflowPunct/>
              <w:topLinePunct w:val="0"/>
              <w:autoSpaceDE/>
              <w:autoSpaceDN/>
              <w:bidi w:val="0"/>
              <w:adjustRightInd/>
              <w:snapToGrid/>
              <w:spacing w:line="240" w:lineRule="auto"/>
              <w:jc w:val="left"/>
              <w:textAlignment w:val="auto"/>
              <w:rPr>
                <w:color w:val="000000"/>
                <w:sz w:val="24"/>
              </w:rPr>
            </w:pPr>
            <w:r>
              <w:rPr>
                <w:rFonts w:hint="eastAsia"/>
                <w:color w:val="000000"/>
                <w:sz w:val="24"/>
              </w:rPr>
              <w:t>□</w:t>
            </w:r>
            <w:r>
              <w:rPr>
                <w:color w:val="000000"/>
                <w:sz w:val="24"/>
              </w:rPr>
              <w:t xml:space="preserve">超五年重新审核项目     </w:t>
            </w:r>
          </w:p>
          <w:p w14:paraId="4624C4CC">
            <w:pPr>
              <w:keepNext w:val="0"/>
              <w:keepLines w:val="0"/>
              <w:pageBreakBefore w:val="0"/>
              <w:widowControl w:val="0"/>
              <w:kinsoku/>
              <w:wordWrap/>
              <w:overflowPunct/>
              <w:topLinePunct w:val="0"/>
              <w:autoSpaceDE/>
              <w:autoSpaceDN/>
              <w:bidi w:val="0"/>
              <w:adjustRightInd/>
              <w:snapToGrid/>
              <w:spacing w:line="240" w:lineRule="auto"/>
              <w:jc w:val="left"/>
              <w:textAlignment w:val="auto"/>
              <w:rPr>
                <w:color w:val="000000"/>
                <w:sz w:val="24"/>
              </w:rPr>
            </w:pPr>
            <w:r>
              <w:rPr>
                <w:rFonts w:hint="eastAsia"/>
                <w:color w:val="000000"/>
                <w:sz w:val="24"/>
              </w:rPr>
              <w:t>□</w:t>
            </w:r>
            <w:r>
              <w:rPr>
                <w:color w:val="000000"/>
                <w:sz w:val="24"/>
              </w:rPr>
              <w:t>重大变动重新报批项目</w:t>
            </w:r>
          </w:p>
        </w:tc>
      </w:tr>
      <w:tr w14:paraId="18BD3B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27" w:type="pct"/>
            <w:tcMar>
              <w:top w:w="16" w:type="dxa"/>
              <w:left w:w="16" w:type="dxa"/>
              <w:right w:w="16" w:type="dxa"/>
            </w:tcMar>
            <w:vAlign w:val="center"/>
          </w:tcPr>
          <w:p w14:paraId="615F2872">
            <w:pPr>
              <w:adjustRightInd w:val="0"/>
              <w:snapToGrid w:val="0"/>
              <w:jc w:val="center"/>
              <w:rPr>
                <w:color w:val="000000"/>
                <w:sz w:val="24"/>
              </w:rPr>
            </w:pPr>
            <w:r>
              <w:rPr>
                <w:color w:val="000000"/>
                <w:sz w:val="24"/>
              </w:rPr>
              <w:t>项目审批（核准/</w:t>
            </w:r>
          </w:p>
          <w:p w14:paraId="1A9F82A5">
            <w:pPr>
              <w:adjustRightInd w:val="0"/>
              <w:snapToGrid w:val="0"/>
              <w:jc w:val="center"/>
              <w:rPr>
                <w:color w:val="000000"/>
                <w:sz w:val="24"/>
              </w:rPr>
            </w:pPr>
            <w:r>
              <w:rPr>
                <w:color w:val="000000"/>
                <w:sz w:val="24"/>
              </w:rPr>
              <w:t>备案）部门（选填）</w:t>
            </w:r>
          </w:p>
        </w:tc>
        <w:tc>
          <w:tcPr>
            <w:tcW w:w="1243" w:type="pct"/>
            <w:vAlign w:val="center"/>
          </w:tcPr>
          <w:p w14:paraId="7463B6A0">
            <w:pPr>
              <w:adjustRightInd w:val="0"/>
              <w:snapToGrid w:val="0"/>
              <w:jc w:val="center"/>
              <w:rPr>
                <w:color w:val="000000"/>
                <w:sz w:val="24"/>
              </w:rPr>
            </w:pPr>
            <w:r>
              <w:rPr>
                <w:rFonts w:hint="eastAsia"/>
                <w:color w:val="000000"/>
                <w:sz w:val="24"/>
              </w:rPr>
              <w:t>宿州市埇桥区发展和改革委员会</w:t>
            </w:r>
          </w:p>
        </w:tc>
        <w:tc>
          <w:tcPr>
            <w:tcW w:w="1155" w:type="pct"/>
            <w:vAlign w:val="center"/>
          </w:tcPr>
          <w:p w14:paraId="30620B4B">
            <w:pPr>
              <w:adjustRightInd w:val="0"/>
              <w:snapToGrid w:val="0"/>
              <w:jc w:val="center"/>
              <w:rPr>
                <w:color w:val="000000"/>
                <w:sz w:val="24"/>
              </w:rPr>
            </w:pPr>
            <w:r>
              <w:rPr>
                <w:color w:val="000000"/>
                <w:sz w:val="24"/>
              </w:rPr>
              <w:t>项目审批（核准/</w:t>
            </w:r>
          </w:p>
          <w:p w14:paraId="3C57F6C4">
            <w:pPr>
              <w:adjustRightInd w:val="0"/>
              <w:snapToGrid w:val="0"/>
              <w:jc w:val="center"/>
              <w:rPr>
                <w:color w:val="000000"/>
                <w:sz w:val="24"/>
              </w:rPr>
            </w:pPr>
            <w:r>
              <w:rPr>
                <w:color w:val="000000"/>
                <w:sz w:val="24"/>
              </w:rPr>
              <w:t>备案）文号（选填）</w:t>
            </w:r>
          </w:p>
        </w:tc>
        <w:tc>
          <w:tcPr>
            <w:tcW w:w="1973" w:type="pct"/>
            <w:vAlign w:val="center"/>
          </w:tcPr>
          <w:p w14:paraId="15A291BA">
            <w:pPr>
              <w:adjustRightInd w:val="0"/>
              <w:snapToGrid w:val="0"/>
              <w:jc w:val="center"/>
              <w:rPr>
                <w:color w:val="000000"/>
                <w:sz w:val="24"/>
              </w:rPr>
            </w:pPr>
            <w:r>
              <w:rPr>
                <w:rFonts w:hint="eastAsia"/>
                <w:color w:val="000000"/>
                <w:sz w:val="24"/>
              </w:rPr>
              <w:t>/</w:t>
            </w:r>
          </w:p>
        </w:tc>
      </w:tr>
      <w:tr w14:paraId="7D626D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27" w:type="pct"/>
            <w:tcMar>
              <w:top w:w="16" w:type="dxa"/>
              <w:left w:w="16" w:type="dxa"/>
              <w:right w:w="16" w:type="dxa"/>
            </w:tcMar>
            <w:vAlign w:val="center"/>
          </w:tcPr>
          <w:p w14:paraId="2EADE546">
            <w:pPr>
              <w:adjustRightInd w:val="0"/>
              <w:snapToGrid w:val="0"/>
              <w:jc w:val="center"/>
              <w:rPr>
                <w:color w:val="000000"/>
                <w:sz w:val="24"/>
              </w:rPr>
            </w:pPr>
            <w:r>
              <w:rPr>
                <w:color w:val="000000"/>
                <w:sz w:val="24"/>
              </w:rPr>
              <w:t>总投资（万元）</w:t>
            </w:r>
          </w:p>
        </w:tc>
        <w:tc>
          <w:tcPr>
            <w:tcW w:w="1243" w:type="pct"/>
            <w:vAlign w:val="center"/>
          </w:tcPr>
          <w:p w14:paraId="6041886B">
            <w:pPr>
              <w:adjustRightInd w:val="0"/>
              <w:snapToGrid w:val="0"/>
              <w:jc w:val="center"/>
              <w:rPr>
                <w:color w:val="000000"/>
                <w:sz w:val="24"/>
              </w:rPr>
            </w:pPr>
            <w:r>
              <w:rPr>
                <w:rFonts w:hint="eastAsia"/>
                <w:color w:val="000000"/>
                <w:sz w:val="24"/>
              </w:rPr>
              <w:t>2000</w:t>
            </w:r>
          </w:p>
        </w:tc>
        <w:tc>
          <w:tcPr>
            <w:tcW w:w="1155" w:type="pct"/>
            <w:tcMar>
              <w:top w:w="16" w:type="dxa"/>
              <w:left w:w="16" w:type="dxa"/>
              <w:right w:w="16" w:type="dxa"/>
            </w:tcMar>
            <w:vAlign w:val="center"/>
          </w:tcPr>
          <w:p w14:paraId="4D1B507B">
            <w:pPr>
              <w:adjustRightInd w:val="0"/>
              <w:snapToGrid w:val="0"/>
              <w:jc w:val="center"/>
              <w:rPr>
                <w:color w:val="000000"/>
                <w:sz w:val="24"/>
              </w:rPr>
            </w:pPr>
            <w:r>
              <w:rPr>
                <w:color w:val="000000"/>
                <w:sz w:val="24"/>
              </w:rPr>
              <w:t>环保投资（万元）</w:t>
            </w:r>
          </w:p>
        </w:tc>
        <w:tc>
          <w:tcPr>
            <w:tcW w:w="1973" w:type="pct"/>
            <w:vAlign w:val="center"/>
          </w:tcPr>
          <w:p w14:paraId="2BEB4FD5">
            <w:pPr>
              <w:adjustRightInd w:val="0"/>
              <w:snapToGrid w:val="0"/>
              <w:jc w:val="center"/>
              <w:rPr>
                <w:rFonts w:hint="default" w:eastAsia="宋体"/>
                <w:color w:val="000000"/>
                <w:sz w:val="24"/>
                <w:lang w:val="en-US" w:eastAsia="zh-CN"/>
              </w:rPr>
            </w:pPr>
            <w:r>
              <w:rPr>
                <w:rFonts w:hint="eastAsia"/>
                <w:kern w:val="24"/>
                <w:lang w:val="en-US" w:eastAsia="zh-CN"/>
              </w:rPr>
              <w:t>100</w:t>
            </w:r>
          </w:p>
        </w:tc>
      </w:tr>
      <w:tr w14:paraId="313ECB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627" w:type="pct"/>
            <w:tcMar>
              <w:top w:w="16" w:type="dxa"/>
              <w:left w:w="16" w:type="dxa"/>
              <w:right w:w="16" w:type="dxa"/>
            </w:tcMar>
            <w:vAlign w:val="center"/>
          </w:tcPr>
          <w:p w14:paraId="440A00C5">
            <w:pPr>
              <w:adjustRightInd w:val="0"/>
              <w:snapToGrid w:val="0"/>
              <w:jc w:val="center"/>
              <w:rPr>
                <w:color w:val="000000"/>
                <w:sz w:val="24"/>
              </w:rPr>
            </w:pPr>
            <w:r>
              <w:rPr>
                <w:color w:val="000000"/>
                <w:sz w:val="24"/>
              </w:rPr>
              <w:t>环保投资占比（%）</w:t>
            </w:r>
          </w:p>
        </w:tc>
        <w:tc>
          <w:tcPr>
            <w:tcW w:w="1243" w:type="pct"/>
            <w:vAlign w:val="center"/>
          </w:tcPr>
          <w:p w14:paraId="4ECC4EC5">
            <w:pPr>
              <w:adjustRightInd w:val="0"/>
              <w:snapToGrid w:val="0"/>
              <w:jc w:val="center"/>
              <w:rPr>
                <w:rFonts w:hint="eastAsia" w:eastAsia="宋体"/>
                <w:color w:val="000000"/>
                <w:sz w:val="24"/>
                <w:lang w:val="en-US" w:eastAsia="zh-CN"/>
              </w:rPr>
            </w:pPr>
            <w:r>
              <w:rPr>
                <w:rFonts w:hint="eastAsia"/>
                <w:color w:val="000000"/>
                <w:sz w:val="24"/>
                <w:lang w:val="en-US" w:eastAsia="zh-CN"/>
              </w:rPr>
              <w:t>5</w:t>
            </w:r>
          </w:p>
        </w:tc>
        <w:tc>
          <w:tcPr>
            <w:tcW w:w="1155" w:type="pct"/>
            <w:tcMar>
              <w:top w:w="16" w:type="dxa"/>
              <w:left w:w="16" w:type="dxa"/>
              <w:right w:w="16" w:type="dxa"/>
            </w:tcMar>
            <w:vAlign w:val="center"/>
          </w:tcPr>
          <w:p w14:paraId="0EF6C72B">
            <w:pPr>
              <w:adjustRightInd w:val="0"/>
              <w:snapToGrid w:val="0"/>
              <w:jc w:val="center"/>
              <w:rPr>
                <w:color w:val="000000"/>
                <w:sz w:val="24"/>
              </w:rPr>
            </w:pPr>
            <w:r>
              <w:rPr>
                <w:color w:val="000000"/>
                <w:sz w:val="24"/>
              </w:rPr>
              <w:t>施工工期</w:t>
            </w:r>
          </w:p>
        </w:tc>
        <w:tc>
          <w:tcPr>
            <w:tcW w:w="1973" w:type="pct"/>
            <w:vAlign w:val="center"/>
          </w:tcPr>
          <w:p w14:paraId="2C4369CE">
            <w:pPr>
              <w:adjustRightInd w:val="0"/>
              <w:snapToGrid w:val="0"/>
              <w:jc w:val="center"/>
              <w:rPr>
                <w:color w:val="000000"/>
                <w:sz w:val="24"/>
              </w:rPr>
            </w:pPr>
            <w:r>
              <w:rPr>
                <w:rFonts w:hint="eastAsia"/>
                <w:color w:val="000000"/>
                <w:sz w:val="24"/>
              </w:rPr>
              <w:t>3</w:t>
            </w:r>
            <w:r>
              <w:rPr>
                <w:color w:val="000000"/>
                <w:sz w:val="24"/>
              </w:rPr>
              <w:t>个月</w:t>
            </w:r>
          </w:p>
        </w:tc>
      </w:tr>
      <w:tr w14:paraId="2C3EF5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27" w:type="pct"/>
            <w:tcMar>
              <w:top w:w="16" w:type="dxa"/>
              <w:left w:w="16" w:type="dxa"/>
              <w:right w:w="16" w:type="dxa"/>
            </w:tcMar>
            <w:vAlign w:val="center"/>
          </w:tcPr>
          <w:p w14:paraId="511646B0">
            <w:pPr>
              <w:adjustRightInd w:val="0"/>
              <w:snapToGrid w:val="0"/>
              <w:jc w:val="center"/>
              <w:rPr>
                <w:color w:val="000000"/>
                <w:sz w:val="24"/>
              </w:rPr>
            </w:pPr>
            <w:r>
              <w:rPr>
                <w:color w:val="000000"/>
                <w:sz w:val="24"/>
              </w:rPr>
              <w:t>是否开工建设</w:t>
            </w:r>
          </w:p>
        </w:tc>
        <w:tc>
          <w:tcPr>
            <w:tcW w:w="1243" w:type="pct"/>
            <w:vAlign w:val="center"/>
          </w:tcPr>
          <w:p w14:paraId="5EA2A30E">
            <w:pPr>
              <w:adjustRightInd w:val="0"/>
              <w:snapToGrid w:val="0"/>
              <w:rPr>
                <w:color w:val="000000"/>
                <w:sz w:val="24"/>
              </w:rPr>
            </w:pPr>
            <w:r>
              <w:rPr>
                <w:color w:val="000000"/>
                <w:sz w:val="24"/>
              </w:rPr>
              <w:sym w:font="Wingdings 2" w:char="0052"/>
            </w:r>
            <w:r>
              <w:rPr>
                <w:color w:val="000000"/>
                <w:sz w:val="24"/>
              </w:rPr>
              <w:t>否</w:t>
            </w:r>
          </w:p>
          <w:p w14:paraId="2056371D">
            <w:pPr>
              <w:adjustRightInd w:val="0"/>
              <w:snapToGrid w:val="0"/>
              <w:rPr>
                <w:color w:val="000000"/>
                <w:sz w:val="24"/>
              </w:rPr>
            </w:pPr>
            <w:r>
              <w:rPr>
                <w:color w:val="000000"/>
                <w:sz w:val="24"/>
              </w:rPr>
              <w:sym w:font="Wingdings 2" w:char="00A3"/>
            </w:r>
            <w:r>
              <w:rPr>
                <w:color w:val="000000"/>
                <w:sz w:val="24"/>
              </w:rPr>
              <w:t>是：</w:t>
            </w:r>
            <w:r>
              <w:rPr>
                <w:color w:val="000000"/>
                <w:sz w:val="24"/>
                <w:u w:val="single"/>
              </w:rPr>
              <w:t xml:space="preserve">              </w:t>
            </w:r>
          </w:p>
        </w:tc>
        <w:tc>
          <w:tcPr>
            <w:tcW w:w="1155" w:type="pct"/>
            <w:tcMar>
              <w:top w:w="16" w:type="dxa"/>
              <w:left w:w="16" w:type="dxa"/>
              <w:right w:w="16" w:type="dxa"/>
            </w:tcMar>
            <w:vAlign w:val="center"/>
          </w:tcPr>
          <w:p w14:paraId="268D2403">
            <w:pPr>
              <w:adjustRightInd w:val="0"/>
              <w:snapToGrid w:val="0"/>
              <w:jc w:val="center"/>
              <w:rPr>
                <w:color w:val="000000"/>
                <w:spacing w:val="-6"/>
                <w:sz w:val="24"/>
              </w:rPr>
            </w:pPr>
            <w:r>
              <w:rPr>
                <w:color w:val="000000"/>
                <w:spacing w:val="-6"/>
                <w:sz w:val="24"/>
              </w:rPr>
              <w:t>用地（用海）</w:t>
            </w:r>
          </w:p>
          <w:p w14:paraId="0FAB3DB7">
            <w:pPr>
              <w:adjustRightInd w:val="0"/>
              <w:snapToGrid w:val="0"/>
              <w:jc w:val="center"/>
              <w:rPr>
                <w:color w:val="000000"/>
                <w:sz w:val="24"/>
              </w:rPr>
            </w:pPr>
            <w:r>
              <w:rPr>
                <w:color w:val="000000"/>
                <w:spacing w:val="-6"/>
                <w:sz w:val="24"/>
              </w:rPr>
              <w:t>面积（m</w:t>
            </w:r>
            <w:r>
              <w:rPr>
                <w:color w:val="000000"/>
                <w:spacing w:val="-6"/>
                <w:sz w:val="24"/>
                <w:vertAlign w:val="superscript"/>
              </w:rPr>
              <w:t>2</w:t>
            </w:r>
            <w:r>
              <w:rPr>
                <w:color w:val="000000"/>
                <w:spacing w:val="-6"/>
                <w:sz w:val="24"/>
              </w:rPr>
              <w:t>）</w:t>
            </w:r>
          </w:p>
        </w:tc>
        <w:tc>
          <w:tcPr>
            <w:tcW w:w="1973" w:type="pct"/>
            <w:vAlign w:val="center"/>
          </w:tcPr>
          <w:p w14:paraId="376B58EB">
            <w:pPr>
              <w:adjustRightInd w:val="0"/>
              <w:snapToGrid w:val="0"/>
              <w:jc w:val="center"/>
              <w:rPr>
                <w:color w:val="000000"/>
                <w:sz w:val="24"/>
              </w:rPr>
            </w:pPr>
            <w:r>
              <w:rPr>
                <w:rFonts w:hint="eastAsia"/>
                <w:color w:val="000000"/>
                <w:sz w:val="24"/>
              </w:rPr>
              <w:t>9288</w:t>
            </w:r>
          </w:p>
        </w:tc>
      </w:tr>
      <w:tr w14:paraId="1E38A3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627" w:type="pct"/>
            <w:vAlign w:val="center"/>
          </w:tcPr>
          <w:p w14:paraId="064ED0F4">
            <w:pPr>
              <w:autoSpaceDE w:val="0"/>
              <w:autoSpaceDN w:val="0"/>
              <w:adjustRightInd w:val="0"/>
              <w:snapToGrid w:val="0"/>
              <w:jc w:val="center"/>
              <w:rPr>
                <w:color w:val="000000"/>
                <w:kern w:val="0"/>
                <w:sz w:val="24"/>
              </w:rPr>
            </w:pPr>
            <w:r>
              <w:rPr>
                <w:color w:val="000000"/>
                <w:kern w:val="0"/>
                <w:sz w:val="24"/>
              </w:rPr>
              <w:t>专项评价设置情况</w:t>
            </w:r>
          </w:p>
        </w:tc>
        <w:tc>
          <w:tcPr>
            <w:tcW w:w="4372" w:type="pct"/>
            <w:gridSpan w:val="3"/>
            <w:vAlign w:val="center"/>
          </w:tcPr>
          <w:p w14:paraId="18B2CB94">
            <w:pPr>
              <w:autoSpaceDE w:val="0"/>
              <w:autoSpaceDN w:val="0"/>
              <w:adjustRightInd w:val="0"/>
              <w:snapToGrid w:val="0"/>
              <w:jc w:val="center"/>
              <w:rPr>
                <w:color w:val="000000"/>
                <w:kern w:val="0"/>
                <w:sz w:val="24"/>
              </w:rPr>
            </w:pPr>
            <w:r>
              <w:rPr>
                <w:color w:val="000000"/>
                <w:kern w:val="0"/>
                <w:sz w:val="24"/>
              </w:rPr>
              <w:t>无</w:t>
            </w:r>
          </w:p>
        </w:tc>
      </w:tr>
      <w:tr w14:paraId="1B9051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27" w:type="pct"/>
            <w:vAlign w:val="center"/>
          </w:tcPr>
          <w:p w14:paraId="7DDE16E4">
            <w:pPr>
              <w:autoSpaceDE w:val="0"/>
              <w:autoSpaceDN w:val="0"/>
              <w:adjustRightInd w:val="0"/>
              <w:snapToGrid w:val="0"/>
              <w:jc w:val="center"/>
              <w:rPr>
                <w:color w:val="000000"/>
                <w:kern w:val="0"/>
                <w:sz w:val="24"/>
              </w:rPr>
            </w:pPr>
            <w:r>
              <w:rPr>
                <w:color w:val="000000"/>
                <w:kern w:val="0"/>
                <w:sz w:val="24"/>
              </w:rPr>
              <w:t>规划情况</w:t>
            </w:r>
          </w:p>
        </w:tc>
        <w:tc>
          <w:tcPr>
            <w:tcW w:w="4372" w:type="pct"/>
            <w:gridSpan w:val="3"/>
            <w:vAlign w:val="center"/>
          </w:tcPr>
          <w:p w14:paraId="4C211912">
            <w:pPr>
              <w:spacing w:line="360" w:lineRule="auto"/>
              <w:ind w:firstLine="480" w:firstLineChars="200"/>
              <w:rPr>
                <w:sz w:val="24"/>
              </w:rPr>
            </w:pPr>
            <w:r>
              <w:rPr>
                <w:sz w:val="24"/>
              </w:rPr>
              <w:t>1、规划名称：</w:t>
            </w:r>
            <w:r>
              <w:rPr>
                <w:rFonts w:hint="eastAsia"/>
                <w:sz w:val="24"/>
              </w:rPr>
              <w:t>《宿州市埇桥区灰古镇总体规划》（2016-2030年）；</w:t>
            </w:r>
          </w:p>
          <w:p w14:paraId="2CCBA547">
            <w:pPr>
              <w:autoSpaceDE w:val="0"/>
              <w:autoSpaceDN w:val="0"/>
              <w:adjustRightInd w:val="0"/>
              <w:snapToGrid w:val="0"/>
              <w:ind w:firstLine="480" w:firstLineChars="200"/>
              <w:rPr>
                <w:color w:val="000000"/>
                <w:kern w:val="0"/>
                <w:sz w:val="24"/>
              </w:rPr>
            </w:pPr>
            <w:r>
              <w:rPr>
                <w:sz w:val="24"/>
              </w:rPr>
              <w:t>2、审批机关：</w:t>
            </w:r>
            <w:r>
              <w:rPr>
                <w:rFonts w:hint="eastAsia"/>
                <w:sz w:val="24"/>
              </w:rPr>
              <w:t>宿州市人民政府。</w:t>
            </w:r>
          </w:p>
        </w:tc>
      </w:tr>
      <w:tr w14:paraId="6DCCD5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27" w:type="pct"/>
            <w:vAlign w:val="center"/>
          </w:tcPr>
          <w:p w14:paraId="0A87615A">
            <w:pPr>
              <w:adjustRightInd w:val="0"/>
              <w:snapToGrid w:val="0"/>
              <w:jc w:val="center"/>
              <w:rPr>
                <w:color w:val="000000"/>
                <w:kern w:val="0"/>
                <w:sz w:val="24"/>
              </w:rPr>
            </w:pPr>
            <w:r>
              <w:rPr>
                <w:color w:val="000000"/>
                <w:sz w:val="24"/>
              </w:rPr>
              <w:t>规划环境影响评价情况</w:t>
            </w:r>
          </w:p>
        </w:tc>
        <w:tc>
          <w:tcPr>
            <w:tcW w:w="4372" w:type="pct"/>
            <w:gridSpan w:val="3"/>
            <w:vAlign w:val="center"/>
          </w:tcPr>
          <w:p w14:paraId="06AE750B">
            <w:pPr>
              <w:autoSpaceDE w:val="0"/>
              <w:autoSpaceDN w:val="0"/>
              <w:adjustRightInd w:val="0"/>
              <w:snapToGrid w:val="0"/>
              <w:spacing w:line="312" w:lineRule="auto"/>
              <w:jc w:val="center"/>
              <w:rPr>
                <w:color w:val="000000"/>
                <w:kern w:val="0"/>
                <w:sz w:val="24"/>
              </w:rPr>
            </w:pPr>
            <w:r>
              <w:rPr>
                <w:color w:val="000000"/>
                <w:kern w:val="0"/>
                <w:sz w:val="24"/>
              </w:rPr>
              <w:t>无</w:t>
            </w:r>
          </w:p>
        </w:tc>
      </w:tr>
      <w:tr w14:paraId="44D5B7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627" w:type="pct"/>
            <w:vAlign w:val="center"/>
          </w:tcPr>
          <w:p w14:paraId="66172EF0">
            <w:pPr>
              <w:autoSpaceDE w:val="0"/>
              <w:autoSpaceDN w:val="0"/>
              <w:adjustRightInd w:val="0"/>
              <w:snapToGrid w:val="0"/>
              <w:jc w:val="center"/>
              <w:rPr>
                <w:color w:val="000000"/>
                <w:kern w:val="0"/>
                <w:sz w:val="24"/>
              </w:rPr>
            </w:pPr>
            <w:r>
              <w:rPr>
                <w:color w:val="000000"/>
                <w:kern w:val="0"/>
                <w:sz w:val="24"/>
              </w:rPr>
              <w:t>规划及规划环境影响评价符合性分析</w:t>
            </w:r>
          </w:p>
        </w:tc>
        <w:tc>
          <w:tcPr>
            <w:tcW w:w="4372" w:type="pct"/>
            <w:gridSpan w:val="3"/>
            <w:vAlign w:val="center"/>
          </w:tcPr>
          <w:p w14:paraId="2270A2E7">
            <w:pPr>
              <w:numPr>
                <w:ilvl w:val="0"/>
                <w:numId w:val="3"/>
              </w:numPr>
              <w:autoSpaceDE w:val="0"/>
              <w:autoSpaceDN w:val="0"/>
              <w:spacing w:line="360" w:lineRule="auto"/>
              <w:ind w:firstLine="480"/>
              <w:rPr>
                <w:color w:val="000000"/>
                <w:kern w:val="0"/>
                <w:sz w:val="24"/>
              </w:rPr>
            </w:pPr>
            <w:r>
              <w:rPr>
                <w:color w:val="000000"/>
                <w:kern w:val="0"/>
                <w:sz w:val="24"/>
              </w:rPr>
              <w:t>与规划相符性分析</w:t>
            </w:r>
          </w:p>
          <w:p w14:paraId="5626391B">
            <w:pPr>
              <w:spacing w:line="360" w:lineRule="auto"/>
              <w:ind w:firstLine="480"/>
              <w:rPr>
                <w:color w:val="000000"/>
                <w:kern w:val="0"/>
                <w:sz w:val="24"/>
              </w:rPr>
            </w:pPr>
            <w:r>
              <w:rPr>
                <w:rFonts w:hint="eastAsia"/>
                <w:color w:val="000000"/>
                <w:kern w:val="0"/>
                <w:sz w:val="24"/>
              </w:rPr>
              <w:t>1、《埇桥区国家现代农业产业园建设综述》</w:t>
            </w:r>
          </w:p>
          <w:p w14:paraId="13699BB3">
            <w:pPr>
              <w:pStyle w:val="28"/>
              <w:adjustRightInd/>
              <w:spacing w:line="360" w:lineRule="auto"/>
              <w:ind w:firstLine="480" w:firstLineChars="200"/>
              <w:rPr>
                <w:rFonts w:ascii="Times New Roman" w:hAnsi="Times New Roman" w:cs="Times New Roman"/>
                <w:kern w:val="0"/>
                <w:szCs w:val="24"/>
              </w:rPr>
            </w:pPr>
            <w:r>
              <w:rPr>
                <w:rFonts w:hint="eastAsia" w:ascii="Times New Roman" w:hAnsi="Times New Roman" w:cs="Times New Roman"/>
                <w:kern w:val="0"/>
                <w:szCs w:val="24"/>
              </w:rPr>
              <w:t>“埇桥区2010年被认定为国家现代农业示范区，2011年被批准为全国农村改革试验区，2017年申请创建国家级现代农业产业园，2019年创建成功，“两区一园”三个国字号招牌全国唯一。埇桥区国家现代农业产业园总面积78.6平方公里。产业园以种业和农产品精深加工为主导产业，按照“规划先行引领、项目强力支撑，三产融合发展，产业集聚集群”的发展思路，强力推进园区高质量发展。近年来，产业园先后获得“全国科普示范基地”“国家3A级旅游景区”、安徽省粮食安全宣传教育基地、市级研学旅行基地等荣誉称号。</w:t>
            </w:r>
          </w:p>
          <w:p w14:paraId="5586E22A">
            <w:pPr>
              <w:pStyle w:val="28"/>
              <w:adjustRightInd/>
              <w:spacing w:line="360" w:lineRule="auto"/>
              <w:ind w:firstLine="480" w:firstLineChars="200"/>
              <w:rPr>
                <w:rFonts w:ascii="Times New Roman" w:hAnsi="Times New Roman" w:cs="Times New Roman"/>
                <w:kern w:val="0"/>
                <w:szCs w:val="24"/>
              </w:rPr>
            </w:pPr>
            <w:r>
              <w:rPr>
                <w:rFonts w:hint="eastAsia" w:ascii="Times New Roman" w:hAnsi="Times New Roman" w:cs="Times New Roman"/>
                <w:kern w:val="0"/>
                <w:szCs w:val="24"/>
              </w:rPr>
              <w:t>为稳住农业基本盘，把农业的“芯片”牢牢掌握在自己手中，产业园加大招才引智力度，引进一批国内一流科研院所和种业研发人才，为筑牢农业之基注入了新力量。</w:t>
            </w:r>
          </w:p>
          <w:p w14:paraId="329F51AE">
            <w:pPr>
              <w:pStyle w:val="28"/>
              <w:adjustRightInd/>
              <w:spacing w:line="360" w:lineRule="auto"/>
              <w:ind w:firstLine="480" w:firstLineChars="200"/>
              <w:rPr>
                <w:rFonts w:ascii="Times New Roman" w:hAnsi="Times New Roman" w:cs="Times New Roman"/>
                <w:kern w:val="0"/>
                <w:szCs w:val="24"/>
              </w:rPr>
            </w:pPr>
            <w:r>
              <w:rPr>
                <w:rFonts w:hint="eastAsia" w:ascii="Times New Roman" w:hAnsi="Times New Roman" w:cs="Times New Roman"/>
                <w:kern w:val="0"/>
                <w:szCs w:val="24"/>
              </w:rPr>
              <w:t>该园一方面招引一批高校科研机构。截至目前，中国农科院、中国农业大学、南京农业大学等科研单位在园区建立了试验示范基地。皖垦种业、荃银高科、丰大种业、华成种业等一批行业龙头公司入驻园区。”</w:t>
            </w:r>
          </w:p>
          <w:p w14:paraId="250D53AF">
            <w:pPr>
              <w:spacing w:line="360" w:lineRule="auto"/>
              <w:ind w:firstLine="482"/>
              <w:rPr>
                <w:color w:val="000000"/>
                <w:kern w:val="0"/>
                <w:sz w:val="24"/>
              </w:rPr>
            </w:pPr>
            <w:r>
              <w:rPr>
                <w:rFonts w:hint="eastAsia"/>
                <w:color w:val="000000"/>
                <w:sz w:val="24"/>
              </w:rPr>
              <w:t>宿州华升生态农业有限责任公司宿州华升种业园技术改造项目建设符合</w:t>
            </w:r>
            <w:r>
              <w:rPr>
                <w:rFonts w:hint="eastAsia"/>
                <w:color w:val="000000"/>
                <w:kern w:val="0"/>
                <w:sz w:val="24"/>
              </w:rPr>
              <w:t>国家现代农业示范区规划要求。</w:t>
            </w:r>
          </w:p>
          <w:p w14:paraId="0B502164">
            <w:pPr>
              <w:spacing w:line="360" w:lineRule="auto"/>
              <w:ind w:firstLine="482"/>
              <w:rPr>
                <w:color w:val="000000"/>
                <w:kern w:val="0"/>
                <w:sz w:val="24"/>
              </w:rPr>
            </w:pPr>
            <w:r>
              <w:rPr>
                <w:rFonts w:hint="eastAsia"/>
                <w:color w:val="000000"/>
                <w:kern w:val="0"/>
                <w:sz w:val="24"/>
              </w:rPr>
              <w:t>2、《宿州市埇桥区灰古镇总体规划》（2</w:t>
            </w:r>
            <w:r>
              <w:rPr>
                <w:color w:val="000000"/>
                <w:kern w:val="0"/>
                <w:sz w:val="24"/>
              </w:rPr>
              <w:t>016-2030</w:t>
            </w:r>
            <w:r>
              <w:rPr>
                <w:rFonts w:hint="eastAsia"/>
                <w:color w:val="000000"/>
                <w:kern w:val="0"/>
                <w:sz w:val="24"/>
              </w:rPr>
              <w:t>年）</w:t>
            </w:r>
          </w:p>
          <w:p w14:paraId="1C1DB161">
            <w:pPr>
              <w:spacing w:line="360" w:lineRule="auto"/>
              <w:ind w:firstLine="482"/>
              <w:rPr>
                <w:color w:val="000000"/>
                <w:kern w:val="0"/>
                <w:sz w:val="24"/>
              </w:rPr>
            </w:pPr>
            <w:r>
              <w:rPr>
                <w:rFonts w:hint="eastAsia"/>
                <w:color w:val="000000"/>
                <w:kern w:val="0"/>
                <w:sz w:val="24"/>
              </w:rPr>
              <w:t>根据《宿州市埇桥区灰古镇总体规划》（2</w:t>
            </w:r>
            <w:r>
              <w:rPr>
                <w:color w:val="000000"/>
                <w:kern w:val="0"/>
                <w:sz w:val="24"/>
              </w:rPr>
              <w:t>016-2030</w:t>
            </w:r>
            <w:r>
              <w:rPr>
                <w:rFonts w:hint="eastAsia"/>
                <w:color w:val="000000"/>
                <w:kern w:val="0"/>
                <w:sz w:val="24"/>
              </w:rPr>
              <w:t>年），灰古镇规划情况如下：</w:t>
            </w:r>
          </w:p>
          <w:p w14:paraId="3A2A849F">
            <w:pPr>
              <w:spacing w:line="360" w:lineRule="auto"/>
              <w:ind w:firstLine="482"/>
              <w:rPr>
                <w:color w:val="000000"/>
                <w:kern w:val="0"/>
                <w:sz w:val="24"/>
              </w:rPr>
            </w:pPr>
            <w:r>
              <w:rPr>
                <w:rFonts w:hint="eastAsia"/>
                <w:color w:val="000000"/>
                <w:kern w:val="0"/>
                <w:sz w:val="24"/>
              </w:rPr>
              <w:t>（1）等级规模结构规划</w:t>
            </w:r>
          </w:p>
          <w:p w14:paraId="0C2E8BF3">
            <w:pPr>
              <w:spacing w:line="360" w:lineRule="auto"/>
              <w:ind w:firstLine="482"/>
              <w:rPr>
                <w:color w:val="000000"/>
                <w:kern w:val="0"/>
                <w:sz w:val="24"/>
              </w:rPr>
            </w:pPr>
            <w:r>
              <w:rPr>
                <w:rFonts w:hint="eastAsia"/>
                <w:color w:val="000000"/>
                <w:kern w:val="0"/>
                <w:sz w:val="24"/>
              </w:rPr>
              <w:t>灰古镇村体系规划形成城镇、中心村二个等级规模，第一级：城镇-中心镇区，规划发展为5</w:t>
            </w:r>
            <w:r>
              <w:rPr>
                <w:color w:val="000000"/>
                <w:kern w:val="0"/>
                <w:sz w:val="24"/>
              </w:rPr>
              <w:t>.1</w:t>
            </w:r>
            <w:r>
              <w:rPr>
                <w:rFonts w:hint="eastAsia"/>
                <w:color w:val="000000"/>
                <w:kern w:val="0"/>
                <w:sz w:val="24"/>
              </w:rPr>
              <w:t>万人口的城镇。镇区是灰古镇的综合服务和产业中心，未来城镇人口和产业的主要聚集地。第二级：中心村-规划建设3个中心村，总人口规模1</w:t>
            </w:r>
            <w:r>
              <w:rPr>
                <w:color w:val="000000"/>
                <w:kern w:val="0"/>
                <w:sz w:val="24"/>
              </w:rPr>
              <w:t>.9</w:t>
            </w:r>
            <w:r>
              <w:rPr>
                <w:rFonts w:hint="eastAsia"/>
                <w:color w:val="000000"/>
                <w:kern w:val="0"/>
                <w:sz w:val="24"/>
              </w:rPr>
              <w:t>万人。</w:t>
            </w:r>
          </w:p>
          <w:p w14:paraId="70BBA7FD">
            <w:pPr>
              <w:spacing w:line="360" w:lineRule="auto"/>
              <w:ind w:firstLine="482"/>
              <w:rPr>
                <w:color w:val="000000"/>
                <w:kern w:val="0"/>
                <w:sz w:val="24"/>
              </w:rPr>
            </w:pPr>
            <w:r>
              <w:rPr>
                <w:rFonts w:hint="eastAsia"/>
                <w:color w:val="000000"/>
                <w:kern w:val="0"/>
                <w:sz w:val="24"/>
              </w:rPr>
              <w:t>（2）职能结构规划</w:t>
            </w:r>
          </w:p>
          <w:p w14:paraId="6A289662">
            <w:pPr>
              <w:spacing w:line="360" w:lineRule="auto"/>
              <w:ind w:firstLine="482"/>
              <w:rPr>
                <w:color w:val="000000"/>
                <w:kern w:val="0"/>
                <w:sz w:val="24"/>
              </w:rPr>
            </w:pPr>
            <w:r>
              <w:rPr>
                <w:rFonts w:hint="eastAsia"/>
                <w:color w:val="000000"/>
                <w:kern w:val="0"/>
                <w:sz w:val="24"/>
              </w:rPr>
              <w:t>灰古老镇区：镇域政治、教育、文化中心，重点承载李桥及八张、碾盘村人口转移。</w:t>
            </w:r>
          </w:p>
          <w:p w14:paraId="321E2902">
            <w:pPr>
              <w:spacing w:line="360" w:lineRule="auto"/>
              <w:ind w:firstLine="482"/>
              <w:rPr>
                <w:color w:val="000000"/>
                <w:kern w:val="0"/>
                <w:sz w:val="24"/>
              </w:rPr>
            </w:pPr>
            <w:r>
              <w:rPr>
                <w:rFonts w:hint="eastAsia"/>
                <w:color w:val="000000"/>
                <w:kern w:val="0"/>
                <w:sz w:val="24"/>
              </w:rPr>
              <w:t>付湖新镇区：埇桥国家现代农业示范区核心区的服务基地，通过农副产品深加工业，现代服务业的发展，实现灰古一二三产业联动发展，同时为示范区游客提供旅游服务。</w:t>
            </w:r>
          </w:p>
          <w:p w14:paraId="4A1811C9">
            <w:pPr>
              <w:spacing w:line="360" w:lineRule="auto"/>
              <w:ind w:firstLine="482"/>
              <w:rPr>
                <w:color w:val="000000"/>
                <w:kern w:val="0"/>
                <w:sz w:val="24"/>
              </w:rPr>
            </w:pPr>
            <w:r>
              <w:rPr>
                <w:rFonts w:hint="eastAsia"/>
                <w:color w:val="000000"/>
                <w:kern w:val="0"/>
                <w:sz w:val="24"/>
              </w:rPr>
              <w:t>绿色家居产业园：规划建成集绿色板材加工，高端家具制造及生产生活配套服务于一体的现代化工业园区。</w:t>
            </w:r>
          </w:p>
          <w:p w14:paraId="186F209E">
            <w:pPr>
              <w:spacing w:line="360" w:lineRule="auto"/>
              <w:ind w:firstLine="482"/>
              <w:rPr>
                <w:color w:val="000000"/>
                <w:kern w:val="0"/>
                <w:sz w:val="24"/>
              </w:rPr>
            </w:pPr>
            <w:r>
              <w:rPr>
                <w:rFonts w:hint="eastAsia"/>
                <w:color w:val="000000"/>
                <w:kern w:val="0"/>
                <w:sz w:val="24"/>
              </w:rPr>
              <w:t>（3）镇域空间结构</w:t>
            </w:r>
          </w:p>
          <w:p w14:paraId="7A4303A5">
            <w:pPr>
              <w:spacing w:line="360" w:lineRule="auto"/>
              <w:ind w:firstLine="482"/>
              <w:rPr>
                <w:color w:val="000000"/>
                <w:kern w:val="0"/>
                <w:sz w:val="24"/>
              </w:rPr>
            </w:pPr>
            <w:r>
              <w:rPr>
                <w:rFonts w:hint="eastAsia"/>
                <w:color w:val="000000"/>
                <w:kern w:val="0"/>
                <w:sz w:val="24"/>
              </w:rPr>
              <w:t>在规划期内，镇域体系空间布局将形成“一带一园、两轴双片、三核三点”的发展模式，形成以新汴河景观带为生态本底，埇桥区国家现代农业示范区核心区为发展引领，灰古老镇区，付湖新镇区和杨圩绿色家居产业园为核心，沿二徐路、唐河路为城镇发展轴，三个中心村共同发展的空间结构。</w:t>
            </w:r>
          </w:p>
          <w:p w14:paraId="77EFBE42">
            <w:pPr>
              <w:spacing w:line="360" w:lineRule="auto"/>
              <w:ind w:firstLine="482"/>
              <w:rPr>
                <w:color w:val="000000"/>
                <w:kern w:val="0"/>
                <w:sz w:val="24"/>
              </w:rPr>
            </w:pPr>
            <w:r>
              <w:rPr>
                <w:rFonts w:hint="eastAsia"/>
                <w:color w:val="000000"/>
                <w:kern w:val="0"/>
                <w:sz w:val="24"/>
              </w:rPr>
              <w:t>一带：新汴河景观带；一园：埇桥区国家现代农业示范区核心区；两轴：指以二徐路城镇南北向发展轴和以唐河路为主的东西向发展轴；双片：西部现代制造业发展片区，东部现代农业发展片区；三组团：包括灰古老镇区、付湖新镇区和杨圩绿色家居产业园区，是镇域城镇发展的核心区域；三点：指八张、碾盘和付湖三个中心村，作为镇域空间结构的支点。</w:t>
            </w:r>
          </w:p>
          <w:p w14:paraId="4362EAC7">
            <w:pPr>
              <w:spacing w:line="360" w:lineRule="auto"/>
              <w:ind w:firstLine="482"/>
              <w:rPr>
                <w:color w:val="000000"/>
                <w:kern w:val="0"/>
                <w:sz w:val="24"/>
              </w:rPr>
            </w:pPr>
            <w:r>
              <w:rPr>
                <w:rFonts w:hint="eastAsia"/>
                <w:color w:val="000000"/>
                <w:kern w:val="0"/>
                <w:sz w:val="24"/>
              </w:rPr>
              <w:t>本项目为谷物仓储项目，主要</w:t>
            </w:r>
            <w:r>
              <w:rPr>
                <w:rFonts w:hint="eastAsia"/>
                <w:color w:val="000000"/>
                <w:kern w:val="0"/>
                <w:sz w:val="24"/>
                <w:lang w:val="en-US" w:eastAsia="zh-CN"/>
              </w:rPr>
              <w:t>对</w:t>
            </w:r>
            <w:r>
              <w:rPr>
                <w:rFonts w:hint="default" w:ascii="Times New Roman" w:hAnsi="Times New Roman" w:cs="Times New Roman"/>
                <w:color w:val="000000"/>
                <w:sz w:val="24"/>
                <w:lang w:val="en-US" w:eastAsia="zh-CN"/>
              </w:rPr>
              <w:t>含湿率≥</w:t>
            </w:r>
            <w:r>
              <w:rPr>
                <w:rFonts w:hint="eastAsia" w:cs="Times New Roman"/>
                <w:color w:val="000000"/>
                <w:sz w:val="24"/>
                <w:lang w:val="en-US" w:eastAsia="zh-CN"/>
              </w:rPr>
              <w:t>25</w:t>
            </w:r>
            <w:r>
              <w:rPr>
                <w:rFonts w:hint="default" w:ascii="Times New Roman" w:hAnsi="Times New Roman" w:cs="Times New Roman"/>
                <w:color w:val="000000"/>
                <w:sz w:val="24"/>
                <w:lang w:val="en-US" w:eastAsia="zh-CN"/>
              </w:rPr>
              <w:t>%</w:t>
            </w:r>
            <w:r>
              <w:rPr>
                <w:rFonts w:hint="eastAsia" w:cs="Times New Roman"/>
                <w:color w:val="000000"/>
                <w:sz w:val="24"/>
                <w:lang w:val="en-US" w:eastAsia="zh-CN"/>
              </w:rPr>
              <w:t>粮食</w:t>
            </w:r>
            <w:r>
              <w:rPr>
                <w:rFonts w:hint="eastAsia"/>
                <w:color w:val="000000"/>
                <w:kern w:val="0"/>
                <w:sz w:val="24"/>
              </w:rPr>
              <w:t>进行烘干储存</w:t>
            </w:r>
            <w:r>
              <w:rPr>
                <w:rFonts w:hint="eastAsia"/>
                <w:color w:val="000000"/>
                <w:kern w:val="0"/>
                <w:sz w:val="24"/>
                <w:lang w:eastAsia="zh-CN"/>
              </w:rPr>
              <w:t>，</w:t>
            </w:r>
            <w:r>
              <w:rPr>
                <w:rFonts w:hint="eastAsia"/>
                <w:color w:val="000000"/>
                <w:kern w:val="0"/>
                <w:sz w:val="24"/>
                <w:lang w:val="en-US" w:eastAsia="zh-CN"/>
              </w:rPr>
              <w:t>其中80%的小麦作为小麦原种，50%的大豆作为大豆原种。剩余的大豆、小麦和玉米均作为商品粮外售</w:t>
            </w:r>
            <w:r>
              <w:rPr>
                <w:rFonts w:hint="eastAsia"/>
                <w:color w:val="000000"/>
                <w:kern w:val="0"/>
                <w:sz w:val="24"/>
              </w:rPr>
              <w:t>，选址位于安徽省宿州市</w:t>
            </w:r>
            <w:r>
              <w:rPr>
                <w:rFonts w:hint="eastAsia"/>
                <w:color w:val="000000"/>
                <w:sz w:val="24"/>
                <w:lang w:val="en-US" w:eastAsia="zh-CN"/>
              </w:rPr>
              <w:t>埇桥区灰古镇国家现代农业示范区</w:t>
            </w:r>
            <w:r>
              <w:rPr>
                <w:rFonts w:hint="eastAsia"/>
                <w:color w:val="000000"/>
                <w:sz w:val="24"/>
              </w:rPr>
              <w:t>东三环与北三环交叉口</w:t>
            </w:r>
            <w:r>
              <w:rPr>
                <w:rFonts w:hint="eastAsia"/>
                <w:color w:val="000000"/>
                <w:kern w:val="0"/>
                <w:sz w:val="24"/>
              </w:rPr>
              <w:t>，对照《宿州市埇桥区灰古镇总体规划》（2</w:t>
            </w:r>
            <w:r>
              <w:rPr>
                <w:color w:val="000000"/>
                <w:kern w:val="0"/>
                <w:sz w:val="24"/>
              </w:rPr>
              <w:t>016-2030</w:t>
            </w:r>
            <w:r>
              <w:rPr>
                <w:rFonts w:hint="eastAsia"/>
                <w:color w:val="000000"/>
                <w:kern w:val="0"/>
                <w:sz w:val="24"/>
              </w:rPr>
              <w:t>年），本项目属于“付湖新镇区”内，</w:t>
            </w:r>
            <w:r>
              <w:rPr>
                <w:rFonts w:hint="eastAsia"/>
                <w:color w:val="000000"/>
                <w:sz w:val="24"/>
              </w:rPr>
              <w:t>符合</w:t>
            </w:r>
            <w:r>
              <w:rPr>
                <w:rFonts w:hint="eastAsia"/>
                <w:color w:val="000000"/>
                <w:kern w:val="0"/>
                <w:sz w:val="24"/>
              </w:rPr>
              <w:t>国家现代农业示范区规划要求。</w:t>
            </w:r>
          </w:p>
        </w:tc>
      </w:tr>
      <w:tr w14:paraId="4B8CF3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627" w:type="pct"/>
            <w:vAlign w:val="center"/>
          </w:tcPr>
          <w:p w14:paraId="55EA8FFC">
            <w:pPr>
              <w:autoSpaceDE w:val="0"/>
              <w:autoSpaceDN w:val="0"/>
              <w:adjustRightInd w:val="0"/>
              <w:snapToGrid w:val="0"/>
              <w:jc w:val="center"/>
              <w:rPr>
                <w:color w:val="000000"/>
                <w:kern w:val="0"/>
                <w:sz w:val="24"/>
              </w:rPr>
            </w:pPr>
            <w:r>
              <w:rPr>
                <w:color w:val="000000"/>
                <w:kern w:val="0"/>
                <w:sz w:val="24"/>
              </w:rPr>
              <w:t>其他符合性分析</w:t>
            </w:r>
          </w:p>
        </w:tc>
        <w:tc>
          <w:tcPr>
            <w:tcW w:w="4372" w:type="pct"/>
            <w:gridSpan w:val="3"/>
            <w:vAlign w:val="center"/>
          </w:tcPr>
          <w:p w14:paraId="22A2AA03">
            <w:pPr>
              <w:autoSpaceDE w:val="0"/>
              <w:autoSpaceDN w:val="0"/>
              <w:spacing w:line="360" w:lineRule="auto"/>
              <w:rPr>
                <w:b/>
                <w:bCs/>
                <w:color w:val="000000"/>
                <w:kern w:val="0"/>
                <w:sz w:val="24"/>
              </w:rPr>
            </w:pPr>
            <w:bookmarkStart w:id="2" w:name="_Toc19247"/>
            <w:r>
              <w:rPr>
                <w:rFonts w:hint="eastAsia"/>
                <w:b/>
                <w:bCs/>
                <w:color w:val="000000"/>
                <w:kern w:val="0"/>
                <w:sz w:val="24"/>
              </w:rPr>
              <w:t>1、</w:t>
            </w:r>
            <w:r>
              <w:rPr>
                <w:b/>
                <w:bCs/>
                <w:color w:val="000000"/>
                <w:kern w:val="0"/>
                <w:sz w:val="24"/>
              </w:rPr>
              <w:t>产业政策符合性分析</w:t>
            </w:r>
          </w:p>
          <w:p w14:paraId="06FF7837">
            <w:pPr>
              <w:pStyle w:val="30"/>
              <w:ind w:firstLine="480"/>
              <w:jc w:val="both"/>
              <w:rPr>
                <w:rFonts w:ascii="Times New Roman" w:hAnsi="Times New Roman"/>
                <w:color w:val="000000"/>
              </w:rPr>
            </w:pPr>
            <w:r>
              <w:rPr>
                <w:rFonts w:hint="eastAsia" w:ascii="Times New Roman" w:hAnsi="Times New Roman"/>
                <w:color w:val="000000"/>
                <w:szCs w:val="24"/>
              </w:rPr>
              <w:t>本项目主要进行粮食烘干，属于农产品初加工项目。</w:t>
            </w:r>
            <w:r>
              <w:rPr>
                <w:rFonts w:ascii="Times New Roman" w:hAnsi="Times New Roman"/>
                <w:color w:val="000000"/>
                <w:szCs w:val="24"/>
              </w:rPr>
              <w:t>根据《产业结构调整指导目录（20</w:t>
            </w:r>
            <w:r>
              <w:rPr>
                <w:rFonts w:hint="eastAsia" w:ascii="Times New Roman" w:hAnsi="Times New Roman"/>
                <w:color w:val="000000"/>
                <w:szCs w:val="24"/>
              </w:rPr>
              <w:t>24</w:t>
            </w:r>
            <w:r>
              <w:rPr>
                <w:rFonts w:ascii="Times New Roman" w:hAnsi="Times New Roman"/>
                <w:color w:val="000000"/>
                <w:szCs w:val="24"/>
              </w:rPr>
              <w:t>年本）》，</w:t>
            </w:r>
            <w:r>
              <w:rPr>
                <w:rFonts w:hint="eastAsia" w:ascii="Times New Roman" w:hAnsi="Times New Roman"/>
                <w:color w:val="000000"/>
                <w:szCs w:val="24"/>
              </w:rPr>
              <w:t>不属于限制类（每小时35蒸吨及以下固定炉排放式生物质锅炉）和淘汰类（每小时2蒸吨及以下生物质锅炉）本项目使用的锅炉为</w:t>
            </w:r>
            <w:r>
              <w:rPr>
                <w:rFonts w:hint="eastAsia" w:ascii="Times New Roman" w:hAnsi="Times New Roman"/>
                <w:color w:val="000000"/>
                <w:szCs w:val="24"/>
                <w:lang w:val="en-US" w:eastAsia="zh-CN"/>
              </w:rPr>
              <w:t>5.6MW</w:t>
            </w:r>
            <w:r>
              <w:rPr>
                <w:rFonts w:hint="eastAsia" w:ascii="Times New Roman" w:hAnsi="Times New Roman"/>
                <w:color w:val="000000"/>
                <w:szCs w:val="24"/>
              </w:rPr>
              <w:t>生物质</w:t>
            </w:r>
            <w:r>
              <w:rPr>
                <w:rFonts w:hint="eastAsia" w:ascii="Times New Roman" w:hAnsi="Times New Roman"/>
                <w:color w:val="000000"/>
                <w:szCs w:val="24"/>
                <w:lang w:val="en-US" w:eastAsia="zh-CN"/>
              </w:rPr>
              <w:t>热风炉</w:t>
            </w:r>
            <w:r>
              <w:rPr>
                <w:rFonts w:hint="eastAsia" w:ascii="Times New Roman" w:hAnsi="Times New Roman"/>
                <w:color w:val="000000"/>
                <w:szCs w:val="24"/>
              </w:rPr>
              <w:t>，不属于非固定炉排放式生物质锅炉，故本项目</w:t>
            </w:r>
            <w:r>
              <w:rPr>
                <w:rFonts w:ascii="Times New Roman" w:hAnsi="Times New Roman"/>
                <w:color w:val="000000"/>
                <w:szCs w:val="24"/>
              </w:rPr>
              <w:t>视为允许类。项目已于202</w:t>
            </w:r>
            <w:r>
              <w:rPr>
                <w:rFonts w:hint="eastAsia" w:ascii="Times New Roman" w:hAnsi="Times New Roman"/>
                <w:color w:val="000000"/>
                <w:szCs w:val="24"/>
              </w:rPr>
              <w:t>4</w:t>
            </w:r>
            <w:r>
              <w:rPr>
                <w:rFonts w:ascii="Times New Roman" w:hAnsi="Times New Roman"/>
                <w:color w:val="000000"/>
                <w:szCs w:val="24"/>
              </w:rPr>
              <w:t>年</w:t>
            </w:r>
            <w:r>
              <w:rPr>
                <w:rFonts w:hint="eastAsia" w:ascii="Times New Roman" w:hAnsi="Times New Roman"/>
                <w:color w:val="000000"/>
                <w:szCs w:val="24"/>
              </w:rPr>
              <w:t>8</w:t>
            </w:r>
            <w:r>
              <w:rPr>
                <w:rFonts w:ascii="Times New Roman" w:hAnsi="Times New Roman"/>
                <w:color w:val="000000"/>
                <w:szCs w:val="24"/>
              </w:rPr>
              <w:t>月</w:t>
            </w:r>
            <w:r>
              <w:rPr>
                <w:rFonts w:hint="eastAsia" w:ascii="Times New Roman" w:hAnsi="Times New Roman"/>
                <w:color w:val="000000"/>
                <w:szCs w:val="24"/>
              </w:rPr>
              <w:t>07</w:t>
            </w:r>
            <w:r>
              <w:rPr>
                <w:rFonts w:ascii="Times New Roman" w:hAnsi="Times New Roman"/>
                <w:color w:val="000000"/>
                <w:szCs w:val="24"/>
              </w:rPr>
              <w:t>日经</w:t>
            </w:r>
            <w:r>
              <w:rPr>
                <w:rFonts w:hint="eastAsia" w:ascii="Times New Roman" w:hAnsi="Times New Roman"/>
                <w:color w:val="000000"/>
                <w:szCs w:val="24"/>
              </w:rPr>
              <w:t>宿州市埇桥区发展和改革委员会</w:t>
            </w:r>
            <w:r>
              <w:rPr>
                <w:rFonts w:ascii="Times New Roman" w:hAnsi="Times New Roman"/>
                <w:color w:val="000000"/>
                <w:szCs w:val="24"/>
              </w:rPr>
              <w:t>备案，项目编码为：</w:t>
            </w:r>
            <w:r>
              <w:rPr>
                <w:rFonts w:hint="eastAsia" w:ascii="Times New Roman" w:hAnsi="Times New Roman"/>
                <w:color w:val="000000"/>
                <w:szCs w:val="24"/>
              </w:rPr>
              <w:t>2408-341302-04-02-381633</w:t>
            </w:r>
            <w:r>
              <w:rPr>
                <w:rFonts w:ascii="Times New Roman" w:hAnsi="Times New Roman"/>
                <w:color w:val="000000"/>
                <w:szCs w:val="24"/>
              </w:rPr>
              <w:t>。因此，项目的建设符合地方的产业政策。</w:t>
            </w:r>
          </w:p>
          <w:p w14:paraId="11B38AE2">
            <w:pPr>
              <w:autoSpaceDE w:val="0"/>
              <w:autoSpaceDN w:val="0"/>
              <w:spacing w:line="360" w:lineRule="auto"/>
              <w:ind w:firstLine="480" w:firstLineChars="200"/>
              <w:rPr>
                <w:b/>
                <w:bCs/>
                <w:color w:val="000000"/>
                <w:kern w:val="0"/>
                <w:sz w:val="24"/>
              </w:rPr>
            </w:pPr>
            <w:r>
              <w:rPr>
                <w:color w:val="000000"/>
                <w:sz w:val="24"/>
              </w:rPr>
              <w:t>因此，本项目的建设符合现行</w:t>
            </w:r>
            <w:r>
              <w:rPr>
                <w:color w:val="000000"/>
                <w:kern w:val="0"/>
                <w:sz w:val="24"/>
              </w:rPr>
              <w:t>国家和地方产业政策要求。</w:t>
            </w:r>
          </w:p>
          <w:p w14:paraId="2FE3BCB8">
            <w:pPr>
              <w:pStyle w:val="20"/>
              <w:widowControl w:val="0"/>
              <w:spacing w:before="0" w:beforeAutospacing="0" w:after="0" w:afterAutospacing="0" w:line="360" w:lineRule="auto"/>
              <w:jc w:val="both"/>
              <w:rPr>
                <w:rFonts w:ascii="Times New Roman" w:hAnsi="Times New Roman"/>
                <w:b/>
                <w:szCs w:val="24"/>
              </w:rPr>
            </w:pPr>
            <w:r>
              <w:rPr>
                <w:rFonts w:ascii="Times New Roman" w:hAnsi="Times New Roman"/>
                <w:b/>
                <w:bCs/>
                <w:kern w:val="2"/>
                <w:szCs w:val="24"/>
                <w:lang w:bidi="ar"/>
              </w:rPr>
              <w:t>2、</w:t>
            </w:r>
            <w:r>
              <w:rPr>
                <w:rFonts w:ascii="Times New Roman" w:hAnsi="Times New Roman"/>
                <w:b/>
                <w:szCs w:val="24"/>
              </w:rPr>
              <w:t>项目选址合理性及周边环境相容性分析</w:t>
            </w:r>
          </w:p>
          <w:p w14:paraId="4ECBB6A9">
            <w:pPr>
              <w:spacing w:line="360" w:lineRule="auto"/>
              <w:ind w:firstLine="480" w:firstLineChars="200"/>
              <w:rPr>
                <w:color w:val="000000"/>
                <w:sz w:val="24"/>
              </w:rPr>
            </w:pPr>
            <w:r>
              <w:rPr>
                <w:sz w:val="24"/>
              </w:rPr>
              <w:t>（1）</w:t>
            </w:r>
            <w:r>
              <w:rPr>
                <w:rFonts w:hint="eastAsia"/>
                <w:sz w:val="24"/>
              </w:rPr>
              <w:t>选址符合性</w:t>
            </w:r>
          </w:p>
          <w:p w14:paraId="782B46BC">
            <w:pPr>
              <w:spacing w:line="360" w:lineRule="auto"/>
              <w:ind w:firstLine="480" w:firstLineChars="200"/>
              <w:jc w:val="left"/>
              <w:rPr>
                <w:sz w:val="24"/>
              </w:rPr>
            </w:pPr>
            <w:r>
              <w:rPr>
                <w:color w:val="000000"/>
                <w:sz w:val="24"/>
              </w:rPr>
              <w:t>项目位于</w:t>
            </w:r>
            <w:r>
              <w:rPr>
                <w:rFonts w:hint="eastAsia"/>
                <w:color w:val="000000"/>
                <w:sz w:val="24"/>
                <w:lang w:val="en-US" w:eastAsia="zh-CN"/>
              </w:rPr>
              <w:t>埇桥区灰古镇国家现代农业示范区</w:t>
            </w:r>
            <w:r>
              <w:rPr>
                <w:rFonts w:hint="eastAsia"/>
                <w:color w:val="000000"/>
                <w:sz w:val="24"/>
              </w:rPr>
              <w:t>东三环与北三环交叉口</w:t>
            </w:r>
            <w:r>
              <w:rPr>
                <w:color w:val="000000"/>
                <w:sz w:val="24"/>
              </w:rPr>
              <w:t>，</w:t>
            </w:r>
            <w:r>
              <w:rPr>
                <w:rFonts w:hint="eastAsia"/>
                <w:color w:val="000000"/>
                <w:sz w:val="24"/>
              </w:rPr>
              <w:t>用地性质属于设施农用地，</w:t>
            </w:r>
            <w:r>
              <w:rPr>
                <w:sz w:val="24"/>
              </w:rPr>
              <w:t>属于灰古镇规划的</w:t>
            </w:r>
            <w:r>
              <w:rPr>
                <w:rFonts w:hint="eastAsia" w:ascii="宋体" w:hAnsi="宋体" w:cs="宋体"/>
                <w:sz w:val="24"/>
              </w:rPr>
              <w:t>“埇桥区国家现代农业示范区”范围</w:t>
            </w:r>
            <w:r>
              <w:rPr>
                <w:sz w:val="24"/>
              </w:rPr>
              <w:t>内，</w:t>
            </w:r>
            <w:r>
              <w:rPr>
                <w:rFonts w:hint="eastAsia"/>
                <w:sz w:val="24"/>
              </w:rPr>
              <w:t>根据《自然资源部 农业农村部关于设施农业用地管理有关问题的通知》（自然规【2019】4号）可知，设施农业用地包括农业生产中直接用于作物种植和畜禽水产养殖的设施用地，其中作为种植设施用地包括作物生产和为生产服务的看护房、农资农机具存放场所等，以及与生产直接关联的烘干晾晒，分拣包装、保鲜存储等设施用地，本项目为粮食烘干项目，使用设施农业用地可行，且根据</w:t>
            </w:r>
            <w:r>
              <w:rPr>
                <w:sz w:val="24"/>
              </w:rPr>
              <w:t>《宿州市埇桥区灰古镇总体规划》（2016-2030年）的要求</w:t>
            </w:r>
            <w:r>
              <w:rPr>
                <w:rFonts w:hint="eastAsia"/>
                <w:sz w:val="24"/>
              </w:rPr>
              <w:t>本项目符合当地产业政策及规划要求。</w:t>
            </w:r>
            <w:r>
              <w:rPr>
                <w:sz w:val="24"/>
              </w:rPr>
              <w:t>因此项目选址合理。</w:t>
            </w:r>
          </w:p>
          <w:p w14:paraId="2F45963B">
            <w:pPr>
              <w:autoSpaceDE w:val="0"/>
              <w:autoSpaceDN w:val="0"/>
              <w:spacing w:line="360" w:lineRule="auto"/>
              <w:ind w:firstLine="480" w:firstLineChars="200"/>
              <w:rPr>
                <w:sz w:val="24"/>
              </w:rPr>
            </w:pPr>
            <w:r>
              <w:rPr>
                <w:sz w:val="24"/>
              </w:rPr>
              <w:t>（2）环境相容性</w:t>
            </w:r>
          </w:p>
          <w:p w14:paraId="1BA119B2">
            <w:pPr>
              <w:spacing w:line="360" w:lineRule="auto"/>
              <w:ind w:firstLine="480" w:firstLineChars="200"/>
              <w:rPr>
                <w:sz w:val="24"/>
              </w:rPr>
            </w:pPr>
            <w:r>
              <w:rPr>
                <w:rFonts w:hint="eastAsia" w:eastAsia="Arial"/>
                <w:snapToGrid w:val="0"/>
                <w:color w:val="000000"/>
                <w:sz w:val="24"/>
                <w:szCs w:val="21"/>
              </w:rPr>
              <w:t>本项目位于</w:t>
            </w:r>
            <w:r>
              <w:rPr>
                <w:rFonts w:hint="eastAsia"/>
                <w:color w:val="000000"/>
                <w:sz w:val="24"/>
                <w:lang w:val="en-US" w:eastAsia="zh-CN"/>
              </w:rPr>
              <w:t>埇桥区灰古镇国家现代农业示范区</w:t>
            </w:r>
            <w:r>
              <w:rPr>
                <w:rFonts w:hint="eastAsia"/>
                <w:color w:val="000000"/>
                <w:sz w:val="24"/>
              </w:rPr>
              <w:t>东三环与北三环交叉口</w:t>
            </w:r>
            <w:r>
              <w:rPr>
                <w:rFonts w:hint="eastAsia"/>
                <w:sz w:val="24"/>
              </w:rPr>
              <w:t>，项目东侧和南侧为大童家</w:t>
            </w:r>
            <w:r>
              <w:rPr>
                <w:rFonts w:hint="eastAsia"/>
                <w:sz w:val="24"/>
                <w:lang w:eastAsia="zh-CN"/>
              </w:rPr>
              <w:t>，</w:t>
            </w:r>
            <w:r>
              <w:rPr>
                <w:rFonts w:hint="eastAsia"/>
                <w:sz w:val="24"/>
              </w:rPr>
              <w:t>距离约10m，本项</w:t>
            </w:r>
            <w:r>
              <w:rPr>
                <w:rFonts w:hint="eastAsia"/>
                <w:color w:val="000000"/>
                <w:sz w:val="24"/>
              </w:rPr>
              <w:t>目主要为粮食烘干项目。项目筛分粉尘经</w:t>
            </w:r>
            <w:r>
              <w:rPr>
                <w:rFonts w:hint="eastAsia"/>
                <w:color w:val="000000"/>
                <w:sz w:val="24"/>
                <w:lang w:val="en-US" w:eastAsia="zh-CN"/>
              </w:rPr>
              <w:t>密闭收集</w:t>
            </w:r>
            <w:r>
              <w:rPr>
                <w:rFonts w:hint="eastAsia"/>
                <w:color w:val="000000"/>
                <w:sz w:val="24"/>
              </w:rPr>
              <w:t>+脉冲布袋除尘器（TA001）处理后15m高排气筒（DA001）排放；卸粮</w:t>
            </w:r>
            <w:r>
              <w:rPr>
                <w:rFonts w:hint="eastAsia"/>
                <w:color w:val="000000"/>
                <w:sz w:val="24"/>
                <w:lang w:val="en-US" w:eastAsia="zh-CN"/>
              </w:rPr>
              <w:t>粉尘经集气罩</w:t>
            </w:r>
            <w:r>
              <w:rPr>
                <w:rFonts w:hint="eastAsia"/>
                <w:color w:val="000000"/>
                <w:sz w:val="24"/>
              </w:rPr>
              <w:t>收集+布袋除尘器（TA002）处理后通过15m高排气筒排放（DA002）；生物质</w:t>
            </w:r>
            <w:r>
              <w:rPr>
                <w:rFonts w:hint="eastAsia"/>
                <w:color w:val="000000"/>
                <w:sz w:val="24"/>
                <w:lang w:val="en-US" w:eastAsia="zh-CN"/>
              </w:rPr>
              <w:t>热风炉</w:t>
            </w:r>
            <w:r>
              <w:rPr>
                <w:rFonts w:hint="eastAsia"/>
                <w:color w:val="000000"/>
                <w:sz w:val="24"/>
              </w:rPr>
              <w:t>采取低氮燃烧</w:t>
            </w:r>
            <w:r>
              <w:rPr>
                <w:rFonts w:hint="eastAsia"/>
                <w:color w:val="000000"/>
                <w:sz w:val="24"/>
                <w:lang w:val="en-US" w:eastAsia="zh-CN"/>
              </w:rPr>
              <w:t>技术，燃烧废气经</w:t>
            </w:r>
            <w:r>
              <w:rPr>
                <w:rFonts w:hint="eastAsia"/>
                <w:color w:val="000000"/>
                <w:sz w:val="24"/>
              </w:rPr>
              <w:t>布袋除尘器（TA00</w:t>
            </w:r>
            <w:r>
              <w:rPr>
                <w:rFonts w:hint="eastAsia"/>
                <w:color w:val="000000"/>
                <w:sz w:val="24"/>
                <w:lang w:val="en-US" w:eastAsia="zh-CN"/>
              </w:rPr>
              <w:t>3</w:t>
            </w:r>
            <w:r>
              <w:rPr>
                <w:rFonts w:hint="eastAsia"/>
                <w:color w:val="000000"/>
                <w:sz w:val="24"/>
              </w:rPr>
              <w:t>）处理后通过40m高排气筒（DA00</w:t>
            </w:r>
            <w:r>
              <w:rPr>
                <w:rFonts w:hint="eastAsia"/>
                <w:color w:val="000000"/>
                <w:sz w:val="24"/>
                <w:lang w:val="en-US" w:eastAsia="zh-CN"/>
              </w:rPr>
              <w:t>3</w:t>
            </w:r>
            <w:r>
              <w:rPr>
                <w:rFonts w:hint="eastAsia"/>
                <w:color w:val="000000"/>
                <w:sz w:val="24"/>
              </w:rPr>
              <w:t>）排放</w:t>
            </w:r>
            <w:r>
              <w:rPr>
                <w:rFonts w:hint="eastAsia"/>
                <w:color w:val="000000"/>
                <w:sz w:val="24"/>
                <w:lang w:eastAsia="zh-CN"/>
              </w:rPr>
              <w:t>；</w:t>
            </w:r>
            <w:r>
              <w:rPr>
                <w:rFonts w:hint="eastAsia"/>
                <w:color w:val="000000"/>
                <w:sz w:val="24"/>
                <w:lang w:val="en-US" w:eastAsia="zh-CN"/>
              </w:rPr>
              <w:t>烘干废气经密闭收集后经布袋除尘器（TA004）处理后通过</w:t>
            </w:r>
            <w:r>
              <w:rPr>
                <w:rFonts w:hint="eastAsia"/>
                <w:color w:val="auto"/>
                <w:sz w:val="24"/>
                <w:lang w:val="en-US" w:eastAsia="zh-CN"/>
              </w:rPr>
              <w:t>15m</w:t>
            </w:r>
            <w:r>
              <w:rPr>
                <w:rFonts w:hint="eastAsia"/>
                <w:color w:val="000000"/>
                <w:sz w:val="24"/>
                <w:lang w:val="en-US" w:eastAsia="zh-CN"/>
              </w:rPr>
              <w:t>高排气筒排放（DA004）</w:t>
            </w:r>
            <w:r>
              <w:rPr>
                <w:rFonts w:hint="eastAsia"/>
                <w:color w:val="000000"/>
                <w:sz w:val="24"/>
              </w:rPr>
              <w:t>项目在严格落</w:t>
            </w:r>
            <w:r>
              <w:rPr>
                <w:color w:val="000000"/>
                <w:sz w:val="24"/>
              </w:rPr>
              <w:t>实本评价要求的各项污染防治措施且正常运行后，各项污染达标</w:t>
            </w:r>
            <w:r>
              <w:rPr>
                <w:sz w:val="24"/>
              </w:rPr>
              <w:t>排放情况下，对周围环境影响较小，因此项目与周边环境相容。</w:t>
            </w:r>
          </w:p>
          <w:p w14:paraId="0E63875A">
            <w:pPr>
              <w:spacing w:line="360" w:lineRule="auto"/>
              <w:ind w:firstLine="480" w:firstLineChars="200"/>
              <w:rPr>
                <w:sz w:val="24"/>
              </w:rPr>
            </w:pPr>
            <w:r>
              <w:rPr>
                <w:sz w:val="24"/>
              </w:rPr>
              <w:t>综上所述，本项目的选址符合区域土地利用总体规划，项目各项污染物在各项处理措施建设实施后，能够达标排放，与周边环境相容；项目投入运行后对周围环境影响在可接受范围内，不会改变当地的环境功能。因此本项目选址是可行的。</w:t>
            </w:r>
          </w:p>
          <w:bookmarkEnd w:id="2"/>
          <w:p w14:paraId="1B4C3854">
            <w:pPr>
              <w:spacing w:line="360" w:lineRule="auto"/>
              <w:rPr>
                <w:b/>
                <w:bCs/>
                <w:sz w:val="24"/>
              </w:rPr>
            </w:pPr>
            <w:r>
              <w:rPr>
                <w:b/>
                <w:bCs/>
                <w:sz w:val="24"/>
                <w:lang w:bidi="ar"/>
              </w:rPr>
              <w:t>3、</w:t>
            </w:r>
            <w:r>
              <w:rPr>
                <w:b/>
                <w:bCs/>
                <w:sz w:val="24"/>
              </w:rPr>
              <w:t>“三线一单”符合性分析：</w:t>
            </w:r>
          </w:p>
          <w:p w14:paraId="56199D92">
            <w:pPr>
              <w:pStyle w:val="8"/>
              <w:snapToGrid/>
              <w:spacing w:before="0" w:after="0" w:line="360" w:lineRule="auto"/>
              <w:ind w:right="0" w:firstLine="480" w:firstLineChars="200"/>
              <w:rPr>
                <w:bCs/>
                <w:kern w:val="2"/>
                <w:sz w:val="24"/>
                <w:szCs w:val="24"/>
              </w:rPr>
            </w:pPr>
            <w:r>
              <w:rPr>
                <w:bCs/>
                <w:kern w:val="2"/>
                <w:sz w:val="24"/>
                <w:szCs w:val="24"/>
              </w:rPr>
              <w:t>（1）生态红线</w:t>
            </w:r>
          </w:p>
          <w:p w14:paraId="2FBEC694">
            <w:pPr>
              <w:pStyle w:val="8"/>
              <w:snapToGrid/>
              <w:spacing w:before="0" w:after="0" w:line="360" w:lineRule="auto"/>
              <w:ind w:right="0" w:firstLine="480" w:firstLineChars="200"/>
              <w:rPr>
                <w:bCs/>
                <w:kern w:val="2"/>
                <w:sz w:val="24"/>
                <w:szCs w:val="24"/>
              </w:rPr>
            </w:pPr>
            <w:r>
              <w:rPr>
                <w:bCs/>
                <w:kern w:val="2"/>
                <w:sz w:val="24"/>
                <w:szCs w:val="24"/>
              </w:rPr>
              <w:t>根据《宿州市“三线一单”》，宿州市共划定重点管控单元22个，面积为1641.71平方公里，占全市国土面积的16.52%，一般管控单元5个，面积为7225.23平方公里 占全市国土面积的72.7%。根据安徽省“三线一单 ”公众服务平台，生态环境分区管控单元编码为：ZH34130230003。项目所在区域不涉及生态保护红线。</w:t>
            </w:r>
          </w:p>
          <w:p w14:paraId="44D4DBC1">
            <w:pPr>
              <w:spacing w:line="360" w:lineRule="auto"/>
              <w:ind w:firstLine="480" w:firstLineChars="200"/>
              <w:rPr>
                <w:sz w:val="24"/>
              </w:rPr>
            </w:pPr>
            <w:r>
              <w:rPr>
                <w:sz w:val="24"/>
              </w:rPr>
              <w:t>（2）环境质量底线</w:t>
            </w:r>
          </w:p>
          <w:p w14:paraId="34FF5999">
            <w:pPr>
              <w:spacing w:line="360" w:lineRule="auto"/>
              <w:ind w:firstLine="480" w:firstLineChars="200"/>
              <w:rPr>
                <w:sz w:val="24"/>
              </w:rPr>
            </w:pPr>
            <w:r>
              <w:rPr>
                <w:sz w:val="24"/>
              </w:rPr>
              <w:t>1）环境空气</w:t>
            </w:r>
          </w:p>
          <w:p w14:paraId="431D1E4B">
            <w:pPr>
              <w:pStyle w:val="28"/>
              <w:adjustRightInd/>
              <w:spacing w:line="360" w:lineRule="auto"/>
              <w:ind w:firstLine="480" w:firstLineChars="200"/>
              <w:rPr>
                <w:rFonts w:ascii="Times New Roman" w:hAnsi="Times New Roman" w:cs="Times New Roman"/>
                <w:color w:val="auto"/>
                <w:szCs w:val="24"/>
              </w:rPr>
            </w:pPr>
            <w:r>
              <w:rPr>
                <w:rFonts w:ascii="Times New Roman" w:hAnsi="Times New Roman" w:cs="Times New Roman"/>
                <w:color w:val="auto"/>
                <w:szCs w:val="24"/>
              </w:rPr>
              <w:t>根据</w:t>
            </w:r>
            <w:r>
              <w:rPr>
                <w:rFonts w:hint="eastAsia" w:ascii="Times New Roman" w:hAnsi="Times New Roman" w:cs="Times New Roman"/>
                <w:color w:val="auto"/>
                <w:szCs w:val="24"/>
              </w:rPr>
              <w:t>宿州市</w:t>
            </w:r>
            <w:r>
              <w:rPr>
                <w:rFonts w:ascii="Times New Roman" w:hAnsi="Times New Roman" w:cs="Times New Roman"/>
                <w:color w:val="auto"/>
                <w:szCs w:val="32"/>
              </w:rPr>
              <w:t>2024年环境空气质量数据，项目所在区域环境空气质量现状如下，宿州市2024年SO</w:t>
            </w:r>
            <w:r>
              <w:rPr>
                <w:rFonts w:ascii="Times New Roman" w:hAnsi="Times New Roman" w:cs="Times New Roman"/>
                <w:color w:val="auto"/>
                <w:szCs w:val="32"/>
                <w:vertAlign w:val="subscript"/>
              </w:rPr>
              <w:t>2</w:t>
            </w:r>
            <w:r>
              <w:rPr>
                <w:rFonts w:ascii="Times New Roman" w:hAnsi="Times New Roman" w:cs="Times New Roman"/>
                <w:color w:val="auto"/>
                <w:szCs w:val="32"/>
              </w:rPr>
              <w:t>、NO</w:t>
            </w:r>
            <w:r>
              <w:rPr>
                <w:rFonts w:ascii="Times New Roman" w:hAnsi="Times New Roman" w:cs="Times New Roman"/>
                <w:color w:val="auto"/>
                <w:szCs w:val="32"/>
                <w:vertAlign w:val="subscript"/>
              </w:rPr>
              <w:t>2</w:t>
            </w:r>
            <w:r>
              <w:rPr>
                <w:rFonts w:ascii="Times New Roman" w:hAnsi="Times New Roman" w:cs="Times New Roman"/>
                <w:color w:val="auto"/>
                <w:szCs w:val="32"/>
              </w:rPr>
              <w:t>、PM</w:t>
            </w:r>
            <w:r>
              <w:rPr>
                <w:rFonts w:ascii="Times New Roman" w:hAnsi="Times New Roman" w:cs="Times New Roman"/>
                <w:color w:val="auto"/>
                <w:szCs w:val="32"/>
                <w:vertAlign w:val="subscript"/>
              </w:rPr>
              <w:t>10</w:t>
            </w:r>
            <w:r>
              <w:rPr>
                <w:rFonts w:ascii="Times New Roman" w:hAnsi="Times New Roman" w:cs="Times New Roman"/>
                <w:color w:val="auto"/>
                <w:szCs w:val="32"/>
              </w:rPr>
              <w:t>、PM</w:t>
            </w:r>
            <w:r>
              <w:rPr>
                <w:rFonts w:ascii="Times New Roman" w:hAnsi="Times New Roman" w:cs="Times New Roman"/>
                <w:color w:val="auto"/>
                <w:szCs w:val="32"/>
                <w:vertAlign w:val="subscript"/>
              </w:rPr>
              <w:t>2.5</w:t>
            </w:r>
            <w:r>
              <w:rPr>
                <w:rFonts w:ascii="Times New Roman" w:hAnsi="Times New Roman" w:cs="Times New Roman"/>
                <w:color w:val="auto"/>
                <w:szCs w:val="32"/>
              </w:rPr>
              <w:t>年均浓度分别为6μg/m</w:t>
            </w:r>
            <w:r>
              <w:rPr>
                <w:rFonts w:ascii="Times New Roman" w:hAnsi="Times New Roman" w:cs="Times New Roman"/>
                <w:color w:val="auto"/>
                <w:szCs w:val="32"/>
                <w:vertAlign w:val="superscript"/>
              </w:rPr>
              <w:t>3</w:t>
            </w:r>
            <w:r>
              <w:rPr>
                <w:rFonts w:ascii="Times New Roman" w:hAnsi="Times New Roman" w:cs="Times New Roman"/>
                <w:color w:val="auto"/>
                <w:szCs w:val="32"/>
              </w:rPr>
              <w:t>、18μg/m</w:t>
            </w:r>
            <w:r>
              <w:rPr>
                <w:rFonts w:ascii="Times New Roman" w:hAnsi="Times New Roman" w:cs="Times New Roman"/>
                <w:color w:val="auto"/>
                <w:szCs w:val="32"/>
                <w:vertAlign w:val="superscript"/>
              </w:rPr>
              <w:t>3</w:t>
            </w:r>
            <w:r>
              <w:rPr>
                <w:rFonts w:ascii="Times New Roman" w:hAnsi="Times New Roman" w:cs="Times New Roman"/>
                <w:color w:val="auto"/>
                <w:szCs w:val="32"/>
              </w:rPr>
              <w:t>、71μg/m</w:t>
            </w:r>
            <w:r>
              <w:rPr>
                <w:rFonts w:ascii="Times New Roman" w:hAnsi="Times New Roman" w:cs="Times New Roman"/>
                <w:color w:val="auto"/>
                <w:szCs w:val="32"/>
                <w:vertAlign w:val="superscript"/>
              </w:rPr>
              <w:t>3</w:t>
            </w:r>
            <w:r>
              <w:rPr>
                <w:rFonts w:ascii="Times New Roman" w:hAnsi="Times New Roman" w:cs="Times New Roman"/>
                <w:color w:val="auto"/>
                <w:szCs w:val="32"/>
              </w:rPr>
              <w:t>、43μg/m</w:t>
            </w:r>
            <w:r>
              <w:rPr>
                <w:rFonts w:ascii="Times New Roman" w:hAnsi="Times New Roman" w:cs="Times New Roman"/>
                <w:color w:val="auto"/>
                <w:szCs w:val="32"/>
                <w:vertAlign w:val="superscript"/>
              </w:rPr>
              <w:t>3</w:t>
            </w:r>
            <w:r>
              <w:rPr>
                <w:rFonts w:ascii="Times New Roman" w:hAnsi="Times New Roman" w:cs="Times New Roman"/>
                <w:color w:val="auto"/>
                <w:szCs w:val="32"/>
              </w:rPr>
              <w:t>；CO 24小时平均第95百分位数为0.9mg/m</w:t>
            </w:r>
            <w:r>
              <w:rPr>
                <w:rFonts w:ascii="Times New Roman" w:hAnsi="Times New Roman" w:cs="Times New Roman"/>
                <w:color w:val="auto"/>
                <w:szCs w:val="32"/>
                <w:vertAlign w:val="superscript"/>
              </w:rPr>
              <w:t>3</w:t>
            </w:r>
            <w:r>
              <w:rPr>
                <w:rFonts w:ascii="Times New Roman" w:hAnsi="Times New Roman" w:cs="Times New Roman"/>
                <w:color w:val="auto"/>
                <w:szCs w:val="32"/>
              </w:rPr>
              <w:t>，O</w:t>
            </w:r>
            <w:r>
              <w:rPr>
                <w:rFonts w:ascii="Times New Roman" w:hAnsi="Times New Roman" w:cs="Times New Roman"/>
                <w:color w:val="auto"/>
                <w:szCs w:val="32"/>
                <w:vertAlign w:val="subscript"/>
              </w:rPr>
              <w:t>3</w:t>
            </w:r>
            <w:r>
              <w:rPr>
                <w:rFonts w:ascii="Times New Roman" w:hAnsi="Times New Roman" w:cs="Times New Roman"/>
                <w:color w:val="auto"/>
                <w:szCs w:val="32"/>
              </w:rPr>
              <w:t>日最大8小时平均第90百分位数为170 μg/m</w:t>
            </w:r>
            <w:r>
              <w:rPr>
                <w:rFonts w:ascii="Times New Roman" w:hAnsi="Times New Roman" w:cs="Times New Roman"/>
                <w:color w:val="auto"/>
                <w:szCs w:val="32"/>
                <w:vertAlign w:val="superscript"/>
              </w:rPr>
              <w:t>3</w:t>
            </w:r>
            <w:r>
              <w:rPr>
                <w:rFonts w:ascii="Times New Roman" w:hAnsi="Times New Roman" w:cs="Times New Roman"/>
                <w:color w:val="auto"/>
                <w:szCs w:val="32"/>
              </w:rPr>
              <w:t>；超过《环境空气质量标准》（GB3095-2012）中二级标准限值的污染物为PM</w:t>
            </w:r>
            <w:r>
              <w:rPr>
                <w:rFonts w:ascii="Times New Roman" w:hAnsi="Times New Roman" w:cs="Times New Roman"/>
                <w:color w:val="auto"/>
                <w:szCs w:val="32"/>
                <w:vertAlign w:val="subscript"/>
              </w:rPr>
              <w:t>10</w:t>
            </w:r>
            <w:r>
              <w:rPr>
                <w:rFonts w:ascii="Times New Roman" w:hAnsi="Times New Roman" w:cs="Times New Roman"/>
                <w:color w:val="auto"/>
                <w:szCs w:val="32"/>
              </w:rPr>
              <w:t>、O</w:t>
            </w:r>
            <w:r>
              <w:rPr>
                <w:rFonts w:ascii="Times New Roman" w:hAnsi="Times New Roman" w:cs="Times New Roman"/>
                <w:color w:val="auto"/>
                <w:szCs w:val="32"/>
                <w:vertAlign w:val="subscript"/>
              </w:rPr>
              <w:t>3</w:t>
            </w:r>
            <w:r>
              <w:rPr>
                <w:rFonts w:ascii="Times New Roman" w:hAnsi="Times New Roman" w:cs="Times New Roman"/>
                <w:color w:val="auto"/>
                <w:szCs w:val="32"/>
              </w:rPr>
              <w:t>、PM</w:t>
            </w:r>
            <w:r>
              <w:rPr>
                <w:rFonts w:ascii="Times New Roman" w:hAnsi="Times New Roman" w:cs="Times New Roman"/>
                <w:color w:val="auto"/>
                <w:szCs w:val="32"/>
                <w:vertAlign w:val="subscript"/>
              </w:rPr>
              <w:t>2.5</w:t>
            </w:r>
            <w:r>
              <w:rPr>
                <w:rFonts w:ascii="Times New Roman" w:hAnsi="Times New Roman" w:cs="Times New Roman"/>
                <w:color w:val="auto"/>
                <w:szCs w:val="32"/>
              </w:rPr>
              <w:t>。</w:t>
            </w:r>
            <w:r>
              <w:rPr>
                <w:rFonts w:ascii="Times New Roman" w:hAnsi="Times New Roman" w:cs="Times New Roman"/>
                <w:color w:val="auto"/>
                <w:szCs w:val="24"/>
              </w:rPr>
              <w:t>因此项目所在区域环境空气质量为不达标区。</w:t>
            </w:r>
          </w:p>
          <w:p w14:paraId="4F2009AC">
            <w:pPr>
              <w:spacing w:line="360" w:lineRule="auto"/>
              <w:ind w:firstLine="480" w:firstLineChars="200"/>
              <w:rPr>
                <w:sz w:val="24"/>
              </w:rPr>
            </w:pPr>
            <w:r>
              <w:rPr>
                <w:sz w:val="24"/>
              </w:rPr>
              <w:t>本项目的建设不会恶化区域环境质量功能，不会触碰区域环境质量底线。</w:t>
            </w:r>
          </w:p>
          <w:p w14:paraId="1B1FF0F1">
            <w:pPr>
              <w:tabs>
                <w:tab w:val="left" w:pos="1551"/>
              </w:tabs>
              <w:spacing w:line="360" w:lineRule="auto"/>
              <w:ind w:firstLine="480" w:firstLineChars="200"/>
              <w:rPr>
                <w:sz w:val="24"/>
              </w:rPr>
            </w:pPr>
            <w:r>
              <w:rPr>
                <w:sz w:val="24"/>
              </w:rPr>
              <w:t>2）地表水</w:t>
            </w:r>
          </w:p>
          <w:p w14:paraId="336AFEC8">
            <w:pPr>
              <w:spacing w:line="360" w:lineRule="auto"/>
              <w:ind w:firstLine="480" w:firstLineChars="200"/>
              <w:rPr>
                <w:sz w:val="24"/>
              </w:rPr>
            </w:pPr>
            <w:r>
              <w:rPr>
                <w:rFonts w:hint="eastAsia"/>
                <w:sz w:val="24"/>
                <w:szCs w:val="32"/>
              </w:rPr>
              <w:t>本项目</w:t>
            </w:r>
            <w:r>
              <w:rPr>
                <w:sz w:val="24"/>
              </w:rPr>
              <w:t>生活污水</w:t>
            </w:r>
            <w:r>
              <w:rPr>
                <w:rFonts w:hint="eastAsia"/>
                <w:sz w:val="24"/>
              </w:rPr>
              <w:t>经</w:t>
            </w:r>
            <w:r>
              <w:rPr>
                <w:sz w:val="24"/>
              </w:rPr>
              <w:t>化粪池</w:t>
            </w:r>
            <w:r>
              <w:rPr>
                <w:rFonts w:hint="eastAsia"/>
                <w:sz w:val="24"/>
              </w:rPr>
              <w:t>预处理后定期清掏，不外排</w:t>
            </w:r>
            <w:r>
              <w:rPr>
                <w:sz w:val="24"/>
              </w:rPr>
              <w:t>。因此，本项目建成后对区域地表水体影响小。</w:t>
            </w:r>
          </w:p>
          <w:p w14:paraId="2ABCFF19">
            <w:pPr>
              <w:pStyle w:val="8"/>
              <w:snapToGrid/>
              <w:spacing w:before="0" w:after="0" w:line="360" w:lineRule="auto"/>
              <w:ind w:right="0" w:firstLine="480" w:firstLineChars="200"/>
              <w:rPr>
                <w:kern w:val="2"/>
                <w:sz w:val="24"/>
                <w:szCs w:val="24"/>
              </w:rPr>
            </w:pPr>
            <w:r>
              <w:rPr>
                <w:sz w:val="24"/>
                <w:szCs w:val="24"/>
              </w:rPr>
              <w:t>4）</w:t>
            </w:r>
            <w:r>
              <w:rPr>
                <w:kern w:val="2"/>
                <w:sz w:val="24"/>
                <w:szCs w:val="24"/>
              </w:rPr>
              <w:t>土壤环境风险防控底线</w:t>
            </w:r>
          </w:p>
          <w:p w14:paraId="2F931DA7">
            <w:pPr>
              <w:pStyle w:val="8"/>
              <w:snapToGrid/>
              <w:spacing w:before="0" w:after="0" w:line="360" w:lineRule="auto"/>
              <w:ind w:right="0" w:firstLine="480" w:firstLineChars="200"/>
              <w:rPr>
                <w:kern w:val="2"/>
                <w:sz w:val="24"/>
                <w:szCs w:val="24"/>
              </w:rPr>
            </w:pPr>
            <w:r>
              <w:rPr>
                <w:kern w:val="2"/>
                <w:sz w:val="24"/>
                <w:szCs w:val="24"/>
              </w:rPr>
              <w:t>本项目建设不占用永久基本农田；项目对可能产生地下水、土壤影响的各项途径均进行有效预防，在确保各项防渗措施得以落实，并加强维护和厂区环境管理的前提下，可有效控制厂区内的废水污染物下渗现象，避免污染土壤，因此本项目不会对区域土壤环境产生明显影响。综上所述，本项目运营过程中排放的污染物对周边环境影响很小，符合环境质量底线要求。</w:t>
            </w:r>
          </w:p>
          <w:p w14:paraId="39E552A8">
            <w:pPr>
              <w:spacing w:line="360" w:lineRule="auto"/>
              <w:ind w:firstLine="480" w:firstLineChars="200"/>
              <w:rPr>
                <w:sz w:val="24"/>
              </w:rPr>
            </w:pPr>
            <w:r>
              <w:rPr>
                <w:sz w:val="24"/>
              </w:rPr>
              <w:t>（3）资源利用上线</w:t>
            </w:r>
          </w:p>
          <w:p w14:paraId="2DA0B958">
            <w:pPr>
              <w:pStyle w:val="28"/>
              <w:adjustRightInd/>
              <w:spacing w:line="360" w:lineRule="auto"/>
              <w:ind w:firstLine="480" w:firstLineChars="200"/>
              <w:rPr>
                <w:rFonts w:ascii="Times New Roman" w:hAnsi="Times New Roman" w:cs="Times New Roman"/>
                <w:color w:val="auto"/>
                <w:szCs w:val="24"/>
              </w:rPr>
            </w:pPr>
            <w:r>
              <w:rPr>
                <w:rFonts w:ascii="Times New Roman" w:hAnsi="Times New Roman" w:cs="Times New Roman"/>
                <w:color w:val="auto"/>
                <w:szCs w:val="24"/>
              </w:rPr>
              <w:t>项目占用资源主要为水、电及项目用地，项目用电由</w:t>
            </w:r>
            <w:r>
              <w:rPr>
                <w:rFonts w:hint="eastAsia" w:ascii="Times New Roman" w:hAnsi="Times New Roman" w:cs="Times New Roman"/>
                <w:color w:val="auto"/>
                <w:szCs w:val="24"/>
              </w:rPr>
              <w:t>市政</w:t>
            </w:r>
            <w:r>
              <w:rPr>
                <w:rFonts w:ascii="Times New Roman" w:hAnsi="Times New Roman" w:cs="Times New Roman"/>
                <w:color w:val="auto"/>
                <w:szCs w:val="24"/>
              </w:rPr>
              <w:t>电网提供，不会突破园区资源利用上线要求。</w:t>
            </w:r>
          </w:p>
          <w:p w14:paraId="09F3354C">
            <w:pPr>
              <w:pStyle w:val="28"/>
              <w:adjustRightInd/>
              <w:spacing w:line="360" w:lineRule="auto"/>
              <w:ind w:firstLine="480" w:firstLineChars="200"/>
              <w:rPr>
                <w:rFonts w:ascii="Times New Roman" w:hAnsi="Times New Roman" w:cs="Times New Roman"/>
                <w:color w:val="auto"/>
                <w:szCs w:val="24"/>
              </w:rPr>
            </w:pPr>
            <w:r>
              <w:rPr>
                <w:rFonts w:hint="eastAsia" w:ascii="Times New Roman" w:hAnsi="Times New Roman" w:cs="Times New Roman"/>
                <w:color w:val="auto"/>
                <w:szCs w:val="24"/>
              </w:rPr>
              <w:t>依据《安</w:t>
            </w:r>
            <w:r>
              <w:rPr>
                <w:rFonts w:ascii="Times New Roman" w:hAnsi="Times New Roman" w:cs="Times New Roman"/>
                <w:color w:val="auto"/>
                <w:szCs w:val="24"/>
              </w:rPr>
              <w:t>徽省人民政府办公厅关于公布地下水超采区、限采区范围的通知》（皖政办秘〔2015〕179号），省水利厅、发改委、经信委、自然资源厅、生态环境厅、住建厅联合印发的《关于印发〈安徽省地下水超采区治理方案&gt;的通知》（皖水资源〔2015〕91号）要求，结合《安徽省地下水超采区评价》成果，将已公布的限采区作为2020年水资源重点管控区域。其余区域作为水资源一般管控区。</w:t>
            </w:r>
            <w:r>
              <w:rPr>
                <w:rFonts w:hint="eastAsia" w:ascii="Times New Roman" w:hAnsi="Times New Roman" w:cs="Times New Roman"/>
                <w:color w:val="auto"/>
                <w:szCs w:val="24"/>
              </w:rPr>
              <w:t>宿州市埇桥区</w:t>
            </w:r>
            <w:r>
              <w:rPr>
                <w:rFonts w:ascii="Times New Roman" w:hAnsi="Times New Roman" w:cs="Times New Roman"/>
                <w:color w:val="auto"/>
                <w:szCs w:val="24"/>
              </w:rPr>
              <w:t>为水资源一般管控区，区内水资源丰富能够满足项目使用需求。</w:t>
            </w:r>
          </w:p>
          <w:p w14:paraId="52504D4B">
            <w:pPr>
              <w:pStyle w:val="8"/>
              <w:snapToGrid/>
              <w:spacing w:before="0" w:after="0" w:line="360" w:lineRule="auto"/>
              <w:ind w:right="0" w:firstLine="480" w:firstLineChars="200"/>
              <w:rPr>
                <w:kern w:val="2"/>
                <w:sz w:val="24"/>
                <w:szCs w:val="24"/>
              </w:rPr>
            </w:pPr>
            <w:r>
              <w:rPr>
                <w:kern w:val="2"/>
                <w:sz w:val="24"/>
                <w:szCs w:val="24"/>
              </w:rPr>
              <w:t>根据《宿州市生态环境分区管控编制文本》，宿州市尚未划定土地资源重点管控区，均按照一般管控区施行，并落实《宿州市国土空间总体规划》（2021-2035年）等要求。项目位于</w:t>
            </w:r>
            <w:r>
              <w:rPr>
                <w:rFonts w:hint="eastAsia"/>
                <w:color w:val="000000"/>
                <w:sz w:val="24"/>
              </w:rPr>
              <w:t>宿州市埇桥区灰古镇国家现代农业示范区东三环与北三环交叉口</w:t>
            </w:r>
            <w:r>
              <w:rPr>
                <w:kern w:val="2"/>
                <w:sz w:val="24"/>
                <w:szCs w:val="24"/>
              </w:rPr>
              <w:t>，</w:t>
            </w:r>
            <w:r>
              <w:rPr>
                <w:rFonts w:hint="eastAsia"/>
                <w:kern w:val="2"/>
                <w:sz w:val="24"/>
                <w:szCs w:val="24"/>
              </w:rPr>
              <w:t>不涉及新建土地</w:t>
            </w:r>
            <w:r>
              <w:rPr>
                <w:kern w:val="2"/>
                <w:sz w:val="24"/>
                <w:szCs w:val="24"/>
              </w:rPr>
              <w:t>，不会突破土地资源利用上线。</w:t>
            </w:r>
          </w:p>
          <w:p w14:paraId="6DB22849">
            <w:pPr>
              <w:spacing w:line="360" w:lineRule="auto"/>
              <w:ind w:firstLine="480" w:firstLineChars="200"/>
              <w:rPr>
                <w:sz w:val="24"/>
              </w:rPr>
            </w:pPr>
            <w:r>
              <w:rPr>
                <w:sz w:val="24"/>
              </w:rPr>
              <w:t>（4）生态环境准入清单</w:t>
            </w:r>
          </w:p>
          <w:p w14:paraId="66C063E4">
            <w:pPr>
              <w:spacing w:line="360" w:lineRule="auto"/>
              <w:ind w:firstLine="480" w:firstLineChars="200"/>
              <w:rPr>
                <w:bCs/>
                <w:color w:val="000000" w:themeColor="text1"/>
                <w:sz w:val="24"/>
                <w14:textFill>
                  <w14:solidFill>
                    <w14:schemeClr w14:val="tx1"/>
                  </w14:solidFill>
                </w14:textFill>
              </w:rPr>
            </w:pPr>
            <w:r>
              <w:rPr>
                <w:sz w:val="24"/>
              </w:rPr>
              <w:t>本环评对照国家及地方产业政策和《市场准入负面清单（2022年版）》进行说明：本项目为</w:t>
            </w:r>
            <w:r>
              <w:rPr>
                <w:rFonts w:hint="eastAsia"/>
                <w:sz w:val="24"/>
                <w:lang w:val="en-US" w:eastAsia="zh-CN"/>
              </w:rPr>
              <w:t>粮食仓储、</w:t>
            </w:r>
            <w:r>
              <w:rPr>
                <w:rFonts w:hint="eastAsia"/>
                <w:sz w:val="24"/>
              </w:rPr>
              <w:t>热力生产和供应</w:t>
            </w:r>
            <w:r>
              <w:rPr>
                <w:rFonts w:hint="eastAsia"/>
                <w:sz w:val="24"/>
                <w:lang w:val="en-US" w:eastAsia="zh-CN"/>
              </w:rPr>
              <w:t>项目</w:t>
            </w:r>
            <w:r>
              <w:rPr>
                <w:sz w:val="24"/>
              </w:rPr>
              <w:t>，不属于《市场准入负面清单（2022年版）》中禁止准入类项目。根据《产业结构调整指导目录（</w:t>
            </w:r>
            <w:r>
              <w:rPr>
                <w:rFonts w:hint="eastAsia"/>
                <w:sz w:val="24"/>
              </w:rPr>
              <w:t>2024</w:t>
            </w:r>
            <w:r>
              <w:rPr>
                <w:sz w:val="24"/>
              </w:rPr>
              <w:t>年本）》，本项目不属于限制类及淘汰类产业项目，视为“允许类”。因此本项目的建设符合国家的产业政策。</w:t>
            </w:r>
          </w:p>
          <w:p w14:paraId="7DC506E7">
            <w:pPr>
              <w:spacing w:line="360" w:lineRule="auto"/>
              <w:ind w:firstLine="480" w:firstLineChars="200"/>
              <w:rPr>
                <w:b/>
                <w:bCs/>
                <w:color w:val="000000" w:themeColor="text1"/>
                <w:sz w:val="24"/>
                <w14:textFill>
                  <w14:solidFill>
                    <w14:schemeClr w14:val="tx1"/>
                  </w14:solidFill>
                </w14:textFill>
              </w:rPr>
            </w:pPr>
            <w:r>
              <w:rPr>
                <w:bCs/>
                <w:color w:val="000000" w:themeColor="text1"/>
                <w:sz w:val="24"/>
                <w14:textFill>
                  <w14:solidFill>
                    <w14:schemeClr w14:val="tx1"/>
                  </w14:solidFill>
                </w14:textFill>
              </w:rPr>
              <w:t>综上所述，本项目不在主导生态功能区范围内，且不在当地饮用水源、风景区、自然保护区等生态保护区内：区域</w:t>
            </w:r>
            <w:r>
              <w:rPr>
                <w:rFonts w:hint="eastAsia"/>
                <w:bCs/>
                <w:color w:val="000000" w:themeColor="text1"/>
                <w:sz w:val="24"/>
                <w14:textFill>
                  <w14:solidFill>
                    <w14:schemeClr w14:val="tx1"/>
                  </w14:solidFill>
                </w14:textFill>
              </w:rPr>
              <w:t>环境</w:t>
            </w:r>
            <w:r>
              <w:rPr>
                <w:bCs/>
                <w:color w:val="000000" w:themeColor="text1"/>
                <w:sz w:val="24"/>
                <w14:textFill>
                  <w14:solidFill>
                    <w14:schemeClr w14:val="tx1"/>
                  </w14:solidFill>
                </w14:textFill>
              </w:rPr>
              <w:t>质量不低于项目所在地环境功能区划要求，且有一定的环境容量，且各污染物均不超标：符合环境准入标准和要求。</w:t>
            </w:r>
          </w:p>
          <w:p w14:paraId="0AA6CD66">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（5）环境分区管控</w:t>
            </w:r>
          </w:p>
          <w:p w14:paraId="3C2270BC">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根据安徽省“三线一单”公众服务平台，生态环境分区管控单元编码为：</w:t>
            </w:r>
            <w:r>
              <w:rPr>
                <w:rFonts w:hint="eastAsia"/>
                <w:sz w:val="24"/>
              </w:rPr>
              <w:t>ZH34130230003</w:t>
            </w:r>
            <w:r>
              <w:rPr>
                <w:rFonts w:hint="eastAsia"/>
                <w:bCs/>
                <w:color w:val="000000" w:themeColor="text1"/>
                <w:sz w:val="24"/>
                <w14:textFill>
                  <w14:solidFill>
                    <w14:schemeClr w14:val="tx1"/>
                  </w14:solidFill>
                </w14:textFill>
              </w:rPr>
              <w:t>，属于一般管控单元，项目建设符合其空间布局约束、污染物排放管控、资源开发效率等要求。项目基本信息见下表。</w:t>
            </w:r>
          </w:p>
          <w:p w14:paraId="104BBC5C">
            <w:pPr>
              <w:ind w:firstLine="482"/>
              <w:jc w:val="center"/>
              <w:rPr>
                <w:b/>
                <w:bCs/>
                <w:sz w:val="24"/>
              </w:rPr>
            </w:pPr>
            <w:r>
              <w:rPr>
                <w:b/>
                <w:bCs/>
                <w:sz w:val="24"/>
              </w:rPr>
              <w:t>表1-</w:t>
            </w:r>
            <w:r>
              <w:rPr>
                <w:rFonts w:hint="eastAsia"/>
                <w:b/>
                <w:bCs/>
                <w:sz w:val="24"/>
              </w:rPr>
              <w:t>1</w:t>
            </w:r>
            <w:r>
              <w:rPr>
                <w:b/>
                <w:bCs/>
                <w:sz w:val="24"/>
              </w:rPr>
              <w:t xml:space="preserve"> 项目分区管控单元基本信息</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3517"/>
              <w:gridCol w:w="3048"/>
            </w:tblGrid>
            <w:tr w14:paraId="2871E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pct"/>
                  <w:vAlign w:val="center"/>
                </w:tcPr>
                <w:p w14:paraId="4485C3A7">
                  <w:pPr>
                    <w:pStyle w:val="13"/>
                    <w:jc w:val="center"/>
                    <w:rPr>
                      <w:rFonts w:ascii="Times New Roman" w:hAnsi="Times New Roman"/>
                      <w:szCs w:val="21"/>
                    </w:rPr>
                  </w:pPr>
                  <w:r>
                    <w:rPr>
                      <w:rFonts w:ascii="Times New Roman" w:hAnsi="Times New Roman"/>
                      <w:szCs w:val="21"/>
                    </w:rPr>
                    <w:t>序号</w:t>
                  </w:r>
                </w:p>
              </w:tc>
              <w:tc>
                <w:tcPr>
                  <w:tcW w:w="2291" w:type="pct"/>
                  <w:vAlign w:val="center"/>
                </w:tcPr>
                <w:p w14:paraId="5AAFBA47">
                  <w:pPr>
                    <w:pStyle w:val="13"/>
                    <w:jc w:val="center"/>
                    <w:rPr>
                      <w:rFonts w:ascii="Times New Roman" w:hAnsi="Times New Roman"/>
                      <w:szCs w:val="21"/>
                    </w:rPr>
                  </w:pPr>
                  <w:r>
                    <w:rPr>
                      <w:rFonts w:ascii="Times New Roman" w:hAnsi="Times New Roman"/>
                      <w:szCs w:val="21"/>
                    </w:rPr>
                    <w:t>类别</w:t>
                  </w:r>
                </w:p>
              </w:tc>
              <w:tc>
                <w:tcPr>
                  <w:tcW w:w="1986" w:type="pct"/>
                  <w:vAlign w:val="center"/>
                </w:tcPr>
                <w:p w14:paraId="228A231E">
                  <w:pPr>
                    <w:pStyle w:val="13"/>
                    <w:jc w:val="center"/>
                    <w:rPr>
                      <w:rFonts w:ascii="Times New Roman" w:hAnsi="Times New Roman"/>
                      <w:szCs w:val="21"/>
                    </w:rPr>
                  </w:pPr>
                  <w:r>
                    <w:rPr>
                      <w:rFonts w:ascii="Times New Roman" w:hAnsi="Times New Roman"/>
                      <w:szCs w:val="21"/>
                    </w:rPr>
                    <w:t>本项目</w:t>
                  </w:r>
                </w:p>
              </w:tc>
            </w:tr>
            <w:tr w14:paraId="049F5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pct"/>
                  <w:vAlign w:val="center"/>
                </w:tcPr>
                <w:p w14:paraId="3526F8A4">
                  <w:pPr>
                    <w:pStyle w:val="13"/>
                    <w:jc w:val="center"/>
                    <w:rPr>
                      <w:rFonts w:ascii="Times New Roman" w:hAnsi="Times New Roman"/>
                      <w:szCs w:val="21"/>
                    </w:rPr>
                  </w:pPr>
                  <w:r>
                    <w:rPr>
                      <w:rFonts w:ascii="Times New Roman" w:hAnsi="Times New Roman"/>
                      <w:szCs w:val="21"/>
                    </w:rPr>
                    <w:t>1</w:t>
                  </w:r>
                </w:p>
              </w:tc>
              <w:tc>
                <w:tcPr>
                  <w:tcW w:w="2291" w:type="pct"/>
                  <w:vAlign w:val="center"/>
                </w:tcPr>
                <w:p w14:paraId="331D8E7C">
                  <w:pPr>
                    <w:pStyle w:val="13"/>
                    <w:jc w:val="center"/>
                    <w:rPr>
                      <w:rFonts w:ascii="Times New Roman" w:hAnsi="Times New Roman"/>
                      <w:szCs w:val="21"/>
                    </w:rPr>
                  </w:pPr>
                  <w:r>
                    <w:rPr>
                      <w:rFonts w:hint="eastAsia" w:ascii="Times New Roman" w:hAnsi="Times New Roman"/>
                      <w:szCs w:val="21"/>
                    </w:rPr>
                    <w:t>环境管控单元编码</w:t>
                  </w:r>
                </w:p>
              </w:tc>
              <w:tc>
                <w:tcPr>
                  <w:tcW w:w="1986" w:type="pct"/>
                  <w:vAlign w:val="center"/>
                </w:tcPr>
                <w:p w14:paraId="0FEFFBE6">
                  <w:pPr>
                    <w:pStyle w:val="13"/>
                    <w:jc w:val="center"/>
                    <w:rPr>
                      <w:rFonts w:ascii="Times New Roman" w:hAnsi="Times New Roman"/>
                      <w:szCs w:val="21"/>
                    </w:rPr>
                  </w:pPr>
                  <w:r>
                    <w:rPr>
                      <w:rFonts w:hint="eastAsia" w:ascii="Times New Roman" w:hAnsi="Times New Roman"/>
                      <w:szCs w:val="21"/>
                    </w:rPr>
                    <w:t>ZH34130230003</w:t>
                  </w:r>
                </w:p>
              </w:tc>
            </w:tr>
            <w:tr w14:paraId="6781D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pct"/>
                  <w:vAlign w:val="center"/>
                </w:tcPr>
                <w:p w14:paraId="703F5739">
                  <w:pPr>
                    <w:pStyle w:val="13"/>
                    <w:jc w:val="center"/>
                    <w:rPr>
                      <w:rFonts w:ascii="Times New Roman" w:hAnsi="Times New Roman"/>
                      <w:szCs w:val="21"/>
                    </w:rPr>
                  </w:pPr>
                  <w:r>
                    <w:rPr>
                      <w:rFonts w:ascii="Times New Roman" w:hAnsi="Times New Roman"/>
                      <w:szCs w:val="21"/>
                    </w:rPr>
                    <w:t>2</w:t>
                  </w:r>
                </w:p>
              </w:tc>
              <w:tc>
                <w:tcPr>
                  <w:tcW w:w="2291" w:type="pct"/>
                  <w:vAlign w:val="center"/>
                </w:tcPr>
                <w:p w14:paraId="490213B4">
                  <w:pPr>
                    <w:pStyle w:val="13"/>
                    <w:jc w:val="center"/>
                    <w:rPr>
                      <w:rFonts w:ascii="Times New Roman" w:hAnsi="Times New Roman"/>
                      <w:szCs w:val="21"/>
                    </w:rPr>
                  </w:pPr>
                  <w:r>
                    <w:rPr>
                      <w:rFonts w:hint="eastAsia" w:ascii="Times New Roman" w:hAnsi="Times New Roman"/>
                      <w:szCs w:val="21"/>
                    </w:rPr>
                    <w:t>管控单元分类</w:t>
                  </w:r>
                </w:p>
              </w:tc>
              <w:tc>
                <w:tcPr>
                  <w:tcW w:w="1986" w:type="pct"/>
                  <w:vAlign w:val="center"/>
                </w:tcPr>
                <w:p w14:paraId="6FBAACBD">
                  <w:pPr>
                    <w:pStyle w:val="13"/>
                    <w:jc w:val="center"/>
                    <w:rPr>
                      <w:rFonts w:ascii="Times New Roman" w:hAnsi="Times New Roman"/>
                      <w:szCs w:val="21"/>
                    </w:rPr>
                  </w:pPr>
                  <w:r>
                    <w:rPr>
                      <w:rFonts w:hint="eastAsia" w:ascii="Times New Roman" w:hAnsi="Times New Roman"/>
                      <w:szCs w:val="21"/>
                      <w:lang w:val="en-US" w:eastAsia="zh-CN"/>
                    </w:rPr>
                    <w:t>一般</w:t>
                  </w:r>
                  <w:r>
                    <w:rPr>
                      <w:rFonts w:hint="eastAsia" w:ascii="Times New Roman" w:hAnsi="Times New Roman"/>
                      <w:szCs w:val="21"/>
                    </w:rPr>
                    <w:t>管控单元</w:t>
                  </w:r>
                </w:p>
              </w:tc>
            </w:tr>
            <w:tr w14:paraId="1BCF0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pct"/>
                  <w:vAlign w:val="center"/>
                </w:tcPr>
                <w:p w14:paraId="7A70E006">
                  <w:pPr>
                    <w:pStyle w:val="13"/>
                    <w:jc w:val="center"/>
                    <w:rPr>
                      <w:rFonts w:ascii="Times New Roman" w:hAnsi="Times New Roman"/>
                      <w:szCs w:val="21"/>
                    </w:rPr>
                  </w:pPr>
                  <w:r>
                    <w:rPr>
                      <w:rFonts w:ascii="Times New Roman" w:hAnsi="Times New Roman"/>
                      <w:szCs w:val="21"/>
                    </w:rPr>
                    <w:t>3</w:t>
                  </w:r>
                </w:p>
              </w:tc>
              <w:tc>
                <w:tcPr>
                  <w:tcW w:w="2291" w:type="pct"/>
                  <w:vAlign w:val="center"/>
                </w:tcPr>
                <w:p w14:paraId="574F51FF">
                  <w:pPr>
                    <w:pStyle w:val="13"/>
                    <w:jc w:val="center"/>
                    <w:rPr>
                      <w:rFonts w:ascii="Times New Roman" w:hAnsi="Times New Roman"/>
                      <w:szCs w:val="21"/>
                    </w:rPr>
                  </w:pPr>
                  <w:r>
                    <w:rPr>
                      <w:rFonts w:hint="eastAsia" w:ascii="Times New Roman" w:hAnsi="Times New Roman"/>
                      <w:szCs w:val="21"/>
                    </w:rPr>
                    <w:t>行政区</w:t>
                  </w:r>
                </w:p>
              </w:tc>
              <w:tc>
                <w:tcPr>
                  <w:tcW w:w="1986" w:type="pct"/>
                  <w:vAlign w:val="center"/>
                </w:tcPr>
                <w:p w14:paraId="19097B61">
                  <w:pPr>
                    <w:pStyle w:val="13"/>
                    <w:jc w:val="center"/>
                    <w:rPr>
                      <w:rFonts w:ascii="Times New Roman" w:hAnsi="Times New Roman"/>
                      <w:szCs w:val="21"/>
                    </w:rPr>
                  </w:pPr>
                  <w:r>
                    <w:rPr>
                      <w:rFonts w:hint="eastAsia" w:ascii="Times New Roman" w:hAnsi="Times New Roman"/>
                      <w:szCs w:val="21"/>
                    </w:rPr>
                    <w:t>埇桥区</w:t>
                  </w:r>
                </w:p>
              </w:tc>
            </w:tr>
            <w:tr w14:paraId="5B07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pct"/>
                  <w:vAlign w:val="center"/>
                </w:tcPr>
                <w:p w14:paraId="703D8EB9">
                  <w:pPr>
                    <w:pStyle w:val="13"/>
                    <w:jc w:val="center"/>
                    <w:rPr>
                      <w:rFonts w:ascii="Times New Roman" w:hAnsi="Times New Roman"/>
                      <w:szCs w:val="21"/>
                    </w:rPr>
                  </w:pPr>
                  <w:r>
                    <w:rPr>
                      <w:rFonts w:ascii="Times New Roman" w:hAnsi="Times New Roman"/>
                      <w:szCs w:val="21"/>
                    </w:rPr>
                    <w:t>4</w:t>
                  </w:r>
                </w:p>
              </w:tc>
              <w:tc>
                <w:tcPr>
                  <w:tcW w:w="2291" w:type="pct"/>
                  <w:vAlign w:val="center"/>
                </w:tcPr>
                <w:p w14:paraId="0499394F">
                  <w:pPr>
                    <w:pStyle w:val="13"/>
                    <w:jc w:val="center"/>
                    <w:rPr>
                      <w:rFonts w:ascii="Times New Roman" w:hAnsi="Times New Roman"/>
                      <w:szCs w:val="21"/>
                    </w:rPr>
                  </w:pPr>
                  <w:r>
                    <w:rPr>
                      <w:rFonts w:hint="eastAsia" w:ascii="Times New Roman" w:hAnsi="Times New Roman"/>
                      <w:szCs w:val="21"/>
                    </w:rPr>
                    <w:t>管控单元细类</w:t>
                  </w:r>
                </w:p>
              </w:tc>
              <w:tc>
                <w:tcPr>
                  <w:tcW w:w="1986" w:type="pct"/>
                  <w:vAlign w:val="center"/>
                </w:tcPr>
                <w:p w14:paraId="053846F9">
                  <w:pPr>
                    <w:pStyle w:val="13"/>
                    <w:jc w:val="center"/>
                    <w:rPr>
                      <w:rFonts w:ascii="Times New Roman" w:hAnsi="Times New Roman"/>
                      <w:szCs w:val="21"/>
                    </w:rPr>
                  </w:pPr>
                  <w:r>
                    <w:rPr>
                      <w:rFonts w:hint="eastAsia" w:ascii="Times New Roman" w:hAnsi="Times New Roman"/>
                      <w:szCs w:val="21"/>
                    </w:rPr>
                    <w:t>一般管控单元</w:t>
                  </w:r>
                </w:p>
              </w:tc>
            </w:tr>
          </w:tbl>
          <w:p w14:paraId="45D064D6">
            <w:pPr>
              <w:spacing w:line="360" w:lineRule="auto"/>
              <w:ind w:firstLine="480" w:firstLineChars="200"/>
              <w:rPr>
                <w:color w:val="000000"/>
                <w:sz w:val="24"/>
              </w:rPr>
            </w:pPr>
            <w:r>
              <w:rPr>
                <w:color w:val="000000"/>
                <w:sz w:val="24"/>
              </w:rPr>
              <w:t>① 大气环境分区管控要求</w:t>
            </w:r>
          </w:p>
          <w:p w14:paraId="66B93491">
            <w:pPr>
              <w:spacing w:line="360" w:lineRule="auto"/>
              <w:ind w:firstLine="480" w:firstLineChars="200"/>
              <w:rPr>
                <w:color w:val="000000"/>
                <w:sz w:val="24"/>
              </w:rPr>
            </w:pPr>
            <w:r>
              <w:rPr>
                <w:color w:val="000000"/>
                <w:sz w:val="24"/>
              </w:rPr>
              <w:t>根据《长江经济带战略环境评价安徽省宿州市“三线一单”编制文本》及大气环境分区管控图，</w:t>
            </w:r>
            <w:r>
              <w:rPr>
                <w:sz w:val="24"/>
              </w:rPr>
              <w:t>本项目属于</w:t>
            </w:r>
            <w:r>
              <w:rPr>
                <w:rFonts w:hint="eastAsia"/>
                <w:sz w:val="24"/>
              </w:rPr>
              <w:t>大气</w:t>
            </w:r>
            <w:r>
              <w:rPr>
                <w:rFonts w:hint="eastAsia"/>
                <w:bCs/>
                <w:sz w:val="24"/>
              </w:rPr>
              <w:t>一般管控</w:t>
            </w:r>
            <w:r>
              <w:rPr>
                <w:sz w:val="24"/>
              </w:rPr>
              <w:t>区，应落实</w:t>
            </w:r>
            <w:r>
              <w:rPr>
                <w:rFonts w:hint="eastAsia"/>
                <w:bCs/>
                <w:sz w:val="24"/>
              </w:rPr>
              <w:t>一般管控</w:t>
            </w:r>
            <w:r>
              <w:rPr>
                <w:sz w:val="24"/>
              </w:rPr>
              <w:t>区要求。</w:t>
            </w:r>
            <w:r>
              <w:rPr>
                <w:color w:val="000000"/>
                <w:sz w:val="24"/>
              </w:rPr>
              <w:t>与分区管控协调性分析见表1-</w:t>
            </w:r>
            <w:r>
              <w:rPr>
                <w:rFonts w:hint="eastAsia"/>
                <w:color w:val="000000"/>
                <w:sz w:val="24"/>
              </w:rPr>
              <w:t>2</w:t>
            </w:r>
            <w:r>
              <w:rPr>
                <w:color w:val="000000"/>
                <w:sz w:val="24"/>
              </w:rPr>
              <w:t>。</w:t>
            </w:r>
          </w:p>
          <w:p w14:paraId="6A227BCF">
            <w:pPr>
              <w:adjustRightInd w:val="0"/>
              <w:snapToGrid w:val="0"/>
              <w:jc w:val="center"/>
              <w:rPr>
                <w:b/>
                <w:snapToGrid w:val="0"/>
                <w:color w:val="000000"/>
                <w:sz w:val="24"/>
              </w:rPr>
            </w:pPr>
            <w:bookmarkStart w:id="3" w:name="_Ref128142186"/>
            <w:r>
              <w:rPr>
                <w:b/>
                <w:snapToGrid w:val="0"/>
                <w:color w:val="000000"/>
                <w:sz w:val="24"/>
              </w:rPr>
              <w:t>表</w:t>
            </w:r>
            <w:bookmarkEnd w:id="3"/>
            <w:r>
              <w:rPr>
                <w:b/>
                <w:snapToGrid w:val="0"/>
                <w:color w:val="000000"/>
                <w:sz w:val="24"/>
              </w:rPr>
              <w:t>1-</w:t>
            </w:r>
            <w:r>
              <w:rPr>
                <w:rFonts w:hint="eastAsia"/>
                <w:b/>
                <w:snapToGrid w:val="0"/>
                <w:color w:val="000000"/>
                <w:sz w:val="24"/>
              </w:rPr>
              <w:t>2</w:t>
            </w:r>
            <w:r>
              <w:rPr>
                <w:b/>
                <w:snapToGrid w:val="0"/>
                <w:color w:val="000000"/>
                <w:sz w:val="24"/>
              </w:rPr>
              <w:t xml:space="preserve">  项目与大气环境分区管控要求的协调性分析</w:t>
            </w:r>
          </w:p>
          <w:tbl>
            <w:tblPr>
              <w:tblStyle w:val="23"/>
              <w:tblW w:w="76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2808"/>
              <w:gridCol w:w="3976"/>
            </w:tblGrid>
            <w:tr w14:paraId="7B1AD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75" w:type="dxa"/>
                  <w:vAlign w:val="center"/>
                </w:tcPr>
                <w:p w14:paraId="47F4ABEF">
                  <w:pPr>
                    <w:pStyle w:val="31"/>
                    <w:spacing w:before="31" w:after="31" w:line="240" w:lineRule="auto"/>
                    <w:ind w:left="0" w:leftChars="0" w:firstLine="0" w:firstLineChars="0"/>
                    <w:rPr>
                      <w:rFonts w:ascii="Times New Roman"/>
                      <w:color w:val="000000"/>
                    </w:rPr>
                  </w:pPr>
                  <w:r>
                    <w:rPr>
                      <w:rFonts w:ascii="Times New Roman"/>
                      <w:color w:val="000000"/>
                    </w:rPr>
                    <w:t>管控单元分类</w:t>
                  </w:r>
                </w:p>
              </w:tc>
              <w:tc>
                <w:tcPr>
                  <w:tcW w:w="2808" w:type="dxa"/>
                  <w:vAlign w:val="center"/>
                </w:tcPr>
                <w:p w14:paraId="1074D3B5">
                  <w:pPr>
                    <w:pStyle w:val="31"/>
                    <w:spacing w:before="31" w:after="31" w:line="240" w:lineRule="auto"/>
                    <w:ind w:left="0" w:leftChars="0" w:firstLine="0" w:firstLineChars="0"/>
                    <w:rPr>
                      <w:rFonts w:ascii="Times New Roman"/>
                      <w:color w:val="000000"/>
                    </w:rPr>
                  </w:pPr>
                  <w:r>
                    <w:rPr>
                      <w:rFonts w:ascii="Times New Roman"/>
                      <w:color w:val="000000"/>
                    </w:rPr>
                    <w:t>环境管控要求</w:t>
                  </w:r>
                </w:p>
              </w:tc>
              <w:tc>
                <w:tcPr>
                  <w:tcW w:w="3976" w:type="dxa"/>
                  <w:vAlign w:val="center"/>
                </w:tcPr>
                <w:p w14:paraId="6CEA7F19">
                  <w:pPr>
                    <w:pStyle w:val="31"/>
                    <w:spacing w:before="31" w:after="31" w:line="240" w:lineRule="auto"/>
                    <w:ind w:left="0" w:leftChars="0" w:firstLine="0" w:firstLineChars="0"/>
                    <w:rPr>
                      <w:rFonts w:ascii="Times New Roman"/>
                      <w:color w:val="000000"/>
                    </w:rPr>
                  </w:pPr>
                  <w:r>
                    <w:rPr>
                      <w:rFonts w:ascii="Times New Roman"/>
                      <w:color w:val="000000"/>
                    </w:rPr>
                    <w:t>协调性分析</w:t>
                  </w:r>
                </w:p>
              </w:tc>
            </w:tr>
            <w:tr w14:paraId="20E79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8" w:hRule="atLeast"/>
                <w:jc w:val="center"/>
              </w:trPr>
              <w:tc>
                <w:tcPr>
                  <w:tcW w:w="875" w:type="dxa"/>
                  <w:vAlign w:val="center"/>
                </w:tcPr>
                <w:p w14:paraId="4F11F72A">
                  <w:pPr>
                    <w:pStyle w:val="31"/>
                    <w:spacing w:before="31" w:after="31" w:line="240" w:lineRule="auto"/>
                    <w:ind w:left="0" w:leftChars="0" w:firstLine="0" w:firstLineChars="0"/>
                    <w:rPr>
                      <w:rFonts w:ascii="Times New Roman"/>
                      <w:color w:val="000000"/>
                    </w:rPr>
                  </w:pPr>
                  <w:r>
                    <w:rPr>
                      <w:rFonts w:hint="eastAsia" w:ascii="Times New Roman"/>
                      <w:color w:val="000000"/>
                    </w:rPr>
                    <w:t>一般管控区</w:t>
                  </w:r>
                </w:p>
              </w:tc>
              <w:tc>
                <w:tcPr>
                  <w:tcW w:w="2808" w:type="dxa"/>
                  <w:vAlign w:val="center"/>
                </w:tcPr>
                <w:p w14:paraId="7F43F3E0">
                  <w:pPr>
                    <w:pStyle w:val="31"/>
                    <w:spacing w:before="31" w:after="31" w:line="240" w:lineRule="auto"/>
                    <w:ind w:left="0" w:leftChars="0" w:firstLine="0" w:firstLineChars="0"/>
                    <w:rPr>
                      <w:rFonts w:ascii="Times New Roman"/>
                      <w:color w:val="000000"/>
                    </w:rPr>
                  </w:pPr>
                  <w:r>
                    <w:rPr>
                      <w:rFonts w:hint="eastAsia" w:ascii="Times New Roman"/>
                      <w:color w:val="000000"/>
                    </w:rPr>
                    <w:t>依据《中华人民共和国大气污染防治法》《安徽省大气污染防治条例》《安徽省碳达峰实施方案的通知》《安徽省工业领域碳达峰实施方案》等法律法规和规章对一般管控实施管控。新建、改建和扩建项目大气污染物实施“倍量替代”，执行特别排放标准的行业实施提标升级改造。</w:t>
                  </w:r>
                </w:p>
              </w:tc>
              <w:tc>
                <w:tcPr>
                  <w:tcW w:w="3976" w:type="dxa"/>
                  <w:vAlign w:val="center"/>
                </w:tcPr>
                <w:p w14:paraId="6CEFCE9C">
                  <w:pPr>
                    <w:pStyle w:val="31"/>
                    <w:spacing w:before="31" w:after="31" w:line="240" w:lineRule="auto"/>
                    <w:ind w:left="0" w:leftChars="0" w:firstLine="0" w:firstLineChars="0"/>
                    <w:rPr>
                      <w:rFonts w:hint="default" w:ascii="Times New Roman" w:hAnsi="Times New Roman" w:eastAsia="宋体" w:cs="Times New Roman"/>
                      <w:color w:val="000000"/>
                    </w:rPr>
                  </w:pPr>
                  <w:r>
                    <w:rPr>
                      <w:rFonts w:hint="default" w:ascii="Times New Roman" w:hAnsi="Times New Roman" w:eastAsia="宋体" w:cs="Times New Roman"/>
                      <w:color w:val="000000"/>
                    </w:rPr>
                    <w:t>本项目运营期废气包括：</w:t>
                  </w:r>
                </w:p>
                <w:p w14:paraId="46D628CA">
                  <w:pPr>
                    <w:pStyle w:val="31"/>
                    <w:spacing w:before="31" w:after="31" w:line="240" w:lineRule="auto"/>
                    <w:ind w:left="0" w:leftChars="0" w:firstLine="0" w:firstLineChars="0"/>
                    <w:rPr>
                      <w:rFonts w:ascii="Times New Roman"/>
                      <w:color w:val="000000"/>
                    </w:rPr>
                  </w:pPr>
                  <w:r>
                    <w:rPr>
                      <w:rFonts w:hint="default" w:ascii="Times New Roman" w:hAnsi="Times New Roman" w:eastAsia="宋体" w:cs="Times New Roman"/>
                      <w:color w:val="000000"/>
                    </w:rPr>
                    <w:t>筛分粉尘经</w:t>
                  </w:r>
                  <w:r>
                    <w:rPr>
                      <w:rFonts w:hint="default" w:ascii="Times New Roman" w:hAnsi="Times New Roman" w:eastAsia="宋体" w:cs="Times New Roman"/>
                      <w:color w:val="000000"/>
                      <w:lang w:val="en-US" w:eastAsia="zh-CN"/>
                    </w:rPr>
                    <w:t>密闭收集</w:t>
                  </w:r>
                  <w:r>
                    <w:rPr>
                      <w:rFonts w:hint="default" w:ascii="Times New Roman" w:hAnsi="Times New Roman" w:eastAsia="宋体" w:cs="Times New Roman"/>
                      <w:color w:val="000000"/>
                    </w:rPr>
                    <w:t>+脉冲布袋除尘器（TA001）处理后15m高排气筒（DA001）排放；卸粮</w:t>
                  </w:r>
                  <w:r>
                    <w:rPr>
                      <w:rFonts w:hint="default" w:ascii="Times New Roman" w:hAnsi="Times New Roman" w:eastAsia="宋体" w:cs="Times New Roman"/>
                      <w:color w:val="000000"/>
                      <w:lang w:val="en-US" w:eastAsia="zh-CN"/>
                    </w:rPr>
                    <w:t>粉尘经集气罩</w:t>
                  </w:r>
                  <w:r>
                    <w:rPr>
                      <w:rFonts w:hint="default" w:ascii="Times New Roman" w:hAnsi="Times New Roman" w:eastAsia="宋体" w:cs="Times New Roman"/>
                      <w:color w:val="000000"/>
                    </w:rPr>
                    <w:t>收集+布袋除尘器（TA002）处理后通过15m高排气筒排放（DA002）；生物质</w:t>
                  </w:r>
                  <w:r>
                    <w:rPr>
                      <w:rFonts w:hint="default" w:ascii="Times New Roman" w:hAnsi="Times New Roman" w:eastAsia="宋体" w:cs="Times New Roman"/>
                      <w:color w:val="000000"/>
                      <w:lang w:val="en-US" w:eastAsia="zh-CN"/>
                    </w:rPr>
                    <w:t>热风炉</w:t>
                  </w:r>
                  <w:r>
                    <w:rPr>
                      <w:rFonts w:hint="default" w:ascii="Times New Roman" w:hAnsi="Times New Roman" w:eastAsia="宋体" w:cs="Times New Roman"/>
                      <w:color w:val="000000"/>
                    </w:rPr>
                    <w:t>采取低氮燃烧</w:t>
                  </w:r>
                  <w:r>
                    <w:rPr>
                      <w:rFonts w:hint="default" w:ascii="Times New Roman" w:hAnsi="Times New Roman" w:eastAsia="宋体" w:cs="Times New Roman"/>
                      <w:color w:val="000000"/>
                      <w:lang w:val="en-US" w:eastAsia="zh-CN"/>
                    </w:rPr>
                    <w:t>技术，燃烧废气</w:t>
                  </w:r>
                  <w:r>
                    <w:rPr>
                      <w:rFonts w:hint="eastAsia" w:ascii="Times New Roman" w:cs="Times New Roman"/>
                      <w:color w:val="000000"/>
                      <w:lang w:val="en-US" w:eastAsia="zh-CN"/>
                    </w:rPr>
                    <w:t>经</w:t>
                  </w:r>
                  <w:r>
                    <w:rPr>
                      <w:rFonts w:hint="default" w:ascii="Times New Roman" w:hAnsi="Times New Roman" w:eastAsia="宋体" w:cs="Times New Roman"/>
                      <w:color w:val="000000"/>
                    </w:rPr>
                    <w:t>布袋除尘器（TA00</w:t>
                  </w:r>
                  <w:r>
                    <w:rPr>
                      <w:rFonts w:hint="default" w:ascii="Times New Roman" w:hAnsi="Times New Roman" w:eastAsia="宋体" w:cs="Times New Roman"/>
                      <w:color w:val="000000"/>
                      <w:lang w:val="en-US" w:eastAsia="zh-CN"/>
                    </w:rPr>
                    <w:t>3</w:t>
                  </w:r>
                  <w:r>
                    <w:rPr>
                      <w:rFonts w:hint="default" w:ascii="Times New Roman" w:hAnsi="Times New Roman" w:eastAsia="宋体" w:cs="Times New Roman"/>
                      <w:color w:val="000000"/>
                    </w:rPr>
                    <w:t>）处理后通过40m高排气筒（DA00</w:t>
                  </w:r>
                  <w:r>
                    <w:rPr>
                      <w:rFonts w:hint="default" w:ascii="Times New Roman" w:hAnsi="Times New Roman" w:eastAsia="宋体" w:cs="Times New Roman"/>
                      <w:color w:val="000000"/>
                      <w:lang w:val="en-US" w:eastAsia="zh-CN"/>
                    </w:rPr>
                    <w:t>3</w:t>
                  </w:r>
                  <w:r>
                    <w:rPr>
                      <w:rFonts w:hint="default" w:ascii="Times New Roman" w:hAnsi="Times New Roman" w:eastAsia="宋体" w:cs="Times New Roman"/>
                      <w:color w:val="000000"/>
                    </w:rPr>
                    <w:t>）排放</w:t>
                  </w:r>
                  <w:r>
                    <w:rPr>
                      <w:rFonts w:hint="eastAsia" w:ascii="Times New Roman" w:cs="Times New Roman"/>
                      <w:color w:val="000000"/>
                      <w:lang w:eastAsia="zh-CN"/>
                    </w:rPr>
                    <w:t>；</w:t>
                  </w:r>
                  <w:r>
                    <w:rPr>
                      <w:rFonts w:hint="default" w:ascii="Times New Roman" w:hAnsi="Times New Roman" w:eastAsia="宋体" w:cs="Times New Roman"/>
                      <w:color w:val="000000"/>
                      <w:lang w:val="en-US" w:eastAsia="zh-CN"/>
                    </w:rPr>
                    <w:t>烘干</w:t>
                  </w:r>
                  <w:r>
                    <w:rPr>
                      <w:rFonts w:hint="eastAsia" w:ascii="Times New Roman" w:cs="Times New Roman"/>
                      <w:color w:val="000000"/>
                      <w:lang w:val="en-US" w:eastAsia="zh-CN"/>
                    </w:rPr>
                    <w:t>经密闭收集通过布袋除尘器处理后通过15高排气筒排放。</w:t>
                  </w:r>
                  <w:r>
                    <w:rPr>
                      <w:rFonts w:hint="default" w:ascii="Times New Roman" w:hAnsi="Times New Roman" w:eastAsia="宋体" w:cs="Times New Roman"/>
                      <w:color w:val="000000"/>
                    </w:rPr>
                    <w:t>满足管控要求。</w:t>
                  </w:r>
                </w:p>
              </w:tc>
            </w:tr>
          </w:tbl>
          <w:p w14:paraId="6FF61F2C">
            <w:pPr>
              <w:spacing w:line="360" w:lineRule="auto"/>
              <w:ind w:firstLine="480" w:firstLineChars="200"/>
              <w:rPr>
                <w:color w:val="000000"/>
                <w:sz w:val="24"/>
              </w:rPr>
            </w:pPr>
            <w:r>
              <w:rPr>
                <w:color w:val="000000"/>
                <w:sz w:val="24"/>
              </w:rPr>
              <w:t>② 水环境分区管控要求</w:t>
            </w:r>
          </w:p>
          <w:p w14:paraId="5016D1BF">
            <w:pPr>
              <w:spacing w:line="360" w:lineRule="auto"/>
              <w:ind w:firstLine="480" w:firstLineChars="200"/>
              <w:rPr>
                <w:b/>
                <w:snapToGrid w:val="0"/>
                <w:color w:val="000000"/>
                <w:sz w:val="24"/>
              </w:rPr>
            </w:pPr>
            <w:r>
              <w:rPr>
                <w:color w:val="000000"/>
                <w:sz w:val="24"/>
              </w:rPr>
              <w:t>根据《长江经济带战略环境评价安徽省宿州市“三线一单”编制文本》及宿州市水环境分区管控图，</w:t>
            </w:r>
            <w:r>
              <w:rPr>
                <w:sz w:val="24"/>
              </w:rPr>
              <w:t>本项目所在地属于水环境</w:t>
            </w:r>
            <w:r>
              <w:rPr>
                <w:rFonts w:hint="eastAsia"/>
                <w:sz w:val="24"/>
              </w:rPr>
              <w:t>一般</w:t>
            </w:r>
            <w:r>
              <w:rPr>
                <w:sz w:val="24"/>
              </w:rPr>
              <w:t>管控区，应落实</w:t>
            </w:r>
            <w:r>
              <w:rPr>
                <w:rFonts w:hint="eastAsia"/>
                <w:sz w:val="24"/>
              </w:rPr>
              <w:t>一般</w:t>
            </w:r>
            <w:r>
              <w:rPr>
                <w:sz w:val="24"/>
              </w:rPr>
              <w:t>管控区要求</w:t>
            </w:r>
            <w:r>
              <w:rPr>
                <w:color w:val="000000"/>
                <w:sz w:val="24"/>
              </w:rPr>
              <w:t>，与水环境分区管控协调性分析见表1-</w:t>
            </w:r>
            <w:r>
              <w:rPr>
                <w:rFonts w:hint="eastAsia"/>
                <w:color w:val="000000"/>
                <w:sz w:val="24"/>
              </w:rPr>
              <w:t>3</w:t>
            </w:r>
            <w:r>
              <w:rPr>
                <w:color w:val="000000"/>
                <w:sz w:val="24"/>
              </w:rPr>
              <w:t>。</w:t>
            </w:r>
            <w:bookmarkStart w:id="4" w:name="_Ref128143366"/>
          </w:p>
          <w:p w14:paraId="1679627B">
            <w:pPr>
              <w:adjustRightInd w:val="0"/>
              <w:snapToGrid w:val="0"/>
              <w:jc w:val="center"/>
              <w:rPr>
                <w:b/>
                <w:snapToGrid w:val="0"/>
                <w:color w:val="000000"/>
                <w:sz w:val="24"/>
              </w:rPr>
            </w:pPr>
            <w:r>
              <w:rPr>
                <w:b/>
                <w:snapToGrid w:val="0"/>
                <w:color w:val="000000"/>
                <w:sz w:val="24"/>
              </w:rPr>
              <w:t>表</w:t>
            </w:r>
            <w:bookmarkEnd w:id="4"/>
            <w:r>
              <w:rPr>
                <w:b/>
                <w:snapToGrid w:val="0"/>
                <w:color w:val="000000"/>
                <w:sz w:val="24"/>
              </w:rPr>
              <w:t>1-</w:t>
            </w:r>
            <w:r>
              <w:rPr>
                <w:rFonts w:hint="eastAsia"/>
                <w:b/>
                <w:snapToGrid w:val="0"/>
                <w:color w:val="000000"/>
                <w:sz w:val="24"/>
              </w:rPr>
              <w:t>3</w:t>
            </w:r>
            <w:r>
              <w:rPr>
                <w:b/>
                <w:snapToGrid w:val="0"/>
                <w:color w:val="000000"/>
                <w:sz w:val="24"/>
              </w:rPr>
              <w:t xml:space="preserve">  项目与水环境分区管控要求协调性分析</w:t>
            </w:r>
          </w:p>
          <w:tbl>
            <w:tblPr>
              <w:tblStyle w:val="23"/>
              <w:tblW w:w="76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3658"/>
              <w:gridCol w:w="3122"/>
            </w:tblGrid>
            <w:tr w14:paraId="5A680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8" w:type="dxa"/>
                  <w:vAlign w:val="center"/>
                </w:tcPr>
                <w:p w14:paraId="49C3D735">
                  <w:pPr>
                    <w:pStyle w:val="31"/>
                    <w:spacing w:before="31" w:after="31" w:line="240" w:lineRule="auto"/>
                    <w:ind w:left="0" w:leftChars="0" w:firstLine="0" w:firstLineChars="0"/>
                    <w:rPr>
                      <w:rFonts w:ascii="Times New Roman"/>
                      <w:color w:val="000000"/>
                    </w:rPr>
                  </w:pPr>
                  <w:r>
                    <w:rPr>
                      <w:rFonts w:ascii="Times New Roman"/>
                      <w:color w:val="000000"/>
                    </w:rPr>
                    <w:t>管控单元分类</w:t>
                  </w:r>
                </w:p>
              </w:tc>
              <w:tc>
                <w:tcPr>
                  <w:tcW w:w="3658" w:type="dxa"/>
                  <w:vAlign w:val="center"/>
                </w:tcPr>
                <w:p w14:paraId="7923F3E0">
                  <w:pPr>
                    <w:pStyle w:val="31"/>
                    <w:spacing w:before="31" w:after="31" w:line="240" w:lineRule="auto"/>
                    <w:ind w:left="0" w:leftChars="0" w:firstLine="0" w:firstLineChars="0"/>
                    <w:rPr>
                      <w:rFonts w:ascii="Times New Roman"/>
                      <w:color w:val="000000"/>
                    </w:rPr>
                  </w:pPr>
                  <w:r>
                    <w:rPr>
                      <w:rFonts w:ascii="Times New Roman"/>
                      <w:color w:val="000000"/>
                    </w:rPr>
                    <w:t>环境管控要求</w:t>
                  </w:r>
                </w:p>
              </w:tc>
              <w:tc>
                <w:tcPr>
                  <w:tcW w:w="3122" w:type="dxa"/>
                  <w:vAlign w:val="center"/>
                </w:tcPr>
                <w:p w14:paraId="734FE098">
                  <w:pPr>
                    <w:pStyle w:val="31"/>
                    <w:spacing w:before="31" w:after="31" w:line="240" w:lineRule="auto"/>
                    <w:ind w:left="0" w:leftChars="0" w:firstLine="0" w:firstLineChars="0"/>
                    <w:rPr>
                      <w:rFonts w:ascii="Times New Roman"/>
                      <w:color w:val="000000"/>
                    </w:rPr>
                  </w:pPr>
                  <w:r>
                    <w:rPr>
                      <w:rFonts w:ascii="Times New Roman"/>
                      <w:color w:val="000000"/>
                    </w:rPr>
                    <w:t>协调性分析</w:t>
                  </w:r>
                </w:p>
              </w:tc>
            </w:tr>
            <w:tr w14:paraId="5D381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88" w:type="dxa"/>
                  <w:vAlign w:val="center"/>
                </w:tcPr>
                <w:p w14:paraId="644ADF31">
                  <w:pPr>
                    <w:pStyle w:val="31"/>
                    <w:spacing w:before="31" w:after="31" w:line="240" w:lineRule="auto"/>
                    <w:ind w:left="0" w:leftChars="0" w:firstLine="0" w:firstLineChars="0"/>
                    <w:rPr>
                      <w:rFonts w:ascii="Times New Roman"/>
                      <w:color w:val="000000"/>
                    </w:rPr>
                  </w:pPr>
                  <w:r>
                    <w:rPr>
                      <w:rFonts w:hint="eastAsia" w:ascii="Times New Roman"/>
                      <w:color w:val="000000"/>
                    </w:rPr>
                    <w:t>一般管控区</w:t>
                  </w:r>
                </w:p>
              </w:tc>
              <w:tc>
                <w:tcPr>
                  <w:tcW w:w="3658" w:type="dxa"/>
                  <w:vAlign w:val="center"/>
                </w:tcPr>
                <w:p w14:paraId="27614FD7">
                  <w:pPr>
                    <w:autoSpaceDE w:val="0"/>
                    <w:autoSpaceDN w:val="0"/>
                    <w:jc w:val="center"/>
                    <w:rPr>
                      <w:color w:val="000000"/>
                    </w:rPr>
                  </w:pPr>
                  <w:r>
                    <w:rPr>
                      <w:rFonts w:hint="eastAsia"/>
                      <w:color w:val="000000"/>
                      <w:kern w:val="0"/>
                      <w:szCs w:val="20"/>
                    </w:rPr>
                    <w:t>一般</w:t>
                  </w:r>
                  <w:r>
                    <w:rPr>
                      <w:color w:val="000000"/>
                      <w:kern w:val="0"/>
                      <w:szCs w:val="20"/>
                    </w:rPr>
                    <w:t>管控区：</w:t>
                  </w:r>
                  <w:r>
                    <w:rPr>
                      <w:rFonts w:hint="eastAsia"/>
                      <w:color w:val="000000"/>
                      <w:kern w:val="0"/>
                      <w:szCs w:val="20"/>
                    </w:rPr>
                    <w:t>落实《国务院办公厅关于印发实行最严格水资源管理制度考核办法的通知》、《水利部国家发展改革关于印发“十四五”用水总量和强度双控目标的通知》（水节约【2022】113号）、《关于落实“十四五”用水总量和强度双控目标的通知》(安徽省水利厅 2022年8月)、《宿州市水利发展“十四五”规划》（宿州市水利局 2021年12月）等要求</w:t>
                  </w:r>
                  <w:r>
                    <w:rPr>
                      <w:rFonts w:hint="eastAsia"/>
                      <w:sz w:val="24"/>
                    </w:rPr>
                    <w:t>。</w:t>
                  </w:r>
                </w:p>
              </w:tc>
              <w:tc>
                <w:tcPr>
                  <w:tcW w:w="3122" w:type="dxa"/>
                  <w:vAlign w:val="center"/>
                </w:tcPr>
                <w:p w14:paraId="5B40BA4E">
                  <w:pPr>
                    <w:pStyle w:val="31"/>
                    <w:spacing w:before="31" w:after="31" w:line="240" w:lineRule="auto"/>
                    <w:ind w:left="0" w:leftChars="0" w:firstLine="0" w:firstLineChars="0"/>
                    <w:rPr>
                      <w:rFonts w:ascii="Times New Roman"/>
                      <w:color w:val="000000"/>
                    </w:rPr>
                  </w:pPr>
                  <w:r>
                    <w:rPr>
                      <w:rFonts w:ascii="Times New Roman"/>
                      <w:color w:val="000000"/>
                    </w:rPr>
                    <w:t>项目不涉及饮用水水源地和对环境有特殊要求的功能区；生活污水</w:t>
                  </w:r>
                  <w:r>
                    <w:rPr>
                      <w:rFonts w:hint="eastAsia" w:ascii="Times New Roman"/>
                      <w:color w:val="000000"/>
                    </w:rPr>
                    <w:t>经</w:t>
                  </w:r>
                  <w:r>
                    <w:rPr>
                      <w:rFonts w:ascii="Times New Roman"/>
                      <w:color w:val="000000"/>
                    </w:rPr>
                    <w:t>化粪池预处理后</w:t>
                  </w:r>
                  <w:r>
                    <w:rPr>
                      <w:rFonts w:hint="eastAsia" w:ascii="Times New Roman"/>
                      <w:color w:val="000000"/>
                    </w:rPr>
                    <w:t>定期清掏用于农田施肥</w:t>
                  </w:r>
                  <w:r>
                    <w:rPr>
                      <w:rFonts w:ascii="Times New Roman"/>
                      <w:color w:val="000000"/>
                    </w:rPr>
                    <w:t>。项目符合管控要求</w:t>
                  </w:r>
                  <w:r>
                    <w:rPr>
                      <w:rFonts w:hint="eastAsia" w:ascii="Times New Roman"/>
                      <w:color w:val="000000"/>
                    </w:rPr>
                    <w:t>。</w:t>
                  </w:r>
                </w:p>
              </w:tc>
            </w:tr>
          </w:tbl>
          <w:p w14:paraId="4C951C68">
            <w:pPr>
              <w:spacing w:line="360" w:lineRule="auto"/>
              <w:ind w:firstLine="480" w:firstLineChars="200"/>
              <w:rPr>
                <w:color w:val="000000"/>
                <w:sz w:val="24"/>
              </w:rPr>
            </w:pPr>
            <w:r>
              <w:rPr>
                <w:color w:val="000000"/>
                <w:sz w:val="24"/>
              </w:rPr>
              <w:t>③ 土壤污染风险分区管控要求</w:t>
            </w:r>
          </w:p>
          <w:p w14:paraId="04B568BB">
            <w:pPr>
              <w:spacing w:line="360" w:lineRule="auto"/>
              <w:ind w:firstLine="480" w:firstLineChars="200"/>
              <w:rPr>
                <w:b/>
                <w:snapToGrid w:val="0"/>
                <w:color w:val="000000"/>
                <w:sz w:val="24"/>
              </w:rPr>
            </w:pPr>
            <w:r>
              <w:rPr>
                <w:color w:val="000000"/>
                <w:sz w:val="24"/>
              </w:rPr>
              <w:t>根据《长江经济带战略环境评价安徽省宿州市“三线一单”编制文本》及宿州市土壤污染分区管控图，本项目位于一般管控区，与土壤污染风险分区管控要求协调性见表1-</w:t>
            </w:r>
            <w:r>
              <w:rPr>
                <w:rFonts w:hint="eastAsia"/>
                <w:color w:val="000000"/>
                <w:sz w:val="24"/>
              </w:rPr>
              <w:t>4</w:t>
            </w:r>
            <w:r>
              <w:rPr>
                <w:color w:val="000000"/>
                <w:sz w:val="24"/>
              </w:rPr>
              <w:t>。</w:t>
            </w:r>
            <w:bookmarkStart w:id="5" w:name="_Ref128143822"/>
          </w:p>
          <w:p w14:paraId="157C00A3">
            <w:pPr>
              <w:adjustRightInd w:val="0"/>
              <w:snapToGrid w:val="0"/>
              <w:jc w:val="center"/>
              <w:rPr>
                <w:b/>
                <w:snapToGrid w:val="0"/>
                <w:color w:val="000000"/>
                <w:sz w:val="24"/>
              </w:rPr>
            </w:pPr>
          </w:p>
          <w:p w14:paraId="40874AC3">
            <w:pPr>
              <w:adjustRightInd w:val="0"/>
              <w:snapToGrid w:val="0"/>
              <w:jc w:val="center"/>
              <w:rPr>
                <w:b/>
                <w:snapToGrid w:val="0"/>
                <w:color w:val="000000"/>
                <w:sz w:val="24"/>
              </w:rPr>
            </w:pPr>
          </w:p>
          <w:p w14:paraId="497AFFDF">
            <w:pPr>
              <w:adjustRightInd w:val="0"/>
              <w:snapToGrid w:val="0"/>
              <w:jc w:val="center"/>
              <w:rPr>
                <w:b/>
                <w:snapToGrid w:val="0"/>
                <w:color w:val="000000"/>
                <w:sz w:val="24"/>
              </w:rPr>
            </w:pPr>
            <w:r>
              <w:rPr>
                <w:b/>
                <w:snapToGrid w:val="0"/>
                <w:color w:val="000000"/>
                <w:sz w:val="24"/>
              </w:rPr>
              <w:t>表</w:t>
            </w:r>
            <w:bookmarkEnd w:id="5"/>
            <w:r>
              <w:rPr>
                <w:b/>
                <w:snapToGrid w:val="0"/>
                <w:color w:val="000000"/>
                <w:sz w:val="24"/>
              </w:rPr>
              <w:t>1-</w:t>
            </w:r>
            <w:r>
              <w:rPr>
                <w:rFonts w:hint="eastAsia"/>
                <w:b/>
                <w:snapToGrid w:val="0"/>
                <w:color w:val="000000"/>
                <w:sz w:val="24"/>
              </w:rPr>
              <w:t>4</w:t>
            </w:r>
            <w:r>
              <w:rPr>
                <w:b/>
                <w:snapToGrid w:val="0"/>
                <w:color w:val="000000"/>
                <w:sz w:val="24"/>
              </w:rPr>
              <w:t xml:space="preserve">  与土壤污染风险分区管控协调性分析</w:t>
            </w:r>
          </w:p>
          <w:tbl>
            <w:tblPr>
              <w:tblStyle w:val="23"/>
              <w:tblW w:w="7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
              <w:gridCol w:w="3776"/>
              <w:gridCol w:w="3001"/>
            </w:tblGrid>
            <w:tr w14:paraId="3A8D5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909" w:type="dxa"/>
                  <w:vAlign w:val="center"/>
                </w:tcPr>
                <w:p w14:paraId="0EB6E455">
                  <w:pPr>
                    <w:pStyle w:val="31"/>
                    <w:spacing w:before="31" w:after="31" w:line="240" w:lineRule="auto"/>
                    <w:ind w:left="0" w:leftChars="0" w:firstLine="0" w:firstLineChars="0"/>
                    <w:rPr>
                      <w:rFonts w:ascii="Times New Roman"/>
                      <w:color w:val="000000"/>
                    </w:rPr>
                  </w:pPr>
                  <w:r>
                    <w:rPr>
                      <w:rFonts w:ascii="Times New Roman"/>
                      <w:color w:val="000000"/>
                    </w:rPr>
                    <w:t>管控单元分类</w:t>
                  </w:r>
                </w:p>
              </w:tc>
              <w:tc>
                <w:tcPr>
                  <w:tcW w:w="3776" w:type="dxa"/>
                  <w:vAlign w:val="center"/>
                </w:tcPr>
                <w:p w14:paraId="19624DF3">
                  <w:pPr>
                    <w:pStyle w:val="31"/>
                    <w:spacing w:before="31" w:after="31" w:line="240" w:lineRule="auto"/>
                    <w:ind w:left="0" w:leftChars="0" w:firstLine="0" w:firstLineChars="0"/>
                    <w:rPr>
                      <w:rFonts w:ascii="Times New Roman"/>
                      <w:color w:val="000000"/>
                    </w:rPr>
                  </w:pPr>
                  <w:r>
                    <w:rPr>
                      <w:rFonts w:ascii="Times New Roman"/>
                      <w:color w:val="000000"/>
                    </w:rPr>
                    <w:t>环境管控要求</w:t>
                  </w:r>
                </w:p>
              </w:tc>
              <w:tc>
                <w:tcPr>
                  <w:tcW w:w="3001" w:type="dxa"/>
                  <w:vAlign w:val="center"/>
                </w:tcPr>
                <w:p w14:paraId="6B55182D">
                  <w:pPr>
                    <w:pStyle w:val="31"/>
                    <w:spacing w:before="31" w:after="31" w:line="240" w:lineRule="auto"/>
                    <w:ind w:left="0" w:leftChars="0" w:firstLine="0" w:firstLineChars="0"/>
                    <w:rPr>
                      <w:rFonts w:ascii="Times New Roman"/>
                      <w:color w:val="000000"/>
                    </w:rPr>
                  </w:pPr>
                  <w:r>
                    <w:rPr>
                      <w:rFonts w:ascii="Times New Roman"/>
                      <w:color w:val="000000"/>
                    </w:rPr>
                    <w:t>协调性分析</w:t>
                  </w:r>
                </w:p>
              </w:tc>
            </w:tr>
            <w:tr w14:paraId="12E90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09" w:type="dxa"/>
                  <w:vAlign w:val="center"/>
                </w:tcPr>
                <w:p w14:paraId="5BA8C368">
                  <w:pPr>
                    <w:pStyle w:val="31"/>
                    <w:spacing w:before="31" w:after="31" w:line="240" w:lineRule="auto"/>
                    <w:ind w:left="0" w:leftChars="0" w:firstLine="0" w:firstLineChars="0"/>
                    <w:rPr>
                      <w:rFonts w:ascii="Times New Roman"/>
                      <w:color w:val="000000"/>
                    </w:rPr>
                  </w:pPr>
                  <w:r>
                    <w:rPr>
                      <w:rFonts w:ascii="Times New Roman"/>
                      <w:color w:val="000000"/>
                    </w:rPr>
                    <w:t>一般管控区</w:t>
                  </w:r>
                </w:p>
              </w:tc>
              <w:tc>
                <w:tcPr>
                  <w:tcW w:w="3776" w:type="dxa"/>
                  <w:vAlign w:val="center"/>
                </w:tcPr>
                <w:p w14:paraId="745D4917">
                  <w:pPr>
                    <w:pStyle w:val="31"/>
                    <w:spacing w:before="31" w:after="31" w:line="240" w:lineRule="auto"/>
                    <w:ind w:left="0" w:leftChars="0" w:firstLine="0" w:firstLineChars="0"/>
                    <w:rPr>
                      <w:rFonts w:ascii="Times New Roman"/>
                      <w:color w:val="000000"/>
                    </w:rPr>
                  </w:pPr>
                  <w:r>
                    <w:rPr>
                      <w:rFonts w:ascii="Times New Roman"/>
                      <w:color w:val="000000"/>
                    </w:rPr>
                    <w:t>依据《中华人民共和国土壤污染防治法》、《土壤污染防治行动计划》、《安徽省土壤污染防治工作方案》、《安徽省“十四五”生态环境保护规划》、《宿州市土壤污染防治工作方案》等要求</w:t>
                  </w:r>
                </w:p>
              </w:tc>
              <w:tc>
                <w:tcPr>
                  <w:tcW w:w="3001" w:type="dxa"/>
                  <w:vAlign w:val="center"/>
                </w:tcPr>
                <w:p w14:paraId="39C9EF2B">
                  <w:pPr>
                    <w:pStyle w:val="31"/>
                    <w:spacing w:before="31" w:after="31" w:line="240" w:lineRule="auto"/>
                    <w:ind w:left="0" w:leftChars="0" w:firstLine="0" w:firstLineChars="0"/>
                    <w:rPr>
                      <w:rFonts w:ascii="Times New Roman"/>
                      <w:color w:val="000000"/>
                    </w:rPr>
                  </w:pPr>
                  <w:r>
                    <w:rPr>
                      <w:rFonts w:ascii="Times New Roman"/>
                      <w:color w:val="000000"/>
                    </w:rPr>
                    <w:t>企业固废按照国家有关规定进行安全处置，</w:t>
                  </w:r>
                  <w:r>
                    <w:rPr>
                      <w:rFonts w:hint="eastAsia" w:ascii="Times New Roman"/>
                      <w:color w:val="000000"/>
                    </w:rPr>
                    <w:t>化粪池</w:t>
                  </w:r>
                  <w:r>
                    <w:rPr>
                      <w:rFonts w:ascii="Times New Roman"/>
                      <w:color w:val="000000"/>
                    </w:rPr>
                    <w:t>按照要求采取重点防渗，企业将进一步加强对土壤的跟踪管理和监控。项目符合管控要求。</w:t>
                  </w:r>
                </w:p>
              </w:tc>
            </w:tr>
          </w:tbl>
          <w:p w14:paraId="11120B45">
            <w:pPr>
              <w:spacing w:line="360" w:lineRule="auto"/>
              <w:ind w:firstLine="480" w:firstLineChars="200"/>
              <w:rPr>
                <w:color w:val="000000"/>
                <w:sz w:val="24"/>
              </w:rPr>
            </w:pPr>
            <w:r>
              <w:rPr>
                <w:color w:val="000000"/>
                <w:sz w:val="24"/>
              </w:rPr>
              <w:t>综上所述，项目的建设符合环境质量底线要求。</w:t>
            </w:r>
          </w:p>
          <w:p w14:paraId="7C471C92">
            <w:pPr>
              <w:autoSpaceDE w:val="0"/>
              <w:autoSpaceDN w:val="0"/>
              <w:spacing w:line="360" w:lineRule="auto"/>
              <w:rPr>
                <w:b/>
                <w:bCs/>
                <w:color w:val="000000"/>
                <w:kern w:val="0"/>
                <w:sz w:val="24"/>
              </w:rPr>
            </w:pPr>
            <w:r>
              <w:rPr>
                <w:rFonts w:hint="eastAsia"/>
                <w:b/>
                <w:bCs/>
                <w:color w:val="000000"/>
                <w:kern w:val="0"/>
                <w:sz w:val="24"/>
              </w:rPr>
              <w:t>4</w:t>
            </w:r>
            <w:r>
              <w:rPr>
                <w:b/>
                <w:bCs/>
                <w:color w:val="000000"/>
                <w:kern w:val="0"/>
                <w:sz w:val="24"/>
              </w:rPr>
              <w:t>、相关政策符合性分析</w:t>
            </w:r>
          </w:p>
          <w:p w14:paraId="4F200A52">
            <w:pPr>
              <w:spacing w:line="360" w:lineRule="auto"/>
              <w:rPr>
                <w:b/>
                <w:bCs/>
              </w:rPr>
            </w:pPr>
            <w:r>
              <w:rPr>
                <w:b/>
                <w:bCs/>
                <w:sz w:val="24"/>
              </w:rPr>
              <w:t>（</w:t>
            </w:r>
            <w:r>
              <w:rPr>
                <w:rFonts w:hint="eastAsia"/>
                <w:b/>
                <w:bCs/>
                <w:sz w:val="24"/>
              </w:rPr>
              <w:t>1</w:t>
            </w:r>
            <w:r>
              <w:rPr>
                <w:b/>
                <w:bCs/>
                <w:sz w:val="24"/>
              </w:rPr>
              <w:t>）</w:t>
            </w:r>
            <w:r>
              <w:rPr>
                <w:rFonts w:hint="eastAsia"/>
                <w:b/>
                <w:bCs/>
                <w:sz w:val="24"/>
              </w:rPr>
              <w:t>与《空气质量持续改善行动计划》国发〔2023〕24号的</w:t>
            </w:r>
            <w:r>
              <w:rPr>
                <w:b/>
                <w:bCs/>
                <w:sz w:val="24"/>
              </w:rPr>
              <w:t>符合性分析</w:t>
            </w:r>
          </w:p>
          <w:p w14:paraId="1B38BA3E">
            <w:pPr>
              <w:pStyle w:val="50"/>
              <w:keepNext/>
              <w:keepLines w:val="0"/>
              <w:pageBreakBefore w:val="0"/>
              <w:widowControl w:val="0"/>
              <w:kinsoku/>
              <w:wordWrap/>
              <w:overflowPunct/>
              <w:topLinePunct w:val="0"/>
              <w:autoSpaceDE/>
              <w:autoSpaceDN/>
              <w:bidi w:val="0"/>
              <w:adjustRightInd/>
              <w:snapToGrid/>
              <w:textAlignment w:val="auto"/>
            </w:pPr>
            <w:r>
              <w:rPr>
                <w:sz w:val="24"/>
              </w:rPr>
              <w:t>表1</w:t>
            </w:r>
            <w:r>
              <w:rPr>
                <w:rFonts w:hint="eastAsia"/>
                <w:sz w:val="24"/>
              </w:rPr>
              <w:t>-1</w:t>
            </w:r>
            <w:r>
              <w:rPr>
                <w:sz w:val="24"/>
              </w:rPr>
              <w:t xml:space="preserve"> 与</w:t>
            </w:r>
            <w:r>
              <w:rPr>
                <w:rFonts w:hint="eastAsia"/>
                <w:sz w:val="24"/>
              </w:rPr>
              <w:t>《空气质量持续改善行动计划》（国发〔2023〕24号）</w:t>
            </w:r>
            <w:r>
              <w:rPr>
                <w:sz w:val="24"/>
              </w:rPr>
              <w:t>相符性分析一览表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1"/>
              <w:gridCol w:w="2146"/>
              <w:gridCol w:w="758"/>
            </w:tblGrid>
            <w:tr w14:paraId="5E518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8" w:type="pct"/>
                  <w:vAlign w:val="center"/>
                </w:tcPr>
                <w:p w14:paraId="6A4D96D1">
                  <w:pPr>
                    <w:jc w:val="center"/>
                  </w:pPr>
                  <w:r>
                    <w:t>文件要求</w:t>
                  </w:r>
                </w:p>
              </w:tc>
              <w:tc>
                <w:tcPr>
                  <w:tcW w:w="1398" w:type="pct"/>
                  <w:vAlign w:val="center"/>
                </w:tcPr>
                <w:p w14:paraId="3D9FB5E7">
                  <w:pPr>
                    <w:jc w:val="center"/>
                  </w:pPr>
                  <w:r>
                    <w:t>本项目情况对照简析</w:t>
                  </w:r>
                </w:p>
              </w:tc>
              <w:tc>
                <w:tcPr>
                  <w:tcW w:w="493" w:type="pct"/>
                  <w:vAlign w:val="center"/>
                </w:tcPr>
                <w:p w14:paraId="331240ED">
                  <w:pPr>
                    <w:jc w:val="center"/>
                  </w:pPr>
                  <w:r>
                    <w:t>分析结果</w:t>
                  </w:r>
                </w:p>
              </w:tc>
            </w:tr>
            <w:tr w14:paraId="619E6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8" w:type="pct"/>
                  <w:vAlign w:val="center"/>
                </w:tcPr>
                <w:p w14:paraId="79C36D46">
                  <w:pPr>
                    <w:widowControl/>
                    <w:autoSpaceDE w:val="0"/>
                    <w:autoSpaceDN w:val="0"/>
                    <w:adjustRightInd w:val="0"/>
                    <w:snapToGrid w:val="0"/>
                    <w:jc w:val="center"/>
                    <w:textAlignment w:val="baseline"/>
                    <w:rPr>
                      <w:kern w:val="0"/>
                      <w:szCs w:val="21"/>
                      <w:lang w:bidi="ar"/>
                    </w:rPr>
                  </w:pPr>
                  <w:r>
                    <w:rPr>
                      <w:kern w:val="0"/>
                      <w:szCs w:val="21"/>
                      <w:lang w:bidi="ar"/>
                    </w:rPr>
                    <w:t>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p w14:paraId="59440D7D">
                  <w:pPr>
                    <w:widowControl/>
                    <w:autoSpaceDE w:val="0"/>
                    <w:autoSpaceDN w:val="0"/>
                    <w:adjustRightInd w:val="0"/>
                    <w:snapToGrid w:val="0"/>
                    <w:jc w:val="center"/>
                    <w:textAlignment w:val="baseline"/>
                  </w:pPr>
                  <w:r>
                    <w:rPr>
                      <w:kern w:val="0"/>
                      <w:szCs w:val="21"/>
                      <w:lang w:bidi="ar"/>
                    </w:rPr>
                    <w:t>严禁新增钢铁产能。推行钢铁、焦化、烧结一体化布局，大幅减少独立焦化、烧结、球团和热轧企业及工序，淘汰落后煤炭洗选产能；有序引导高炉—转炉长流程炼钢转型为电炉短流程炼钢。到2025年，短流程炼钢产量占比达15%。京津冀及周边地区继续实施“以钢定焦”，炼焦产能与长流程炼钢产能比控制在0.4左右。</w:t>
                  </w:r>
                </w:p>
              </w:tc>
              <w:tc>
                <w:tcPr>
                  <w:tcW w:w="1398" w:type="pct"/>
                  <w:vAlign w:val="center"/>
                </w:tcPr>
                <w:p w14:paraId="22C66661">
                  <w:pPr>
                    <w:widowControl/>
                    <w:autoSpaceDE w:val="0"/>
                    <w:autoSpaceDN w:val="0"/>
                    <w:adjustRightInd w:val="0"/>
                    <w:snapToGrid w:val="0"/>
                    <w:jc w:val="center"/>
                    <w:textAlignment w:val="baseline"/>
                  </w:pPr>
                  <w:r>
                    <w:rPr>
                      <w:szCs w:val="21"/>
                      <w:lang w:bidi="ar"/>
                    </w:rPr>
                    <w:t>本项目为</w:t>
                  </w:r>
                  <w:r>
                    <w:rPr>
                      <w:szCs w:val="21"/>
                    </w:rPr>
                    <w:t>D4430热力生产和供应，不属于“高耗能、高排放、低水平项目”</w:t>
                  </w:r>
                  <w:r>
                    <w:t>，本项目</w:t>
                  </w:r>
                  <w:r>
                    <w:rPr>
                      <w:kern w:val="0"/>
                      <w:szCs w:val="21"/>
                      <w:lang w:bidi="ar"/>
                    </w:rPr>
                    <w:t>严格落实国家产业规划、产业政策、生态环境分区管控方案、规划环评、项目环评、节能审查、产能置换、重点污染物总量控制、污染物排放区域削减等要求</w:t>
                  </w:r>
                </w:p>
              </w:tc>
              <w:tc>
                <w:tcPr>
                  <w:tcW w:w="493" w:type="pct"/>
                  <w:vAlign w:val="center"/>
                </w:tcPr>
                <w:p w14:paraId="30525548">
                  <w:pPr>
                    <w:jc w:val="center"/>
                  </w:pPr>
                  <w:r>
                    <w:t>符合</w:t>
                  </w:r>
                </w:p>
              </w:tc>
            </w:tr>
            <w:tr w14:paraId="281E5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8" w:type="pct"/>
                  <w:vAlign w:val="center"/>
                </w:tcPr>
                <w:p w14:paraId="15EBA425">
                  <w:pPr>
                    <w:widowControl/>
                    <w:autoSpaceDE w:val="0"/>
                    <w:autoSpaceDN w:val="0"/>
                    <w:adjustRightInd w:val="0"/>
                    <w:snapToGrid w:val="0"/>
                    <w:jc w:val="center"/>
                    <w:textAlignment w:val="baseline"/>
                  </w:pPr>
                  <w:r>
                    <w:rPr>
                      <w:kern w:val="0"/>
                      <w:szCs w:val="21"/>
                      <w:lang w:bidi="ar"/>
                    </w:rPr>
                    <w:t>加快退出重点行业落后产能。修订《产业结构调整指导目录》，研究将污染物或温室气体排放明显高出行业平均水平、能效和清洁生产水平低的工艺和装备纳入淘汰类和限制类名单。重点区域进一步提高落后产能能耗、环保、质量、安全、技术等要求，逐步退出限制类涉气行业工艺和装备；逐步淘汰步进式烧结机和球团竖炉以及半封闭式硅锰合金、镍铁、高碳铬铁、高碳锰铁电炉。引导重点区域钢铁、焦化、电解铝等产业有序调整优化。</w:t>
                  </w:r>
                </w:p>
              </w:tc>
              <w:tc>
                <w:tcPr>
                  <w:tcW w:w="1398" w:type="pct"/>
                  <w:vAlign w:val="center"/>
                </w:tcPr>
                <w:p w14:paraId="0C04D5C5">
                  <w:pPr>
                    <w:widowControl/>
                    <w:autoSpaceDE w:val="0"/>
                    <w:autoSpaceDN w:val="0"/>
                    <w:adjustRightInd w:val="0"/>
                    <w:snapToGrid w:val="0"/>
                    <w:jc w:val="center"/>
                    <w:textAlignment w:val="baseline"/>
                  </w:pPr>
                  <w:r>
                    <w:rPr>
                      <w:szCs w:val="21"/>
                      <w:lang w:bidi="ar"/>
                    </w:rPr>
                    <w:t>本项目为</w:t>
                  </w:r>
                  <w:r>
                    <w:rPr>
                      <w:szCs w:val="21"/>
                    </w:rPr>
                    <w:t>D4430热力生产和供应，不属于上述重点行业</w:t>
                  </w:r>
                </w:p>
              </w:tc>
              <w:tc>
                <w:tcPr>
                  <w:tcW w:w="493" w:type="pct"/>
                  <w:vAlign w:val="center"/>
                </w:tcPr>
                <w:p w14:paraId="30898E21">
                  <w:pPr>
                    <w:jc w:val="center"/>
                  </w:pPr>
                  <w:r>
                    <w:t>符合</w:t>
                  </w:r>
                </w:p>
              </w:tc>
            </w:tr>
          </w:tbl>
          <w:p w14:paraId="3011D9E5">
            <w:pPr>
              <w:spacing w:line="360" w:lineRule="auto"/>
              <w:rPr>
                <w:b/>
                <w:bCs/>
                <w:sz w:val="24"/>
              </w:rPr>
            </w:pPr>
            <w:r>
              <w:rPr>
                <w:b/>
                <w:bCs/>
                <w:sz w:val="24"/>
              </w:rPr>
              <w:t>（</w:t>
            </w:r>
            <w:r>
              <w:rPr>
                <w:rFonts w:hint="eastAsia"/>
                <w:b/>
                <w:bCs/>
                <w:sz w:val="24"/>
              </w:rPr>
              <w:t>2</w:t>
            </w:r>
            <w:r>
              <w:rPr>
                <w:b/>
                <w:bCs/>
                <w:sz w:val="24"/>
              </w:rPr>
              <w:t>）</w:t>
            </w:r>
            <w:r>
              <w:rPr>
                <w:rFonts w:hint="eastAsia" w:ascii="宋体" w:hAnsi="宋体"/>
                <w:b/>
                <w:bCs/>
                <w:sz w:val="24"/>
              </w:rPr>
              <w:t>与《安徽省空气质量持续改善行动方案》的相符性分析</w:t>
            </w:r>
          </w:p>
          <w:p w14:paraId="37E10593">
            <w:pPr>
              <w:jc w:val="center"/>
              <w:rPr>
                <w:b/>
                <w:bCs/>
                <w:sz w:val="24"/>
              </w:rPr>
            </w:pPr>
            <w:r>
              <w:rPr>
                <w:rFonts w:hint="eastAsia"/>
                <w:b/>
                <w:bCs/>
                <w:sz w:val="24"/>
              </w:rPr>
              <w:t>表1-</w:t>
            </w:r>
            <w:r>
              <w:rPr>
                <w:rFonts w:hint="eastAsia"/>
                <w:b/>
                <w:bCs/>
                <w:sz w:val="24"/>
                <w:lang w:val="en-US" w:eastAsia="zh-CN"/>
              </w:rPr>
              <w:t>2</w:t>
            </w:r>
            <w:r>
              <w:rPr>
                <w:rFonts w:hint="eastAsia"/>
                <w:b/>
                <w:bCs/>
                <w:sz w:val="24"/>
              </w:rPr>
              <w:t xml:space="preserve"> 与《安徽省空气质量持续改善行动方案符》合性分析</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4239"/>
              <w:gridCol w:w="1742"/>
              <w:gridCol w:w="966"/>
            </w:tblGrid>
            <w:tr w14:paraId="4FAE3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pct"/>
                  <w:vAlign w:val="center"/>
                </w:tcPr>
                <w:p w14:paraId="4E9FBB02">
                  <w:pPr>
                    <w:jc w:val="center"/>
                    <w:rPr>
                      <w:b/>
                      <w:sz w:val="24"/>
                    </w:rPr>
                  </w:pPr>
                  <w:r>
                    <w:rPr>
                      <w:b/>
                    </w:rPr>
                    <w:t>序号</w:t>
                  </w:r>
                </w:p>
              </w:tc>
              <w:tc>
                <w:tcPr>
                  <w:tcW w:w="2760" w:type="pct"/>
                  <w:vAlign w:val="center"/>
                </w:tcPr>
                <w:p w14:paraId="60D61710">
                  <w:pPr>
                    <w:jc w:val="center"/>
                    <w:rPr>
                      <w:b/>
                      <w:sz w:val="24"/>
                    </w:rPr>
                  </w:pPr>
                  <w:r>
                    <w:rPr>
                      <w:b/>
                    </w:rPr>
                    <w:t>相关规范要求</w:t>
                  </w:r>
                </w:p>
              </w:tc>
              <w:tc>
                <w:tcPr>
                  <w:tcW w:w="1135" w:type="pct"/>
                  <w:vAlign w:val="center"/>
                </w:tcPr>
                <w:p w14:paraId="103FAAC4">
                  <w:pPr>
                    <w:jc w:val="center"/>
                    <w:rPr>
                      <w:b/>
                      <w:sz w:val="24"/>
                    </w:rPr>
                  </w:pPr>
                  <w:r>
                    <w:rPr>
                      <w:b/>
                    </w:rPr>
                    <w:t>本项目情况</w:t>
                  </w:r>
                </w:p>
              </w:tc>
              <w:tc>
                <w:tcPr>
                  <w:tcW w:w="629" w:type="pct"/>
                  <w:vAlign w:val="center"/>
                </w:tcPr>
                <w:p w14:paraId="7586CE88">
                  <w:pPr>
                    <w:jc w:val="center"/>
                    <w:rPr>
                      <w:b/>
                      <w:sz w:val="24"/>
                    </w:rPr>
                  </w:pPr>
                  <w:r>
                    <w:rPr>
                      <w:b/>
                    </w:rPr>
                    <w:t>符合性</w:t>
                  </w:r>
                </w:p>
              </w:tc>
            </w:tr>
            <w:tr w14:paraId="6C8BA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pct"/>
                  <w:vAlign w:val="center"/>
                </w:tcPr>
                <w:p w14:paraId="68FA1474">
                  <w:pPr>
                    <w:jc w:val="center"/>
                    <w:rPr>
                      <w:color w:val="FF0000"/>
                      <w:szCs w:val="18"/>
                    </w:rPr>
                  </w:pPr>
                  <w:r>
                    <w:rPr>
                      <w:szCs w:val="18"/>
                    </w:rPr>
                    <w:t>1</w:t>
                  </w:r>
                </w:p>
              </w:tc>
              <w:tc>
                <w:tcPr>
                  <w:tcW w:w="2760" w:type="pct"/>
                  <w:vAlign w:val="center"/>
                </w:tcPr>
                <w:p w14:paraId="5CEFA25F">
                  <w:pPr>
                    <w:pStyle w:val="51"/>
                    <w:spacing w:line="240" w:lineRule="auto"/>
                    <w:ind w:firstLine="0" w:firstLineChars="0"/>
                    <w:jc w:val="center"/>
                    <w:rPr>
                      <w:rFonts w:ascii="Times New Roman" w:hAnsi="Times New Roman"/>
                    </w:rPr>
                  </w:pPr>
                  <w:r>
                    <w:rPr>
                      <w:rFonts w:ascii="Times New Roman" w:hAnsi="Times New Roman"/>
                      <w:sz w:val="21"/>
                      <w:szCs w:val="21"/>
                    </w:rPr>
                    <w:t>（三）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实施“高污染、高耗能”项目部门联审，源头管控低水平项目上马。制定实施安徽省加强生态环境分区管控方案。严格落实产能置换要求，不以任何名义、任何方式核准、备案产能严重过剩行业新增产能项目，被置换产能及其配套设施关停后，新建项目方可投产。</w:t>
                  </w:r>
                </w:p>
              </w:tc>
              <w:tc>
                <w:tcPr>
                  <w:tcW w:w="1135" w:type="pct"/>
                  <w:vAlign w:val="center"/>
                </w:tcPr>
                <w:p w14:paraId="7034F67E">
                  <w:pPr>
                    <w:jc w:val="center"/>
                    <w:rPr>
                      <w:b/>
                      <w:bCs/>
                      <w:sz w:val="24"/>
                    </w:rPr>
                  </w:pPr>
                  <w:r>
                    <w:t>本项目不属于高耗能、高排放、低水平项目</w:t>
                  </w:r>
                </w:p>
              </w:tc>
              <w:tc>
                <w:tcPr>
                  <w:tcW w:w="629" w:type="pct"/>
                  <w:vAlign w:val="center"/>
                </w:tcPr>
                <w:p w14:paraId="3AE133C3">
                  <w:pPr>
                    <w:jc w:val="center"/>
                    <w:rPr>
                      <w:b/>
                      <w:bCs/>
                      <w:sz w:val="24"/>
                    </w:rPr>
                  </w:pPr>
                  <w:r>
                    <w:t>符合</w:t>
                  </w:r>
                </w:p>
              </w:tc>
            </w:tr>
            <w:tr w14:paraId="0D11A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pct"/>
                  <w:vAlign w:val="center"/>
                </w:tcPr>
                <w:p w14:paraId="439BEDFC">
                  <w:pPr>
                    <w:jc w:val="center"/>
                    <w:rPr>
                      <w:szCs w:val="18"/>
                    </w:rPr>
                  </w:pPr>
                  <w:r>
                    <w:rPr>
                      <w:szCs w:val="18"/>
                    </w:rPr>
                    <w:t>2</w:t>
                  </w:r>
                </w:p>
              </w:tc>
              <w:tc>
                <w:tcPr>
                  <w:tcW w:w="2760" w:type="pct"/>
                  <w:vAlign w:val="center"/>
                </w:tcPr>
                <w:p w14:paraId="5005BA95">
                  <w:pPr>
                    <w:jc w:val="center"/>
                  </w:pPr>
                  <w:r>
                    <w:t>（四）有序推动落后产能淘汰。严格执行《产业结构调整指导目录》。综合运用能耗、环保、质量、安全、技术等要求，依法依规推动落后产能退出，逐步退出限制类涉气行业工艺和装备。有序推动生产设施老旧、工艺水平落后、环境管理水平低下的独立焦化、烧结、球团、热轧企业和落后煤炭洗选企业退出市场。逐步淘汰步进式烧结机和球团竖炉以及半封闭式硅锰合金、镍铁、高碳铬铁、高碳锰铁电炉。严禁违规新增钢铁、水泥（熟料）、焦化、电解铝、平板玻璃（不含光伏压延玻璃）产能。鼓励钢铁行业龙头企业实施兼并重组，到2025年，短流程炼钢产量占比达15%。</w:t>
                  </w:r>
                </w:p>
              </w:tc>
              <w:tc>
                <w:tcPr>
                  <w:tcW w:w="1135" w:type="pct"/>
                  <w:vAlign w:val="center"/>
                </w:tcPr>
                <w:p w14:paraId="06D3BE66">
                  <w:pPr>
                    <w:jc w:val="center"/>
                  </w:pPr>
                  <w:r>
                    <w:t>本项目不属于《产业结构调整指导目录（2024年本）》中限制、淘汰的目录的建设项目</w:t>
                  </w:r>
                </w:p>
              </w:tc>
              <w:tc>
                <w:tcPr>
                  <w:tcW w:w="629" w:type="pct"/>
                  <w:vAlign w:val="center"/>
                </w:tcPr>
                <w:p w14:paraId="043C017C">
                  <w:pPr>
                    <w:jc w:val="center"/>
                  </w:pPr>
                  <w:r>
                    <w:t>符合</w:t>
                  </w:r>
                </w:p>
              </w:tc>
            </w:tr>
            <w:tr w14:paraId="29D01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pct"/>
                  <w:vAlign w:val="center"/>
                </w:tcPr>
                <w:p w14:paraId="7A6F272F">
                  <w:pPr>
                    <w:jc w:val="center"/>
                    <w:rPr>
                      <w:szCs w:val="18"/>
                    </w:rPr>
                  </w:pPr>
                  <w:r>
                    <w:rPr>
                      <w:szCs w:val="18"/>
                    </w:rPr>
                    <w:t>3</w:t>
                  </w:r>
                </w:p>
              </w:tc>
              <w:tc>
                <w:tcPr>
                  <w:tcW w:w="2760" w:type="pct"/>
                  <w:vAlign w:val="center"/>
                </w:tcPr>
                <w:p w14:paraId="153F256C">
                  <w:pPr>
                    <w:jc w:val="center"/>
                  </w:pPr>
                  <w:r>
                    <w:t>（十）推动工业炉窑清洁能源替代。有序推进工业领域电能替代，提高电气化水平，推动大用户直供气，降低供气成本。重点区域不再新增燃料类煤气发生炉，新改扩建加热炉、热处理炉、干燥炉、熔化炉原则上采用清洁低碳能源。燃料类煤气发生炉实施清洁能源替代，或因地制宜采取园区（集群）集中供气、分散使用方式。逐步淘汰固定床间歇式煤气发生炉，鼓励现有煤气发生炉“小改大”。安全稳妥推进使用高污染燃料的工业炉窑改用工业余热、电能、天然气等，推动石油焦、重油等高污染燃料逐步替代。</w:t>
                  </w:r>
                </w:p>
              </w:tc>
              <w:tc>
                <w:tcPr>
                  <w:tcW w:w="1135" w:type="pct"/>
                  <w:vAlign w:val="center"/>
                </w:tcPr>
                <w:p w14:paraId="328B50B7">
                  <w:pPr>
                    <w:jc w:val="center"/>
                  </w:pPr>
                  <w:r>
                    <w:t>本项目</w:t>
                  </w:r>
                  <w:r>
                    <w:rPr>
                      <w:rFonts w:hint="eastAsia"/>
                    </w:rPr>
                    <w:t>不涉及煤气发生炉，燃料为生物质</w:t>
                  </w:r>
                </w:p>
              </w:tc>
              <w:tc>
                <w:tcPr>
                  <w:tcW w:w="629" w:type="pct"/>
                  <w:vAlign w:val="center"/>
                </w:tcPr>
                <w:p w14:paraId="25A443F7">
                  <w:pPr>
                    <w:jc w:val="center"/>
                  </w:pPr>
                  <w:r>
                    <w:t>符合</w:t>
                  </w:r>
                </w:p>
              </w:tc>
            </w:tr>
          </w:tbl>
          <w:p w14:paraId="2F61860C">
            <w:pPr>
              <w:spacing w:line="360" w:lineRule="auto"/>
              <w:ind w:firstLine="482" w:firstLineChars="200"/>
              <w:rPr>
                <w:b/>
                <w:bCs/>
                <w:sz w:val="24"/>
                <w:szCs w:val="32"/>
              </w:rPr>
            </w:pPr>
            <w:r>
              <w:rPr>
                <w:b/>
                <w:bCs/>
                <w:sz w:val="24"/>
              </w:rPr>
              <w:t>（3）</w:t>
            </w:r>
            <w:r>
              <w:rPr>
                <w:b/>
                <w:bCs/>
                <w:sz w:val="24"/>
                <w:szCs w:val="32"/>
              </w:rPr>
              <w:t>本项目与《宿州市“十四五”生态环境保护规划》（宿环委会【2022】2号，宿州市生态环境保护委员会，2022年05月21日）符合性分析见下表。</w:t>
            </w:r>
          </w:p>
          <w:p w14:paraId="4B603986">
            <w:pPr>
              <w:pStyle w:val="52"/>
              <w:rPr>
                <w:rFonts w:hint="default"/>
                <w:sz w:val="24"/>
              </w:rPr>
            </w:pPr>
            <w:r>
              <w:rPr>
                <w:rFonts w:hint="default" w:cs="Times New Roman"/>
                <w:sz w:val="24"/>
                <w:szCs w:val="32"/>
              </w:rPr>
              <w:t>表1-</w:t>
            </w:r>
            <w:r>
              <w:rPr>
                <w:rFonts w:cs="Times New Roman"/>
                <w:sz w:val="24"/>
                <w:szCs w:val="32"/>
              </w:rPr>
              <w:t>3</w:t>
            </w:r>
            <w:r>
              <w:rPr>
                <w:rFonts w:hint="default" w:cs="Times New Roman"/>
                <w:sz w:val="24"/>
                <w:szCs w:val="32"/>
              </w:rPr>
              <w:t xml:space="preserve">  与《宿州市“十四五”生态环境保护规划》符合性分析</w:t>
            </w:r>
          </w:p>
          <w:tbl>
            <w:tblPr>
              <w:tblStyle w:val="2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
              <w:gridCol w:w="962"/>
              <w:gridCol w:w="3269"/>
              <w:gridCol w:w="2150"/>
              <w:gridCol w:w="724"/>
            </w:tblGrid>
            <w:tr w14:paraId="62D45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7" w:type="pct"/>
                  <w:vAlign w:val="center"/>
                </w:tcPr>
                <w:p w14:paraId="458BA83D">
                  <w:pPr>
                    <w:pStyle w:val="35"/>
                    <w:rPr>
                      <w:rFonts w:hint="default"/>
                    </w:rPr>
                  </w:pPr>
                  <w:r>
                    <w:t>序号</w:t>
                  </w:r>
                </w:p>
              </w:tc>
              <w:tc>
                <w:tcPr>
                  <w:tcW w:w="2758" w:type="pct"/>
                  <w:gridSpan w:val="2"/>
                  <w:vAlign w:val="center"/>
                </w:tcPr>
                <w:p w14:paraId="19C20ED8">
                  <w:pPr>
                    <w:pStyle w:val="35"/>
                    <w:rPr>
                      <w:rFonts w:hint="default"/>
                    </w:rPr>
                  </w:pPr>
                  <w:r>
                    <w:t>宿州市生态环境保护委员会关于印发“十四五”生态环境保护规划的通知</w:t>
                  </w:r>
                </w:p>
              </w:tc>
              <w:tc>
                <w:tcPr>
                  <w:tcW w:w="1402" w:type="pct"/>
                  <w:vAlign w:val="center"/>
                </w:tcPr>
                <w:p w14:paraId="44C03069">
                  <w:pPr>
                    <w:pStyle w:val="35"/>
                    <w:rPr>
                      <w:rFonts w:hint="default"/>
                    </w:rPr>
                  </w:pPr>
                  <w:r>
                    <w:t>项目情况</w:t>
                  </w:r>
                </w:p>
              </w:tc>
              <w:tc>
                <w:tcPr>
                  <w:tcW w:w="472" w:type="pct"/>
                  <w:vAlign w:val="center"/>
                </w:tcPr>
                <w:p w14:paraId="1C0E11F9">
                  <w:pPr>
                    <w:pStyle w:val="35"/>
                    <w:rPr>
                      <w:rFonts w:hint="default"/>
                    </w:rPr>
                  </w:pPr>
                  <w:r>
                    <w:t>相符性</w:t>
                  </w:r>
                </w:p>
              </w:tc>
            </w:tr>
            <w:tr w14:paraId="3EBB8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7" w:type="pct"/>
                  <w:vAlign w:val="center"/>
                </w:tcPr>
                <w:p w14:paraId="06487A3E">
                  <w:pPr>
                    <w:pStyle w:val="35"/>
                    <w:rPr>
                      <w:rFonts w:hint="default" w:cs="Times New Roman"/>
                    </w:rPr>
                  </w:pPr>
                  <w:r>
                    <w:rPr>
                      <w:rFonts w:hint="default" w:cs="Times New Roman"/>
                    </w:rPr>
                    <w:t>1</w:t>
                  </w:r>
                </w:p>
              </w:tc>
              <w:tc>
                <w:tcPr>
                  <w:tcW w:w="627" w:type="pct"/>
                  <w:vAlign w:val="center"/>
                </w:tcPr>
                <w:p w14:paraId="258659F7">
                  <w:pPr>
                    <w:pStyle w:val="35"/>
                    <w:rPr>
                      <w:rFonts w:hint="default" w:cs="Times New Roman"/>
                    </w:rPr>
                  </w:pPr>
                  <w:r>
                    <w:rPr>
                      <w:rFonts w:hint="default" w:cs="Times New Roman"/>
                    </w:rPr>
                    <w:t>深入开展锅炉、炉窑综合整治</w:t>
                  </w:r>
                </w:p>
              </w:tc>
              <w:tc>
                <w:tcPr>
                  <w:tcW w:w="2130" w:type="pct"/>
                  <w:vAlign w:val="center"/>
                </w:tcPr>
                <w:p w14:paraId="2E363079">
                  <w:pPr>
                    <w:pStyle w:val="35"/>
                    <w:rPr>
                      <w:rFonts w:hint="default" w:cs="Times New Roman"/>
                    </w:rPr>
                  </w:pPr>
                  <w:r>
                    <w:rPr>
                      <w:rFonts w:hint="default" w:cs="Times New Roman"/>
                    </w:rPr>
                    <w:t>实施重点涉工业炉窑企业深度治理或清洁能源替代，完成65蒸吨及以上燃煤锅炉节能改造。持续开展散煤污染治理行动，严格查处非法销售、使用非清洁散煤等行为。</w:t>
                  </w:r>
                </w:p>
              </w:tc>
              <w:tc>
                <w:tcPr>
                  <w:tcW w:w="1402" w:type="pct"/>
                  <w:vAlign w:val="center"/>
                </w:tcPr>
                <w:p w14:paraId="6FEE6054">
                  <w:pPr>
                    <w:pStyle w:val="35"/>
                    <w:rPr>
                      <w:rFonts w:hint="default" w:cs="Times New Roman"/>
                    </w:rPr>
                  </w:pPr>
                  <w:r>
                    <w:rPr>
                      <w:rFonts w:hint="default" w:cs="Times New Roman"/>
                    </w:rPr>
                    <w:t>本项目使用1台</w:t>
                  </w:r>
                  <w:r>
                    <w:rPr>
                      <w:rFonts w:hint="eastAsia" w:cs="Times New Roman"/>
                      <w:lang w:val="en-US" w:eastAsia="zh-CN"/>
                    </w:rPr>
                    <w:t>5.6MW生物质热风炉</w:t>
                  </w:r>
                  <w:r>
                    <w:rPr>
                      <w:rFonts w:hint="default" w:cs="Times New Roman"/>
                    </w:rPr>
                    <w:t>及配套设备</w:t>
                  </w:r>
                  <w:r>
                    <w:rPr>
                      <w:rFonts w:cs="Times New Roman"/>
                    </w:rPr>
                    <w:t>，</w:t>
                  </w:r>
                  <w:r>
                    <w:rPr>
                      <w:rFonts w:hint="default" w:cs="Times New Roman"/>
                    </w:rPr>
                    <w:t>不属于燃煤锅炉和低效燃煤小热电。</w:t>
                  </w:r>
                  <w:r>
                    <w:rPr>
                      <w:rFonts w:hint="eastAsia" w:cs="Times New Roman"/>
                      <w:lang w:val="en-US" w:eastAsia="zh-CN"/>
                    </w:rPr>
                    <w:t>热风炉</w:t>
                  </w:r>
                  <w:r>
                    <w:rPr>
                      <w:rFonts w:hint="default" w:cs="Times New Roman"/>
                    </w:rPr>
                    <w:t>使用燃料为</w:t>
                  </w:r>
                  <w:r>
                    <w:rPr>
                      <w:rFonts w:cs="Times New Roman"/>
                    </w:rPr>
                    <w:t>生物质</w:t>
                  </w:r>
                  <w:r>
                    <w:rPr>
                      <w:rFonts w:hint="default" w:cs="Times New Roman"/>
                    </w:rPr>
                    <w:t>，不属于高污染燃料，并配套</w:t>
                  </w:r>
                  <w:r>
                    <w:rPr>
                      <w:rFonts w:cs="Times New Roman"/>
                    </w:rPr>
                    <w:t>布袋除尘器</w:t>
                  </w:r>
                </w:p>
              </w:tc>
              <w:tc>
                <w:tcPr>
                  <w:tcW w:w="472" w:type="pct"/>
                  <w:vAlign w:val="center"/>
                </w:tcPr>
                <w:p w14:paraId="26F27692">
                  <w:pPr>
                    <w:pStyle w:val="35"/>
                    <w:rPr>
                      <w:rFonts w:hint="default"/>
                    </w:rPr>
                  </w:pPr>
                  <w:r>
                    <w:t>相符</w:t>
                  </w:r>
                </w:p>
              </w:tc>
            </w:tr>
            <w:tr w14:paraId="29008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7" w:type="pct"/>
                  <w:vAlign w:val="center"/>
                </w:tcPr>
                <w:p w14:paraId="3A97A76F">
                  <w:pPr>
                    <w:pStyle w:val="35"/>
                    <w:rPr>
                      <w:rFonts w:hint="default" w:cs="Times New Roman"/>
                    </w:rPr>
                  </w:pPr>
                  <w:r>
                    <w:rPr>
                      <w:rFonts w:hint="default" w:cs="Times New Roman"/>
                    </w:rPr>
                    <w:t>2</w:t>
                  </w:r>
                </w:p>
              </w:tc>
              <w:tc>
                <w:tcPr>
                  <w:tcW w:w="627" w:type="pct"/>
                  <w:vAlign w:val="center"/>
                </w:tcPr>
                <w:p w14:paraId="66FF16AD">
                  <w:pPr>
                    <w:pStyle w:val="35"/>
                    <w:rPr>
                      <w:rFonts w:hint="default" w:cs="Times New Roman"/>
                    </w:rPr>
                  </w:pPr>
                  <w:r>
                    <w:rPr>
                      <w:rFonts w:hint="default" w:cs="Times New Roman"/>
                    </w:rPr>
                    <w:t>控制工业企业噪声</w:t>
                  </w:r>
                </w:p>
                <w:p w14:paraId="6315E461">
                  <w:pPr>
                    <w:pStyle w:val="35"/>
                    <w:rPr>
                      <w:rFonts w:hint="default" w:cs="Times New Roman"/>
                    </w:rPr>
                  </w:pPr>
                </w:p>
              </w:tc>
              <w:tc>
                <w:tcPr>
                  <w:tcW w:w="2130" w:type="pct"/>
                  <w:vAlign w:val="center"/>
                </w:tcPr>
                <w:p w14:paraId="59E74EE7">
                  <w:pPr>
                    <w:pStyle w:val="35"/>
                    <w:rPr>
                      <w:rFonts w:hint="default" w:cs="Times New Roman"/>
                    </w:rPr>
                  </w:pPr>
                  <w:r>
                    <w:rPr>
                      <w:rFonts w:hint="default" w:cs="Times New Roman"/>
                    </w:rPr>
                    <w:t>推行使用低噪声设备，大力推广使用低噪声风机、低噪声空压机、低噪声冷却塔、低噪声机械加工设备等，工业噪声源应采用隔声、吸声和消声等措施，必要时应设置隔声罩，确保厂界达标，从噪声源头和传播途径上有效减少对周围环境的影响。加强厂区绿化，在高噪声设备处和厂界之间设置绿化带。控制在居民住宅区附近新建工业项目，杜绝产生新的噪声污染源。</w:t>
                  </w:r>
                </w:p>
              </w:tc>
              <w:tc>
                <w:tcPr>
                  <w:tcW w:w="1402" w:type="pct"/>
                  <w:vAlign w:val="center"/>
                </w:tcPr>
                <w:p w14:paraId="19CAE2D1">
                  <w:pPr>
                    <w:pStyle w:val="35"/>
                    <w:rPr>
                      <w:rFonts w:hint="default" w:cs="Times New Roman"/>
                    </w:rPr>
                  </w:pPr>
                  <w:r>
                    <w:rPr>
                      <w:rFonts w:hint="default" w:cs="Times New Roman"/>
                    </w:rPr>
                    <w:t>本项目采用低噪声设备，采取基础减振、厂房隔声等降噪措施，设置厂区绿化，降低噪声对敏感点的影响</w:t>
                  </w:r>
                </w:p>
              </w:tc>
              <w:tc>
                <w:tcPr>
                  <w:tcW w:w="472" w:type="pct"/>
                  <w:vAlign w:val="center"/>
                </w:tcPr>
                <w:p w14:paraId="176C18D0">
                  <w:pPr>
                    <w:pStyle w:val="35"/>
                    <w:rPr>
                      <w:rFonts w:hint="default"/>
                    </w:rPr>
                  </w:pPr>
                  <w:r>
                    <w:t>符合</w:t>
                  </w:r>
                </w:p>
              </w:tc>
            </w:tr>
          </w:tbl>
          <w:p w14:paraId="158CD95F">
            <w:pPr>
              <w:spacing w:line="360" w:lineRule="auto"/>
              <w:ind w:firstLine="482" w:firstLineChars="200"/>
              <w:rPr>
                <w:b/>
                <w:bCs/>
                <w:color w:val="000000"/>
                <w:kern w:val="0"/>
                <w:sz w:val="24"/>
              </w:rPr>
            </w:pPr>
            <w:r>
              <w:rPr>
                <w:rFonts w:hint="eastAsia"/>
                <w:b/>
                <w:bCs/>
                <w:color w:val="000000"/>
                <w:kern w:val="0"/>
                <w:sz w:val="24"/>
              </w:rPr>
              <w:t>（4）与《关于加快粮食产地烘干能力建设的意见》农机发【2023】3号符合性分析</w:t>
            </w:r>
          </w:p>
          <w:p w14:paraId="41525A51">
            <w:pPr>
              <w:jc w:val="center"/>
            </w:pPr>
            <w:r>
              <w:rPr>
                <w:b/>
                <w:bCs/>
                <w:sz w:val="24"/>
                <w:szCs w:val="32"/>
              </w:rPr>
              <w:t>表1-</w:t>
            </w:r>
            <w:r>
              <w:rPr>
                <w:rFonts w:hint="eastAsia"/>
                <w:b/>
                <w:bCs/>
                <w:sz w:val="24"/>
                <w:szCs w:val="32"/>
              </w:rPr>
              <w:t>4</w:t>
            </w:r>
            <w:r>
              <w:rPr>
                <w:b/>
                <w:bCs/>
                <w:sz w:val="24"/>
                <w:szCs w:val="32"/>
              </w:rPr>
              <w:t xml:space="preserve">  与</w:t>
            </w:r>
            <w:r>
              <w:rPr>
                <w:rFonts w:hint="eastAsia"/>
                <w:b/>
                <w:bCs/>
                <w:color w:val="000000"/>
                <w:kern w:val="0"/>
                <w:sz w:val="24"/>
              </w:rPr>
              <w:t>《关于加快粮食产地烘干能力建设的意见》农机发【2023】3号符合性分析</w:t>
            </w:r>
          </w:p>
          <w:tbl>
            <w:tblPr>
              <w:tblStyle w:val="2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1"/>
              <w:gridCol w:w="4234"/>
              <w:gridCol w:w="2152"/>
              <w:gridCol w:w="722"/>
            </w:tblGrid>
            <w:tr w14:paraId="52AD8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6" w:type="pct"/>
                  <w:vAlign w:val="center"/>
                </w:tcPr>
                <w:p w14:paraId="0F5FAB99">
                  <w:pPr>
                    <w:pStyle w:val="35"/>
                    <w:rPr>
                      <w:rFonts w:hint="default"/>
                    </w:rPr>
                  </w:pPr>
                  <w:r>
                    <w:t>序号</w:t>
                  </w:r>
                </w:p>
              </w:tc>
              <w:tc>
                <w:tcPr>
                  <w:tcW w:w="2758" w:type="pct"/>
                  <w:vAlign w:val="center"/>
                </w:tcPr>
                <w:p w14:paraId="6446BBB6">
                  <w:pPr>
                    <w:pStyle w:val="35"/>
                    <w:rPr>
                      <w:rFonts w:hint="default"/>
                    </w:rPr>
                  </w:pPr>
                  <w:r>
                    <w:t>意见要求</w:t>
                  </w:r>
                </w:p>
              </w:tc>
              <w:tc>
                <w:tcPr>
                  <w:tcW w:w="1402" w:type="pct"/>
                  <w:vAlign w:val="center"/>
                </w:tcPr>
                <w:p w14:paraId="089C18A0">
                  <w:pPr>
                    <w:pStyle w:val="35"/>
                    <w:rPr>
                      <w:rFonts w:hint="default"/>
                    </w:rPr>
                  </w:pPr>
                  <w:r>
                    <w:t>项目情况</w:t>
                  </w:r>
                </w:p>
              </w:tc>
              <w:tc>
                <w:tcPr>
                  <w:tcW w:w="471" w:type="pct"/>
                  <w:vAlign w:val="center"/>
                </w:tcPr>
                <w:p w14:paraId="67696DFE">
                  <w:pPr>
                    <w:pStyle w:val="35"/>
                    <w:rPr>
                      <w:rFonts w:hint="default"/>
                    </w:rPr>
                  </w:pPr>
                  <w:r>
                    <w:t>相符性</w:t>
                  </w:r>
                </w:p>
              </w:tc>
            </w:tr>
            <w:tr w14:paraId="29CBB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66" w:type="pct"/>
                  <w:vAlign w:val="center"/>
                </w:tcPr>
                <w:p w14:paraId="664C588A">
                  <w:pPr>
                    <w:pStyle w:val="35"/>
                    <w:rPr>
                      <w:rFonts w:hint="default" w:cs="Times New Roman"/>
                    </w:rPr>
                  </w:pPr>
                  <w:r>
                    <w:rPr>
                      <w:rFonts w:cs="Times New Roman"/>
                    </w:rPr>
                    <w:t>1</w:t>
                  </w:r>
                </w:p>
              </w:tc>
              <w:tc>
                <w:tcPr>
                  <w:tcW w:w="2758" w:type="pct"/>
                  <w:vAlign w:val="center"/>
                </w:tcPr>
                <w:p w14:paraId="19ED9E52">
                  <w:pPr>
                    <w:pStyle w:val="35"/>
                    <w:adjustRightInd/>
                    <w:snapToGrid/>
                    <w:rPr>
                      <w:rFonts w:hint="default" w:cs="Times New Roman"/>
                    </w:rPr>
                  </w:pPr>
                  <w:r>
                    <w:rPr>
                      <w:rFonts w:cs="Times New Roman"/>
                    </w:rPr>
                    <w:t>（二）</w:t>
                  </w:r>
                  <w:r>
                    <w:rPr>
                      <w:rFonts w:hint="default" w:cs="Times New Roman"/>
                    </w:rPr>
                    <w:t>推进粮食烘干设施装备规范建设</w:t>
                  </w:r>
                </w:p>
                <w:p w14:paraId="4BDF70C0">
                  <w:pPr>
                    <w:pStyle w:val="35"/>
                    <w:adjustRightInd/>
                    <w:snapToGrid/>
                    <w:rPr>
                      <w:rFonts w:hint="eastAsia" w:eastAsia="宋体" w:cs="Times New Roman"/>
                      <w:lang w:eastAsia="zh-CN"/>
                    </w:rPr>
                  </w:pPr>
                  <w:r>
                    <w:rPr>
                      <w:rFonts w:hint="default" w:cs="Times New Roman"/>
                    </w:rPr>
                    <w:t>分品种、分区域推广应用适宜的粮食烘干机与储粮仓建设标准化的粮食烘干中心(点)长江中下游地区:水稻和小麦重点发展循环式烘干机</w:t>
                  </w:r>
                  <w:r>
                    <w:rPr>
                      <w:rFonts w:hint="eastAsia" w:cs="Times New Roman"/>
                      <w:lang w:eastAsia="zh-CN"/>
                    </w:rPr>
                    <w:t>。</w:t>
                  </w:r>
                </w:p>
              </w:tc>
              <w:tc>
                <w:tcPr>
                  <w:tcW w:w="1402" w:type="pct"/>
                  <w:vAlign w:val="center"/>
                </w:tcPr>
                <w:p w14:paraId="55F56218">
                  <w:pPr>
                    <w:pStyle w:val="35"/>
                    <w:rPr>
                      <w:rFonts w:hint="default" w:cs="Times New Roman"/>
                    </w:rPr>
                  </w:pPr>
                  <w:r>
                    <w:rPr>
                      <w:rFonts w:cs="Times New Roman"/>
                    </w:rPr>
                    <w:t>本项目位于宿州埇桥区灰古镇，配备1台8t/h的循环式谷物烘干机烘干小麦、玉米</w:t>
                  </w:r>
                </w:p>
              </w:tc>
              <w:tc>
                <w:tcPr>
                  <w:tcW w:w="471" w:type="pct"/>
                  <w:vAlign w:val="center"/>
                </w:tcPr>
                <w:p w14:paraId="41C12596">
                  <w:pPr>
                    <w:pStyle w:val="35"/>
                    <w:rPr>
                      <w:rFonts w:hint="default"/>
                    </w:rPr>
                  </w:pPr>
                  <w:r>
                    <w:t>符合</w:t>
                  </w:r>
                </w:p>
              </w:tc>
            </w:tr>
            <w:tr w14:paraId="6E99F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6" w:type="pct"/>
                  <w:vAlign w:val="center"/>
                </w:tcPr>
                <w:p w14:paraId="063C23A3">
                  <w:pPr>
                    <w:pStyle w:val="35"/>
                    <w:rPr>
                      <w:rFonts w:hint="default" w:cs="Times New Roman"/>
                    </w:rPr>
                  </w:pPr>
                  <w:r>
                    <w:rPr>
                      <w:rFonts w:cs="Times New Roman"/>
                    </w:rPr>
                    <w:t>2</w:t>
                  </w:r>
                </w:p>
              </w:tc>
              <w:tc>
                <w:tcPr>
                  <w:tcW w:w="2758" w:type="pct"/>
                  <w:vAlign w:val="center"/>
                </w:tcPr>
                <w:p w14:paraId="4C2FD61E">
                  <w:pPr>
                    <w:pStyle w:val="35"/>
                    <w:rPr>
                      <w:rFonts w:hint="default" w:cs="Times New Roman"/>
                    </w:rPr>
                  </w:pPr>
                  <w:r>
                    <w:rPr>
                      <w:rFonts w:cs="Times New Roman"/>
                    </w:rPr>
                    <w:t>（三）</w:t>
                  </w:r>
                  <w:r>
                    <w:rPr>
                      <w:rFonts w:hint="default" w:cs="Times New Roman"/>
                    </w:rPr>
                    <w:t>发展节能高效绿色技术与装备</w:t>
                  </w:r>
                </w:p>
                <w:p w14:paraId="623615B0">
                  <w:pPr>
                    <w:pStyle w:val="35"/>
                    <w:rPr>
                      <w:rFonts w:hint="default" w:cs="Times New Roman"/>
                    </w:rPr>
                  </w:pPr>
                  <w:r>
                    <w:rPr>
                      <w:rFonts w:hint="default" w:cs="Times New Roman"/>
                    </w:rPr>
                    <w:t>因地制宣采用热泵、电加热、生物质燃料、天然气和太阳能等热源，推进粮食烘干燃煤热源更新改造，2025年大气污染防治重点区域基本完成粮食烘干散煤清洁能源替代。推进对现有粮食烘干机进行环保节能升级改造，确保达标排放。</w:t>
                  </w:r>
                </w:p>
              </w:tc>
              <w:tc>
                <w:tcPr>
                  <w:tcW w:w="1402" w:type="pct"/>
                  <w:vAlign w:val="center"/>
                </w:tcPr>
                <w:p w14:paraId="4FEAE424">
                  <w:pPr>
                    <w:pStyle w:val="35"/>
                    <w:rPr>
                      <w:rFonts w:hint="default" w:cs="Times New Roman"/>
                    </w:rPr>
                  </w:pPr>
                  <w:r>
                    <w:rPr>
                      <w:rFonts w:cs="Times New Roman"/>
                    </w:rPr>
                    <w:t>本项目采用生物质燃料，</w:t>
                  </w:r>
                  <w:r>
                    <w:rPr>
                      <w:rFonts w:hint="eastAsia" w:cs="Times New Roman"/>
                      <w:lang w:val="en-US" w:eastAsia="zh-CN"/>
                    </w:rPr>
                    <w:t>采取低氮燃烧技术，燃烧废气经</w:t>
                  </w:r>
                  <w:r>
                    <w:rPr>
                      <w:rFonts w:cs="Times New Roman"/>
                    </w:rPr>
                    <w:t>布袋除尘器</w:t>
                  </w:r>
                  <w:r>
                    <w:rPr>
                      <w:rFonts w:hint="eastAsia" w:cs="Times New Roman"/>
                      <w:lang w:val="en-US" w:eastAsia="zh-CN"/>
                    </w:rPr>
                    <w:t>处理后</w:t>
                  </w:r>
                  <w:r>
                    <w:rPr>
                      <w:rFonts w:cs="Times New Roman"/>
                    </w:rPr>
                    <w:t>，能够达标排放</w:t>
                  </w:r>
                </w:p>
              </w:tc>
              <w:tc>
                <w:tcPr>
                  <w:tcW w:w="471" w:type="pct"/>
                  <w:vAlign w:val="center"/>
                </w:tcPr>
                <w:p w14:paraId="013F25CE">
                  <w:pPr>
                    <w:pStyle w:val="35"/>
                    <w:rPr>
                      <w:rFonts w:hint="default"/>
                    </w:rPr>
                  </w:pPr>
                  <w:r>
                    <w:t>符合</w:t>
                  </w:r>
                </w:p>
              </w:tc>
            </w:tr>
            <w:tr w14:paraId="46D0B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6" w:type="pct"/>
                  <w:vAlign w:val="center"/>
                </w:tcPr>
                <w:p w14:paraId="22F722D6">
                  <w:pPr>
                    <w:pStyle w:val="35"/>
                    <w:rPr>
                      <w:rFonts w:hint="eastAsia" w:eastAsia="宋体" w:cs="Times New Roman"/>
                      <w:lang w:val="en-US" w:eastAsia="zh-CN"/>
                    </w:rPr>
                  </w:pPr>
                  <w:r>
                    <w:rPr>
                      <w:rFonts w:hint="eastAsia" w:cs="Times New Roman"/>
                      <w:lang w:val="en-US" w:eastAsia="zh-CN"/>
                    </w:rPr>
                    <w:t>3</w:t>
                  </w:r>
                </w:p>
              </w:tc>
              <w:tc>
                <w:tcPr>
                  <w:tcW w:w="2758" w:type="pct"/>
                  <w:vAlign w:val="center"/>
                </w:tcPr>
                <w:p w14:paraId="7E0030E6">
                  <w:pPr>
                    <w:pStyle w:val="35"/>
                    <w:rPr>
                      <w:rFonts w:hint="default" w:cs="Times New Roman"/>
                    </w:rPr>
                  </w:pPr>
                  <w:r>
                    <w:rPr>
                      <w:rFonts w:cs="Times New Roman"/>
                    </w:rPr>
                    <w:t>（四）</w:t>
                  </w:r>
                  <w:r>
                    <w:rPr>
                      <w:rFonts w:hint="default" w:cs="Times New Roman"/>
                    </w:rPr>
                    <w:t>提高烘干设施装备信息化水平</w:t>
                  </w:r>
                </w:p>
                <w:p w14:paraId="6860DA7E">
                  <w:pPr>
                    <w:pStyle w:val="35"/>
                    <w:rPr>
                      <w:rFonts w:hint="default" w:cs="Times New Roman"/>
                    </w:rPr>
                  </w:pPr>
                  <w:r>
                    <w:rPr>
                      <w:rFonts w:hint="default" w:cs="Times New Roman"/>
                    </w:rPr>
                    <w:t>加快信息化技术与烘干储粮设施装备相融合，提高烘干设施装备智能化水平。推广粮食烘干作业量自动计量、水分在线测量、烘干机作业情况和储藏粮情信息化监测等技术，实现作业服务信息在线感知、生产精细管控、运维高效管理。</w:t>
                  </w:r>
                </w:p>
              </w:tc>
              <w:tc>
                <w:tcPr>
                  <w:tcW w:w="1402" w:type="pct"/>
                  <w:vAlign w:val="center"/>
                </w:tcPr>
                <w:p w14:paraId="66AB0630">
                  <w:pPr>
                    <w:pStyle w:val="35"/>
                    <w:rPr>
                      <w:rFonts w:hint="default"/>
                    </w:rPr>
                  </w:pPr>
                  <w:r>
                    <w:rPr>
                      <w:rFonts w:cs="Times New Roman"/>
                    </w:rPr>
                    <w:t>本项目烘干塔配有水分监测仪、气体转换箱及温控补风系统、自动化水平高</w:t>
                  </w:r>
                </w:p>
              </w:tc>
              <w:tc>
                <w:tcPr>
                  <w:tcW w:w="471" w:type="pct"/>
                  <w:vAlign w:val="center"/>
                </w:tcPr>
                <w:p w14:paraId="4A19474A">
                  <w:pPr>
                    <w:pStyle w:val="35"/>
                    <w:rPr>
                      <w:rFonts w:hint="default"/>
                    </w:rPr>
                  </w:pPr>
                  <w:r>
                    <w:t>符合</w:t>
                  </w:r>
                </w:p>
              </w:tc>
            </w:tr>
            <w:tr w14:paraId="6A2EE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6" w:type="pct"/>
                  <w:vAlign w:val="center"/>
                </w:tcPr>
                <w:p w14:paraId="4F544A2C">
                  <w:pPr>
                    <w:pStyle w:val="35"/>
                    <w:rPr>
                      <w:rFonts w:hint="eastAsia" w:eastAsia="宋体" w:cs="Times New Roman"/>
                      <w:lang w:val="en-US" w:eastAsia="zh-CN"/>
                    </w:rPr>
                  </w:pPr>
                  <w:r>
                    <w:rPr>
                      <w:rFonts w:hint="eastAsia" w:cs="Times New Roman"/>
                      <w:lang w:val="en-US" w:eastAsia="zh-CN"/>
                    </w:rPr>
                    <w:t>4</w:t>
                  </w:r>
                </w:p>
              </w:tc>
              <w:tc>
                <w:tcPr>
                  <w:tcW w:w="2758" w:type="pct"/>
                  <w:vAlign w:val="center"/>
                </w:tcPr>
                <w:p w14:paraId="6FAE67E7">
                  <w:pPr>
                    <w:pStyle w:val="35"/>
                    <w:rPr>
                      <w:rFonts w:hint="default" w:cs="Times New Roman"/>
                    </w:rPr>
                  </w:pPr>
                  <w:r>
                    <w:rPr>
                      <w:rFonts w:cs="Times New Roman"/>
                    </w:rPr>
                    <w:t>（五）</w:t>
                  </w:r>
                  <w:r>
                    <w:rPr>
                      <w:rFonts w:hint="default" w:cs="Times New Roman"/>
                    </w:rPr>
                    <w:t>保障措施</w:t>
                  </w:r>
                </w:p>
                <w:p w14:paraId="10D4F4AB">
                  <w:pPr>
                    <w:pStyle w:val="35"/>
                    <w:rPr>
                      <w:rFonts w:hint="eastAsia" w:eastAsia="宋体" w:cs="Times New Roman"/>
                      <w:lang w:eastAsia="zh-CN"/>
                    </w:rPr>
                  </w:pPr>
                  <w:r>
                    <w:rPr>
                      <w:rFonts w:hint="default" w:cs="Times New Roman"/>
                    </w:rPr>
                    <w:t>强化政策扶持。积极落实设施农业用地政策和做好用地保障，对于直接依附于作物种植主业，必须与主业同步建设，无法分割独立存在的烘干晾晒设施用地纳入设施农业用地管理</w:t>
                  </w:r>
                  <w:r>
                    <w:rPr>
                      <w:rFonts w:hint="eastAsia" w:cs="Times New Roman"/>
                      <w:lang w:eastAsia="zh-CN"/>
                    </w:rPr>
                    <w:t>。</w:t>
                  </w:r>
                </w:p>
              </w:tc>
              <w:tc>
                <w:tcPr>
                  <w:tcW w:w="1402" w:type="pct"/>
                  <w:vAlign w:val="center"/>
                </w:tcPr>
                <w:p w14:paraId="54BAFF63">
                  <w:pPr>
                    <w:pStyle w:val="35"/>
                    <w:rPr>
                      <w:rFonts w:hint="default" w:cs="Times New Roman"/>
                    </w:rPr>
                  </w:pPr>
                  <w:r>
                    <w:rPr>
                      <w:rFonts w:cs="Times New Roman"/>
                    </w:rPr>
                    <w:t>本项目已取得设施农业用地手续</w:t>
                  </w:r>
                </w:p>
              </w:tc>
              <w:tc>
                <w:tcPr>
                  <w:tcW w:w="471" w:type="pct"/>
                  <w:vAlign w:val="center"/>
                </w:tcPr>
                <w:p w14:paraId="24E46CCE">
                  <w:pPr>
                    <w:pStyle w:val="35"/>
                    <w:rPr>
                      <w:rFonts w:hint="default"/>
                    </w:rPr>
                  </w:pPr>
                  <w:r>
                    <w:t>符合</w:t>
                  </w:r>
                </w:p>
              </w:tc>
            </w:tr>
          </w:tbl>
          <w:p w14:paraId="11AB85C1">
            <w:pPr>
              <w:spacing w:line="360" w:lineRule="auto"/>
              <w:ind w:firstLine="482" w:firstLineChars="200"/>
              <w:rPr>
                <w:b/>
                <w:bCs/>
                <w:sz w:val="24"/>
                <w:szCs w:val="32"/>
              </w:rPr>
            </w:pPr>
            <w:r>
              <w:rPr>
                <w:rFonts w:hint="eastAsia"/>
                <w:b/>
                <w:bCs/>
                <w:color w:val="000000"/>
                <w:kern w:val="0"/>
                <w:sz w:val="24"/>
              </w:rPr>
              <w:t>（5）与《宿州市人民政府关于划定高污染燃料禁燃区的通告》符合性分析</w:t>
            </w:r>
          </w:p>
          <w:p w14:paraId="381B015F">
            <w:pPr>
              <w:jc w:val="center"/>
              <w:rPr>
                <w:b/>
                <w:bCs/>
                <w:color w:val="000000"/>
                <w:kern w:val="0"/>
                <w:sz w:val="24"/>
              </w:rPr>
            </w:pPr>
            <w:r>
              <w:rPr>
                <w:b/>
                <w:bCs/>
                <w:sz w:val="24"/>
                <w:szCs w:val="32"/>
              </w:rPr>
              <w:t>表1-</w:t>
            </w:r>
            <w:r>
              <w:rPr>
                <w:rFonts w:hint="eastAsia"/>
                <w:b/>
                <w:bCs/>
                <w:sz w:val="24"/>
                <w:szCs w:val="32"/>
                <w:lang w:val="en-US" w:eastAsia="zh-CN"/>
              </w:rPr>
              <w:t xml:space="preserve">5 </w:t>
            </w:r>
            <w:r>
              <w:rPr>
                <w:b/>
                <w:bCs/>
                <w:sz w:val="24"/>
                <w:szCs w:val="32"/>
              </w:rPr>
              <w:t>与</w:t>
            </w:r>
            <w:r>
              <w:rPr>
                <w:rFonts w:hint="eastAsia"/>
                <w:b/>
                <w:bCs/>
                <w:color w:val="000000"/>
                <w:kern w:val="0"/>
                <w:sz w:val="24"/>
              </w:rPr>
              <w:t>《宿州市人民政府关于划定高污染燃料禁燃区的通告》符合性分</w:t>
            </w:r>
          </w:p>
          <w:tbl>
            <w:tblPr>
              <w:tblStyle w:val="2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1"/>
              <w:gridCol w:w="4234"/>
              <w:gridCol w:w="2153"/>
              <w:gridCol w:w="721"/>
            </w:tblGrid>
            <w:tr w14:paraId="64950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5" w:type="pct"/>
                  <w:vAlign w:val="center"/>
                </w:tcPr>
                <w:p w14:paraId="53318EBE">
                  <w:pPr>
                    <w:pStyle w:val="35"/>
                    <w:rPr>
                      <w:rFonts w:hint="default"/>
                    </w:rPr>
                  </w:pPr>
                  <w:r>
                    <w:t>序号</w:t>
                  </w:r>
                </w:p>
              </w:tc>
              <w:tc>
                <w:tcPr>
                  <w:tcW w:w="2760" w:type="pct"/>
                  <w:vAlign w:val="center"/>
                </w:tcPr>
                <w:p w14:paraId="1239CC83">
                  <w:pPr>
                    <w:pStyle w:val="35"/>
                    <w:rPr>
                      <w:rFonts w:hint="default"/>
                    </w:rPr>
                  </w:pPr>
                  <w:r>
                    <w:t>通告内容</w:t>
                  </w:r>
                </w:p>
              </w:tc>
              <w:tc>
                <w:tcPr>
                  <w:tcW w:w="1403" w:type="pct"/>
                  <w:vAlign w:val="center"/>
                </w:tcPr>
                <w:p w14:paraId="14DFC6D2">
                  <w:pPr>
                    <w:pStyle w:val="35"/>
                    <w:rPr>
                      <w:rFonts w:hint="default"/>
                    </w:rPr>
                  </w:pPr>
                  <w:r>
                    <w:t>项目情况</w:t>
                  </w:r>
                </w:p>
              </w:tc>
              <w:tc>
                <w:tcPr>
                  <w:tcW w:w="470" w:type="pct"/>
                  <w:vAlign w:val="center"/>
                </w:tcPr>
                <w:p w14:paraId="14A4C2A0">
                  <w:pPr>
                    <w:pStyle w:val="35"/>
                    <w:rPr>
                      <w:rFonts w:hint="default"/>
                    </w:rPr>
                  </w:pPr>
                  <w:r>
                    <w:t>相符性</w:t>
                  </w:r>
                </w:p>
              </w:tc>
            </w:tr>
            <w:tr w14:paraId="39CD2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65" w:type="pct"/>
                  <w:vAlign w:val="center"/>
                </w:tcPr>
                <w:p w14:paraId="5D99323C">
                  <w:pPr>
                    <w:pStyle w:val="35"/>
                    <w:rPr>
                      <w:rFonts w:hint="default" w:cs="Times New Roman"/>
                    </w:rPr>
                  </w:pPr>
                  <w:r>
                    <w:rPr>
                      <w:rFonts w:cs="Times New Roman"/>
                    </w:rPr>
                    <w:t>1</w:t>
                  </w:r>
                </w:p>
              </w:tc>
              <w:tc>
                <w:tcPr>
                  <w:tcW w:w="2760" w:type="pct"/>
                  <w:vAlign w:val="center"/>
                </w:tcPr>
                <w:p w14:paraId="48B716A5">
                  <w:pPr>
                    <w:pStyle w:val="35"/>
                    <w:adjustRightInd/>
                    <w:snapToGrid/>
                    <w:rPr>
                      <w:rFonts w:hint="default" w:cs="Times New Roman"/>
                    </w:rPr>
                  </w:pPr>
                  <w:r>
                    <w:rPr>
                      <w:rFonts w:hint="default" w:cs="Times New Roman"/>
                    </w:rPr>
                    <w:t>一、我市下列区域为禁燃区</w:t>
                  </w:r>
                  <w:r>
                    <w:rPr>
                      <w:rFonts w:hint="eastAsia" w:cs="Times New Roman"/>
                      <w:lang w:eastAsia="zh-CN"/>
                    </w:rPr>
                    <w:t>：</w:t>
                  </w:r>
                  <w:r>
                    <w:rPr>
                      <w:rFonts w:hint="default" w:cs="Times New Roman"/>
                    </w:rPr>
                    <w:t>宿州经开区、宿马园区、市高新区、宿州现代制鞋产业城以及埇桥区各街道、埇桥区符离镇、埇桥区西二铺乡、埇桥区桃园镇、埇桥区朱仙庄镇。</w:t>
                  </w:r>
                </w:p>
              </w:tc>
              <w:tc>
                <w:tcPr>
                  <w:tcW w:w="1403" w:type="pct"/>
                  <w:vAlign w:val="center"/>
                </w:tcPr>
                <w:p w14:paraId="48BC9CF3">
                  <w:pPr>
                    <w:pStyle w:val="35"/>
                    <w:adjustRightInd/>
                    <w:snapToGrid/>
                    <w:rPr>
                      <w:rFonts w:hint="default" w:cs="Times New Roman"/>
                    </w:rPr>
                  </w:pPr>
                  <w:r>
                    <w:t>本项目位于宿州市埇桥区东三环与北三环交叉口，不在禁燃区范围内</w:t>
                  </w:r>
                </w:p>
              </w:tc>
              <w:tc>
                <w:tcPr>
                  <w:tcW w:w="470" w:type="pct"/>
                  <w:vAlign w:val="center"/>
                </w:tcPr>
                <w:p w14:paraId="396949CB">
                  <w:pPr>
                    <w:pStyle w:val="35"/>
                    <w:rPr>
                      <w:rFonts w:hint="default"/>
                    </w:rPr>
                  </w:pPr>
                  <w:r>
                    <w:t>符合</w:t>
                  </w:r>
                </w:p>
              </w:tc>
            </w:tr>
            <w:tr w14:paraId="17A25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5" w:type="pct"/>
                  <w:vAlign w:val="center"/>
                </w:tcPr>
                <w:p w14:paraId="05FA0C0F">
                  <w:pPr>
                    <w:pStyle w:val="35"/>
                    <w:rPr>
                      <w:rFonts w:hint="eastAsia" w:eastAsia="宋体" w:cs="Times New Roman"/>
                      <w:lang w:val="en-US" w:eastAsia="zh-CN"/>
                    </w:rPr>
                  </w:pPr>
                  <w:r>
                    <w:rPr>
                      <w:rFonts w:hint="eastAsia" w:cs="Times New Roman"/>
                      <w:lang w:val="en-US" w:eastAsia="zh-CN"/>
                    </w:rPr>
                    <w:t>2</w:t>
                  </w:r>
                </w:p>
              </w:tc>
              <w:tc>
                <w:tcPr>
                  <w:tcW w:w="2760" w:type="pct"/>
                  <w:vAlign w:val="center"/>
                </w:tcPr>
                <w:p w14:paraId="56398D16">
                  <w:pPr>
                    <w:pStyle w:val="35"/>
                    <w:adjustRightInd/>
                    <w:snapToGrid/>
                    <w:rPr>
                      <w:rFonts w:hint="default" w:cs="Times New Roman"/>
                    </w:rPr>
                  </w:pPr>
                  <w:r>
                    <w:rPr>
                      <w:rFonts w:hint="default" w:cs="Times New Roman"/>
                    </w:rPr>
                    <w:t>四、自本通告发布之日起，除集中供热企业外，禁燃区内禁止新建、扩建燃用高污染燃料的设施，禁止销售、燃用各类型高污染燃料。</w:t>
                  </w:r>
                </w:p>
              </w:tc>
              <w:tc>
                <w:tcPr>
                  <w:tcW w:w="1403" w:type="pct"/>
                  <w:vAlign w:val="center"/>
                </w:tcPr>
                <w:p w14:paraId="090C5D7A">
                  <w:pPr>
                    <w:pStyle w:val="35"/>
                    <w:adjustRightInd/>
                    <w:snapToGrid/>
                    <w:rPr>
                      <w:rFonts w:hint="eastAsia" w:eastAsia="宋体"/>
                      <w:lang w:val="en-US" w:eastAsia="zh-CN"/>
                    </w:rPr>
                  </w:pPr>
                  <w:r>
                    <w:t>本项目</w:t>
                  </w:r>
                  <w:r>
                    <w:rPr>
                      <w:rFonts w:hint="eastAsia"/>
                      <w:lang w:val="en-US" w:eastAsia="zh-CN"/>
                    </w:rPr>
                    <w:t>属于改建项目，</w:t>
                  </w:r>
                  <w:r>
                    <w:t>位于宿州市埇桥区东三环与北三环交叉口，不在禁燃区范围内</w:t>
                  </w:r>
                </w:p>
              </w:tc>
              <w:tc>
                <w:tcPr>
                  <w:tcW w:w="470" w:type="pct"/>
                  <w:vAlign w:val="center"/>
                </w:tcPr>
                <w:p w14:paraId="3E63996D">
                  <w:pPr>
                    <w:pStyle w:val="35"/>
                    <w:rPr>
                      <w:rFonts w:hint="default"/>
                    </w:rPr>
                  </w:pPr>
                  <w:r>
                    <w:t>符合</w:t>
                  </w:r>
                </w:p>
              </w:tc>
            </w:tr>
          </w:tbl>
          <w:p w14:paraId="26B143CD">
            <w:pPr>
              <w:spacing w:line="360" w:lineRule="auto"/>
              <w:rPr>
                <w:color w:val="000000"/>
                <w:kern w:val="0"/>
                <w:sz w:val="24"/>
              </w:rPr>
            </w:pPr>
          </w:p>
          <w:p w14:paraId="6A2C9640">
            <w:pPr>
              <w:pStyle w:val="12"/>
              <w:ind w:left="0" w:leftChars="0" w:firstLine="0" w:firstLineChars="0"/>
            </w:pPr>
          </w:p>
          <w:p w14:paraId="1221289D"/>
          <w:p w14:paraId="49A6CA77"/>
          <w:p w14:paraId="1DAC9692"/>
          <w:p w14:paraId="54AA589E"/>
          <w:p w14:paraId="0BBDC75E"/>
          <w:p w14:paraId="27D6C1E3"/>
          <w:p w14:paraId="749F60B6"/>
          <w:p w14:paraId="5BFC68D0"/>
          <w:p w14:paraId="6DE10FAF"/>
          <w:p w14:paraId="1D3E6731"/>
          <w:p w14:paraId="4104FEB3"/>
          <w:p w14:paraId="6F2F63A6"/>
          <w:p w14:paraId="7B428667"/>
          <w:p w14:paraId="306DBB71"/>
          <w:p w14:paraId="41BC587D"/>
          <w:p w14:paraId="2C22F109"/>
          <w:p w14:paraId="012B8172"/>
          <w:p w14:paraId="09722D2D"/>
          <w:p w14:paraId="7DCB7473"/>
          <w:p w14:paraId="0C237C60"/>
        </w:tc>
      </w:tr>
    </w:tbl>
    <w:p w14:paraId="7977EE9E">
      <w:pPr>
        <w:sectPr>
          <w:footerReference r:id="rId3" w:type="default"/>
          <w:pgSz w:w="11906" w:h="16838"/>
          <w:pgMar w:top="1440" w:right="1800" w:bottom="1440" w:left="1800" w:header="851" w:footer="992" w:gutter="0"/>
          <w:pgNumType w:start="1"/>
          <w:cols w:space="425" w:num="1"/>
          <w:docGrid w:type="lines" w:linePitch="312" w:charSpace="0"/>
        </w:sectPr>
      </w:pPr>
    </w:p>
    <w:p w14:paraId="090A23D4">
      <w:pPr>
        <w:pStyle w:val="20"/>
        <w:spacing w:before="0" w:beforeAutospacing="0" w:after="0" w:afterAutospacing="0"/>
        <w:jc w:val="center"/>
        <w:outlineLvl w:val="0"/>
        <w:rPr>
          <w:rFonts w:ascii="Times New Roman" w:hAnsi="Times New Roman"/>
          <w:b/>
          <w:bCs/>
          <w:snapToGrid w:val="0"/>
          <w:color w:val="000000"/>
          <w:sz w:val="30"/>
          <w:szCs w:val="30"/>
        </w:rPr>
      </w:pPr>
      <w:r>
        <w:rPr>
          <w:rFonts w:hint="eastAsia" w:ascii="Times New Roman" w:hAnsi="Times New Roman"/>
          <w:b/>
          <w:bCs/>
          <w:snapToGrid w:val="0"/>
          <w:color w:val="000000"/>
          <w:sz w:val="30"/>
          <w:szCs w:val="30"/>
        </w:rPr>
        <w:t>二、建设项目工程分析</w:t>
      </w:r>
    </w:p>
    <w:tbl>
      <w:tblPr>
        <w:tblStyle w:val="23"/>
        <w:tblW w:w="945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8717"/>
      </w:tblGrid>
      <w:tr w14:paraId="6BC07D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2" w:type="dxa"/>
            <w:vAlign w:val="center"/>
          </w:tcPr>
          <w:p w14:paraId="650D3C61">
            <w:pPr>
              <w:pStyle w:val="20"/>
              <w:spacing w:before="0" w:beforeAutospacing="0" w:after="0" w:afterAutospacing="0"/>
              <w:jc w:val="center"/>
              <w:rPr>
                <w:rFonts w:ascii="Times New Roman" w:hAnsi="Times New Roman"/>
                <w:color w:val="auto"/>
                <w:szCs w:val="24"/>
              </w:rPr>
            </w:pPr>
            <w:r>
              <w:rPr>
                <w:rFonts w:ascii="Times New Roman" w:hAnsi="Times New Roman"/>
                <w:color w:val="auto"/>
                <w:szCs w:val="24"/>
              </w:rPr>
              <w:t>建设内容</w:t>
            </w:r>
          </w:p>
        </w:tc>
        <w:tc>
          <w:tcPr>
            <w:tcW w:w="8717" w:type="dxa"/>
          </w:tcPr>
          <w:p w14:paraId="47D23033">
            <w:pPr>
              <w:widowControl/>
              <w:spacing w:line="360" w:lineRule="auto"/>
              <w:ind w:firstLine="480" w:firstLineChars="200"/>
              <w:rPr>
                <w:color w:val="auto"/>
                <w:sz w:val="24"/>
              </w:rPr>
            </w:pPr>
            <w:r>
              <w:rPr>
                <w:color w:val="auto"/>
                <w:sz w:val="24"/>
              </w:rPr>
              <w:t>一、项目由来</w:t>
            </w:r>
          </w:p>
          <w:p w14:paraId="2B38E142">
            <w:pPr>
              <w:widowControl/>
              <w:spacing w:line="360" w:lineRule="auto"/>
              <w:ind w:firstLine="480" w:firstLineChars="200"/>
              <w:rPr>
                <w:rFonts w:hint="default"/>
                <w:color w:val="auto"/>
                <w:sz w:val="24"/>
                <w:highlight w:val="none"/>
                <w:lang w:val="en-US" w:eastAsia="zh-CN"/>
              </w:rPr>
            </w:pPr>
            <w:r>
              <w:rPr>
                <w:color w:val="auto"/>
                <w:sz w:val="24"/>
                <w:highlight w:val="none"/>
              </w:rPr>
              <w:t>宿州华升生态农业有限责任公司</w:t>
            </w:r>
            <w:r>
              <w:rPr>
                <w:rFonts w:hint="eastAsia"/>
                <w:color w:val="auto"/>
                <w:sz w:val="24"/>
                <w:highlight w:val="none"/>
                <w:lang w:val="en-US" w:eastAsia="zh-CN"/>
              </w:rPr>
              <w:t>成立于2020年4月15日，位于</w:t>
            </w:r>
            <w:r>
              <w:rPr>
                <w:color w:val="auto"/>
                <w:sz w:val="24"/>
                <w:highlight w:val="none"/>
              </w:rPr>
              <w:t>宿州市</w:t>
            </w:r>
            <w:r>
              <w:rPr>
                <w:rFonts w:hint="eastAsia"/>
                <w:color w:val="auto"/>
                <w:sz w:val="24"/>
                <w:highlight w:val="none"/>
              </w:rPr>
              <w:t>埇桥区灰古镇国家现代农业示范区东三环与北三环交叉口</w:t>
            </w:r>
            <w:r>
              <w:rPr>
                <w:rFonts w:hint="eastAsia"/>
                <w:color w:val="auto"/>
                <w:sz w:val="24"/>
                <w:highlight w:val="none"/>
                <w:lang w:val="en-US" w:eastAsia="zh-CN"/>
              </w:rPr>
              <w:t>建设粮食仓储项目，主要暂存收购的玉米、小麦和大豆，项目设置卸粮棚、12个金属仓以及成品仓库和配套建设门卫、排水、变配电等辅助工程。原项目年储存1000t小麦、200t大豆和1000t玉米作为商品粮外售。小麦、大豆和玉米经晾晒后在厂区内暂存，暂存周期约1-2个月，暂存期间所有商品粮全部外售。</w:t>
            </w:r>
          </w:p>
          <w:p w14:paraId="659001FF">
            <w:pPr>
              <w:widowControl/>
              <w:spacing w:line="360" w:lineRule="auto"/>
              <w:ind w:firstLine="480" w:firstLineChars="200"/>
              <w:rPr>
                <w:color w:val="auto"/>
                <w:sz w:val="24"/>
              </w:rPr>
            </w:pPr>
            <w:r>
              <w:rPr>
                <w:rFonts w:hint="default" w:ascii="Times New Roman" w:hAnsi="Times New Roman" w:cs="Times New Roman"/>
                <w:color w:val="auto"/>
                <w:sz w:val="24"/>
                <w:lang w:val="en-US" w:eastAsia="zh-CN"/>
              </w:rPr>
              <w:t>宿州市华升生态农业有限公司于2024年8月7日在宿州市埇桥区发展和改革委员会备案</w:t>
            </w:r>
            <w:r>
              <w:rPr>
                <w:rFonts w:hint="default" w:ascii="Times New Roman" w:hAnsi="Times New Roman" w:cs="Times New Roman"/>
                <w:color w:val="auto"/>
                <w:sz w:val="24"/>
              </w:rPr>
              <w:t>宿州华升种业园技术改造项目</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该项目</w:t>
            </w:r>
            <w:r>
              <w:rPr>
                <w:rFonts w:hint="default" w:ascii="Times New Roman" w:hAnsi="Times New Roman" w:cs="Times New Roman"/>
                <w:color w:val="auto"/>
                <w:sz w:val="24"/>
              </w:rPr>
              <w:t>位于宿州市埇桥区</w:t>
            </w:r>
            <w:r>
              <w:rPr>
                <w:rFonts w:hint="eastAsia" w:cs="Times New Roman"/>
                <w:color w:val="auto"/>
                <w:sz w:val="24"/>
                <w:lang w:val="en-US" w:eastAsia="zh-CN"/>
              </w:rPr>
              <w:t>灰古镇</w:t>
            </w:r>
            <w:r>
              <w:rPr>
                <w:rFonts w:hint="default" w:ascii="Times New Roman" w:hAnsi="Times New Roman" w:cs="Times New Roman"/>
                <w:color w:val="auto"/>
                <w:sz w:val="24"/>
              </w:rPr>
              <w:t>东三环与北三环交叉口。本项目依托已建厂房及筒仓组</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本项目</w:t>
            </w:r>
            <w:r>
              <w:rPr>
                <w:rFonts w:hint="default" w:ascii="Times New Roman" w:hAnsi="Times New Roman" w:cs="Times New Roman"/>
                <w:color w:val="auto"/>
                <w:sz w:val="24"/>
              </w:rPr>
              <w:t>对厂区进行合理规整，</w:t>
            </w:r>
            <w:r>
              <w:rPr>
                <w:rFonts w:hint="default" w:ascii="Times New Roman" w:hAnsi="Times New Roman" w:cs="Times New Roman"/>
                <w:color w:val="auto"/>
                <w:sz w:val="24"/>
                <w:lang w:val="en-US" w:eastAsia="zh-CN"/>
              </w:rPr>
              <w:t>购置筛分机、</w:t>
            </w:r>
            <w:r>
              <w:rPr>
                <w:rFonts w:hint="default" w:ascii="Times New Roman" w:hAnsi="Times New Roman" w:cs="Times New Roman"/>
                <w:color w:val="auto"/>
                <w:sz w:val="24"/>
              </w:rPr>
              <w:t>建设一间锅炉房</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建筑面积约387m²，购置一台</w:t>
            </w:r>
            <w:r>
              <w:rPr>
                <w:rFonts w:hint="default" w:ascii="Times New Roman" w:hAnsi="Times New Roman" w:cs="Times New Roman"/>
                <w:color w:val="auto"/>
                <w:sz w:val="24"/>
                <w:lang w:val="en-US" w:eastAsia="zh-CN"/>
              </w:rPr>
              <w:t>5.6</w:t>
            </w:r>
            <w:r>
              <w:rPr>
                <w:rFonts w:hint="eastAsia" w:cs="Times New Roman"/>
                <w:color w:val="auto"/>
                <w:sz w:val="24"/>
                <w:lang w:val="en-US" w:eastAsia="zh-CN"/>
              </w:rPr>
              <w:t>MW</w:t>
            </w:r>
            <w:r>
              <w:rPr>
                <w:rFonts w:hint="default" w:ascii="Times New Roman" w:hAnsi="Times New Roman" w:cs="Times New Roman"/>
                <w:color w:val="auto"/>
                <w:sz w:val="24"/>
              </w:rPr>
              <w:t>的生物质</w:t>
            </w:r>
            <w:r>
              <w:rPr>
                <w:rFonts w:hint="default" w:ascii="Times New Roman" w:hAnsi="Times New Roman" w:cs="Times New Roman"/>
                <w:color w:val="auto"/>
                <w:sz w:val="24"/>
                <w:lang w:val="en-US" w:eastAsia="zh-CN"/>
              </w:rPr>
              <w:t>热风炉</w:t>
            </w:r>
            <w:r>
              <w:rPr>
                <w:rFonts w:hint="default" w:ascii="Times New Roman" w:hAnsi="Times New Roman" w:cs="Times New Roman"/>
                <w:color w:val="auto"/>
                <w:sz w:val="24"/>
              </w:rPr>
              <w:t>，用于</w:t>
            </w:r>
            <w:r>
              <w:rPr>
                <w:rFonts w:hint="default" w:ascii="Times New Roman" w:hAnsi="Times New Roman" w:cs="Times New Roman"/>
                <w:color w:val="auto"/>
                <w:sz w:val="24"/>
                <w:lang w:val="en-US" w:eastAsia="zh-CN"/>
              </w:rPr>
              <w:t>将含湿率≥</w:t>
            </w:r>
            <w:r>
              <w:rPr>
                <w:rFonts w:hint="eastAsia" w:cs="Times New Roman"/>
                <w:color w:val="auto"/>
                <w:sz w:val="24"/>
                <w:lang w:val="en-US" w:eastAsia="zh-CN"/>
              </w:rPr>
              <w:t>25</w:t>
            </w:r>
            <w:r>
              <w:rPr>
                <w:rFonts w:hint="default" w:ascii="Times New Roman" w:hAnsi="Times New Roman" w:cs="Times New Roman"/>
                <w:color w:val="auto"/>
                <w:sz w:val="24"/>
                <w:lang w:val="en-US" w:eastAsia="zh-CN"/>
              </w:rPr>
              <w:t>%小麦和玉米</w:t>
            </w:r>
            <w:r>
              <w:rPr>
                <w:rFonts w:hint="default" w:ascii="Times New Roman" w:hAnsi="Times New Roman" w:cs="Times New Roman"/>
                <w:color w:val="auto"/>
                <w:sz w:val="24"/>
              </w:rPr>
              <w:t>进行烘干</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大豆不需要烘干，</w:t>
            </w:r>
            <w:r>
              <w:rPr>
                <w:rFonts w:hint="eastAsia" w:cs="Times New Roman"/>
                <w:color w:val="auto"/>
                <w:sz w:val="24"/>
                <w:lang w:val="en-US" w:eastAsia="zh-CN"/>
              </w:rPr>
              <w:t>同时</w:t>
            </w:r>
            <w:r>
              <w:rPr>
                <w:rFonts w:hint="default" w:ascii="Times New Roman" w:hAnsi="Times New Roman" w:cs="Times New Roman"/>
                <w:color w:val="auto"/>
                <w:sz w:val="24"/>
                <w:lang w:val="en-US" w:eastAsia="zh-CN"/>
              </w:rPr>
              <w:t>也为周边农户提供烘干服务（帮助周边农户进行烘干，农户烘干粮食不在厂区暂存），</w:t>
            </w:r>
            <w:r>
              <w:rPr>
                <w:rFonts w:hint="default" w:ascii="Times New Roman" w:hAnsi="Times New Roman" w:cs="Times New Roman"/>
                <w:color w:val="auto"/>
                <w:sz w:val="24"/>
                <w:szCs w:val="24"/>
                <w:lang w:val="en-US" w:eastAsia="zh-CN"/>
              </w:rPr>
              <w:t>烘干后的小麦部分（约20%）进</w:t>
            </w:r>
            <w:r>
              <w:rPr>
                <w:rFonts w:hint="eastAsia"/>
                <w:color w:val="auto"/>
                <w:sz w:val="24"/>
                <w:szCs w:val="24"/>
                <w:lang w:val="en-US" w:eastAsia="zh-CN"/>
              </w:rPr>
              <w:t>入金属仓，作为商品粮外售；部分（约80%）进入仓库，用于原种加工，大豆部分（50%）进入金属仓，作为商品粮外售；部分（50%）进入仓库，用于原种加工；玉米全部为商品粮。</w:t>
            </w:r>
            <w:r>
              <w:rPr>
                <w:rFonts w:hint="eastAsia"/>
                <w:color w:val="auto"/>
                <w:sz w:val="24"/>
              </w:rPr>
              <w:t>配套建设给排水、变配电、环卫、消防等辅助工程</w:t>
            </w:r>
            <w:r>
              <w:rPr>
                <w:rFonts w:hint="eastAsia"/>
                <w:color w:val="auto"/>
                <w:sz w:val="24"/>
                <w:lang w:eastAsia="zh-CN"/>
              </w:rPr>
              <w:t>。</w:t>
            </w:r>
          </w:p>
          <w:p w14:paraId="60A97BEF">
            <w:pPr>
              <w:widowControl/>
              <w:spacing w:line="360" w:lineRule="auto"/>
              <w:ind w:firstLine="480" w:firstLineChars="200"/>
              <w:rPr>
                <w:color w:val="auto"/>
                <w:sz w:val="24"/>
              </w:rPr>
            </w:pPr>
            <w:r>
              <w:rPr>
                <w:color w:val="auto"/>
                <w:sz w:val="24"/>
              </w:rPr>
              <w:t>本项目为</w:t>
            </w:r>
            <w:r>
              <w:rPr>
                <w:rFonts w:hint="eastAsia"/>
                <w:color w:val="auto"/>
                <w:sz w:val="24"/>
              </w:rPr>
              <w:t>粮食烘干建设项目，主要建设内容为烘干设施。</w:t>
            </w:r>
            <w:r>
              <w:rPr>
                <w:color w:val="auto"/>
                <w:sz w:val="24"/>
              </w:rPr>
              <w:t>属于《国民经济行业分类》（GB/T4754-2019）中</w:t>
            </w:r>
            <w:r>
              <w:rPr>
                <w:rFonts w:hint="eastAsia"/>
                <w:color w:val="auto"/>
                <w:sz w:val="24"/>
              </w:rPr>
              <w:t>“</w:t>
            </w:r>
            <w:r>
              <w:rPr>
                <w:color w:val="auto"/>
                <w:sz w:val="24"/>
              </w:rPr>
              <w:t>D4430热力生产和供应</w:t>
            </w:r>
            <w:r>
              <w:rPr>
                <w:rFonts w:hint="eastAsia"/>
                <w:color w:val="auto"/>
                <w:sz w:val="24"/>
              </w:rPr>
              <w:t>、G5951谷物仓储”</w:t>
            </w:r>
            <w:r>
              <w:rPr>
                <w:color w:val="auto"/>
                <w:sz w:val="24"/>
              </w:rPr>
              <w:t>。</w:t>
            </w:r>
            <w:r>
              <w:rPr>
                <w:rFonts w:hint="eastAsia"/>
                <w:color w:val="auto"/>
                <w:sz w:val="24"/>
              </w:rPr>
              <w:t>根据</w:t>
            </w:r>
            <w:r>
              <w:rPr>
                <w:color w:val="auto"/>
                <w:sz w:val="24"/>
              </w:rPr>
              <w:t>《建设项目环境影响评价分类管理名录》（2021年版）中</w:t>
            </w:r>
            <w:r>
              <w:rPr>
                <w:rFonts w:hint="eastAsia"/>
                <w:color w:val="auto"/>
                <w:sz w:val="24"/>
              </w:rPr>
              <w:t xml:space="preserve">四十一、电力、热力生产和供应业 </w:t>
            </w:r>
            <w:r>
              <w:rPr>
                <w:color w:val="auto"/>
                <w:sz w:val="24"/>
              </w:rPr>
              <w:t>91</w:t>
            </w:r>
            <w:r>
              <w:rPr>
                <w:rFonts w:hint="eastAsia"/>
                <w:color w:val="auto"/>
                <w:sz w:val="24"/>
              </w:rPr>
              <w:t>、热力生产和供应工程（包括建设单位自建自用的供热工程）使用其他高污染燃料的（高污染燃料指国环规大气〔2017〕</w:t>
            </w:r>
            <w:r>
              <w:rPr>
                <w:color w:val="auto"/>
                <w:sz w:val="24"/>
              </w:rPr>
              <w:t>2</w:t>
            </w:r>
            <w:r>
              <w:rPr>
                <w:rFonts w:hint="eastAsia"/>
                <w:color w:val="auto"/>
                <w:sz w:val="24"/>
              </w:rPr>
              <w:t>号《高污染目录》中规定的燃料），</w:t>
            </w:r>
            <w:r>
              <w:rPr>
                <w:rFonts w:hint="eastAsia"/>
                <w:color w:val="auto"/>
                <w:sz w:val="24"/>
                <w:lang w:val="en-US" w:eastAsia="zh-CN"/>
              </w:rPr>
              <w:t>本项目使用5.6MW的热风炉，使用的燃料为生物质颗粒。</w:t>
            </w:r>
            <w:r>
              <w:rPr>
                <w:rFonts w:hint="eastAsia"/>
                <w:color w:val="auto"/>
                <w:sz w:val="24"/>
              </w:rPr>
              <w:t>根据《高污染目录》</w:t>
            </w:r>
            <w:r>
              <w:rPr>
                <w:rFonts w:hint="eastAsia"/>
                <w:color w:val="auto"/>
                <w:sz w:val="24"/>
                <w:lang w:val="en-US" w:eastAsia="zh-CN"/>
              </w:rPr>
              <w:t>本项目属于非专用锅炉或未配置高效除尘设施的专用锅炉燃用的生物质成型燃料。</w:t>
            </w:r>
            <w:r>
              <w:rPr>
                <w:color w:val="auto"/>
                <w:sz w:val="24"/>
              </w:rPr>
              <w:t>综上，本项目</w:t>
            </w:r>
            <w:r>
              <w:rPr>
                <w:rFonts w:hint="eastAsia"/>
                <w:color w:val="auto"/>
                <w:sz w:val="24"/>
              </w:rPr>
              <w:t>应当</w:t>
            </w:r>
            <w:r>
              <w:rPr>
                <w:color w:val="auto"/>
                <w:sz w:val="24"/>
              </w:rPr>
              <w:t>编制环境影响报告表。</w:t>
            </w:r>
          </w:p>
          <w:p w14:paraId="4630E254">
            <w:pPr>
              <w:jc w:val="center"/>
              <w:rPr>
                <w:b/>
                <w:bCs/>
                <w:color w:val="auto"/>
              </w:rPr>
            </w:pPr>
            <w:r>
              <w:rPr>
                <w:b/>
                <w:bCs/>
                <w:color w:val="auto"/>
                <w:sz w:val="24"/>
              </w:rPr>
              <w:t xml:space="preserve">表2-1  </w:t>
            </w:r>
            <w:r>
              <w:rPr>
                <w:b/>
                <w:bCs/>
                <w:color w:val="auto"/>
                <w:sz w:val="24"/>
                <w:lang w:bidi="ar"/>
              </w:rPr>
              <w:t>环评类别对照表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4"/>
              <w:gridCol w:w="1569"/>
              <w:gridCol w:w="1426"/>
              <w:gridCol w:w="2643"/>
              <w:gridCol w:w="1073"/>
              <w:gridCol w:w="1273"/>
            </w:tblGrid>
            <w:tr w14:paraId="11E43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gridSpan w:val="2"/>
                  <w:vMerge w:val="restart"/>
                  <w:vAlign w:val="center"/>
                </w:tcPr>
                <w:p w14:paraId="5C67985D">
                  <w:pPr>
                    <w:jc w:val="center"/>
                    <w:rPr>
                      <w:color w:val="auto"/>
                    </w:rPr>
                  </w:pPr>
                  <w:r>
                    <w:rPr>
                      <w:color w:val="auto"/>
                    </w:rPr>
                    <w:t>项目类别</w:t>
                  </w:r>
                </w:p>
                <w:p w14:paraId="0D4D1E8D">
                  <w:pPr>
                    <w:pStyle w:val="12"/>
                    <w:spacing w:after="0"/>
                    <w:ind w:left="0" w:leftChars="0" w:firstLine="0" w:firstLineChars="0"/>
                    <w:jc w:val="center"/>
                    <w:rPr>
                      <w:color w:val="auto"/>
                      <w:szCs w:val="21"/>
                    </w:rPr>
                  </w:pPr>
                  <w:r>
                    <w:rPr>
                      <w:color w:val="auto"/>
                      <w:szCs w:val="21"/>
                    </w:rPr>
                    <w:t>环评类别</w:t>
                  </w:r>
                </w:p>
              </w:tc>
              <w:tc>
                <w:tcPr>
                  <w:tcW w:w="3029" w:type="pct"/>
                  <w:gridSpan w:val="3"/>
                  <w:vAlign w:val="center"/>
                </w:tcPr>
                <w:p w14:paraId="6299B6E0">
                  <w:pPr>
                    <w:pStyle w:val="12"/>
                    <w:spacing w:after="0"/>
                    <w:ind w:left="0" w:leftChars="0" w:firstLine="0" w:firstLineChars="0"/>
                    <w:jc w:val="center"/>
                    <w:rPr>
                      <w:color w:val="auto"/>
                      <w:szCs w:val="21"/>
                    </w:rPr>
                  </w:pPr>
                  <w:r>
                    <w:rPr>
                      <w:color w:val="auto"/>
                      <w:szCs w:val="21"/>
                    </w:rPr>
                    <w:t>环境影响评价类别</w:t>
                  </w:r>
                </w:p>
              </w:tc>
              <w:tc>
                <w:tcPr>
                  <w:tcW w:w="749" w:type="pct"/>
                  <w:vMerge w:val="restart"/>
                  <w:vAlign w:val="center"/>
                </w:tcPr>
                <w:p w14:paraId="3E099D4C">
                  <w:pPr>
                    <w:pStyle w:val="12"/>
                    <w:spacing w:after="0"/>
                    <w:ind w:left="0" w:leftChars="0" w:firstLine="0" w:firstLineChars="0"/>
                    <w:jc w:val="center"/>
                    <w:rPr>
                      <w:color w:val="auto"/>
                      <w:szCs w:val="21"/>
                    </w:rPr>
                  </w:pPr>
                  <w:r>
                    <w:rPr>
                      <w:color w:val="auto"/>
                      <w:szCs w:val="21"/>
                    </w:rPr>
                    <w:t>项目环评类别判定</w:t>
                  </w:r>
                </w:p>
              </w:tc>
            </w:tr>
            <w:tr w14:paraId="60FF2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1" w:type="pct"/>
                  <w:gridSpan w:val="2"/>
                  <w:vMerge w:val="continue"/>
                  <w:vAlign w:val="center"/>
                </w:tcPr>
                <w:p w14:paraId="7A5EBEC0">
                  <w:pPr>
                    <w:pStyle w:val="12"/>
                    <w:spacing w:after="0"/>
                    <w:ind w:left="0" w:leftChars="0" w:firstLine="0" w:firstLineChars="0"/>
                    <w:jc w:val="center"/>
                    <w:rPr>
                      <w:color w:val="auto"/>
                      <w:szCs w:val="21"/>
                    </w:rPr>
                  </w:pPr>
                </w:p>
              </w:tc>
              <w:tc>
                <w:tcPr>
                  <w:tcW w:w="840" w:type="pct"/>
                  <w:vAlign w:val="center"/>
                </w:tcPr>
                <w:p w14:paraId="1FC8D805">
                  <w:pPr>
                    <w:pStyle w:val="12"/>
                    <w:spacing w:after="0"/>
                    <w:ind w:left="0" w:leftChars="0" w:firstLine="0" w:firstLineChars="0"/>
                    <w:jc w:val="center"/>
                    <w:rPr>
                      <w:color w:val="auto"/>
                      <w:szCs w:val="21"/>
                    </w:rPr>
                  </w:pPr>
                  <w:r>
                    <w:rPr>
                      <w:color w:val="auto"/>
                      <w:szCs w:val="21"/>
                    </w:rPr>
                    <w:t>报告书</w:t>
                  </w:r>
                </w:p>
              </w:tc>
              <w:tc>
                <w:tcPr>
                  <w:tcW w:w="1557" w:type="pct"/>
                  <w:vAlign w:val="center"/>
                </w:tcPr>
                <w:p w14:paraId="7713EC7D">
                  <w:pPr>
                    <w:pStyle w:val="12"/>
                    <w:spacing w:after="0"/>
                    <w:ind w:left="0" w:leftChars="0" w:firstLine="0" w:firstLineChars="0"/>
                    <w:jc w:val="center"/>
                    <w:rPr>
                      <w:color w:val="auto"/>
                      <w:szCs w:val="21"/>
                    </w:rPr>
                  </w:pPr>
                  <w:r>
                    <w:rPr>
                      <w:color w:val="auto"/>
                      <w:szCs w:val="21"/>
                    </w:rPr>
                    <w:t>报告表</w:t>
                  </w:r>
                </w:p>
              </w:tc>
              <w:tc>
                <w:tcPr>
                  <w:tcW w:w="631" w:type="pct"/>
                  <w:vAlign w:val="center"/>
                </w:tcPr>
                <w:p w14:paraId="52646BD9">
                  <w:pPr>
                    <w:pStyle w:val="12"/>
                    <w:spacing w:after="0"/>
                    <w:ind w:left="0" w:leftChars="0" w:firstLine="0" w:firstLineChars="0"/>
                    <w:jc w:val="center"/>
                    <w:rPr>
                      <w:color w:val="auto"/>
                      <w:szCs w:val="21"/>
                    </w:rPr>
                  </w:pPr>
                  <w:r>
                    <w:rPr>
                      <w:color w:val="auto"/>
                      <w:szCs w:val="21"/>
                    </w:rPr>
                    <w:t>登记表</w:t>
                  </w:r>
                </w:p>
              </w:tc>
              <w:tc>
                <w:tcPr>
                  <w:tcW w:w="749" w:type="pct"/>
                  <w:vMerge w:val="continue"/>
                  <w:vAlign w:val="center"/>
                </w:tcPr>
                <w:p w14:paraId="718A4829">
                  <w:pPr>
                    <w:pStyle w:val="12"/>
                    <w:spacing w:after="0"/>
                    <w:ind w:left="0" w:leftChars="0" w:firstLine="0" w:firstLineChars="0"/>
                    <w:jc w:val="center"/>
                    <w:rPr>
                      <w:color w:val="auto"/>
                      <w:szCs w:val="21"/>
                    </w:rPr>
                  </w:pPr>
                </w:p>
              </w:tc>
            </w:tr>
            <w:tr w14:paraId="40946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vAlign w:val="center"/>
                </w:tcPr>
                <w:p w14:paraId="38BCDDC4">
                  <w:pPr>
                    <w:widowControl/>
                    <w:jc w:val="center"/>
                    <w:rPr>
                      <w:b/>
                      <w:bCs/>
                      <w:color w:val="auto"/>
                    </w:rPr>
                  </w:pPr>
                  <w:r>
                    <w:rPr>
                      <w:rFonts w:hint="eastAsia"/>
                      <w:color w:val="auto"/>
                    </w:rPr>
                    <w:t>四十一、电力、热力生产和供应业</w:t>
                  </w:r>
                </w:p>
              </w:tc>
            </w:tr>
            <w:tr w14:paraId="59CF5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5" w:hRule="atLeast"/>
                <w:jc w:val="center"/>
              </w:trPr>
              <w:tc>
                <w:tcPr>
                  <w:tcW w:w="297" w:type="pct"/>
                  <w:vAlign w:val="center"/>
                </w:tcPr>
                <w:p w14:paraId="19037790">
                  <w:pPr>
                    <w:widowControl/>
                    <w:jc w:val="center"/>
                    <w:rPr>
                      <w:color w:val="auto"/>
                    </w:rPr>
                  </w:pPr>
                  <w:r>
                    <w:rPr>
                      <w:rFonts w:hint="eastAsia"/>
                      <w:color w:val="auto"/>
                    </w:rPr>
                    <w:t>91</w:t>
                  </w:r>
                </w:p>
              </w:tc>
              <w:tc>
                <w:tcPr>
                  <w:tcW w:w="923" w:type="pct"/>
                  <w:vAlign w:val="center"/>
                </w:tcPr>
                <w:p w14:paraId="350E948C">
                  <w:pPr>
                    <w:widowControl/>
                    <w:jc w:val="center"/>
                    <w:rPr>
                      <w:color w:val="auto"/>
                    </w:rPr>
                  </w:pPr>
                  <w:r>
                    <w:rPr>
                      <w:rFonts w:hint="eastAsia"/>
                      <w:color w:val="auto"/>
                    </w:rPr>
                    <w:t>热力生产和供应工程（包括建设单位自建自用的供热工程）</w:t>
                  </w:r>
                </w:p>
              </w:tc>
              <w:tc>
                <w:tcPr>
                  <w:tcW w:w="840" w:type="pct"/>
                  <w:vAlign w:val="center"/>
                </w:tcPr>
                <w:p w14:paraId="0B659268">
                  <w:pPr>
                    <w:widowControl/>
                    <w:jc w:val="center"/>
                    <w:rPr>
                      <w:color w:val="auto"/>
                    </w:rPr>
                  </w:pPr>
                  <w:r>
                    <w:rPr>
                      <w:rFonts w:hint="eastAsia"/>
                      <w:color w:val="auto"/>
                    </w:rPr>
                    <w:t>燃煤、燃油锅炉总容量65吨/小时（45.5兆瓦）以上的</w:t>
                  </w:r>
                </w:p>
              </w:tc>
              <w:tc>
                <w:tcPr>
                  <w:tcW w:w="1557" w:type="pct"/>
                  <w:shd w:val="clear" w:color="auto" w:fill="BEBEBE" w:themeFill="background1" w:themeFillShade="BF"/>
                  <w:vAlign w:val="center"/>
                </w:tcPr>
                <w:p w14:paraId="52AE6790">
                  <w:pPr>
                    <w:widowControl/>
                    <w:jc w:val="center"/>
                    <w:rPr>
                      <w:color w:val="auto"/>
                    </w:rPr>
                  </w:pPr>
                  <w:r>
                    <w:rPr>
                      <w:rFonts w:hint="eastAsia"/>
                      <w:color w:val="auto"/>
                    </w:rPr>
                    <w:t>燃煤、燃油锅炉总容量65吨/小时(45.5兆瓦)及以下的；天然气锅炉总容量1吨/小时(0.7兆瓦)以上的；使用其他高污染燃料的高污染燃料指国环规大气(2017)2号《高污染燃料目录》中规定的燃料)</w:t>
                  </w:r>
                </w:p>
              </w:tc>
              <w:tc>
                <w:tcPr>
                  <w:tcW w:w="631" w:type="pct"/>
                  <w:vAlign w:val="center"/>
                </w:tcPr>
                <w:p w14:paraId="07C7D99B">
                  <w:pPr>
                    <w:pStyle w:val="12"/>
                    <w:spacing w:after="0"/>
                    <w:ind w:left="0" w:leftChars="0" w:firstLine="0" w:firstLineChars="0"/>
                    <w:jc w:val="center"/>
                    <w:rPr>
                      <w:color w:val="auto"/>
                      <w:szCs w:val="21"/>
                    </w:rPr>
                  </w:pPr>
                  <w:r>
                    <w:rPr>
                      <w:color w:val="auto"/>
                      <w:szCs w:val="21"/>
                    </w:rPr>
                    <w:t>/</w:t>
                  </w:r>
                </w:p>
              </w:tc>
              <w:tc>
                <w:tcPr>
                  <w:tcW w:w="749" w:type="pct"/>
                  <w:vAlign w:val="center"/>
                </w:tcPr>
                <w:p w14:paraId="18F3BE11">
                  <w:pPr>
                    <w:pStyle w:val="12"/>
                    <w:spacing w:after="0"/>
                    <w:ind w:left="0" w:leftChars="0" w:firstLine="0" w:firstLineChars="0"/>
                    <w:jc w:val="center"/>
                    <w:rPr>
                      <w:b/>
                      <w:bCs/>
                      <w:color w:val="auto"/>
                      <w:szCs w:val="21"/>
                    </w:rPr>
                  </w:pPr>
                  <w:r>
                    <w:rPr>
                      <w:color w:val="auto"/>
                      <w:szCs w:val="21"/>
                      <w:lang w:bidi="ar"/>
                    </w:rPr>
                    <w:t>报告表</w:t>
                  </w:r>
                </w:p>
              </w:tc>
            </w:tr>
          </w:tbl>
          <w:p w14:paraId="61047A08">
            <w:pPr>
              <w:widowControl/>
              <w:spacing w:line="360" w:lineRule="auto"/>
              <w:ind w:firstLine="480" w:firstLineChars="200"/>
              <w:rPr>
                <w:color w:val="auto"/>
                <w:kern w:val="10"/>
                <w:sz w:val="24"/>
              </w:rPr>
            </w:pPr>
            <w:r>
              <w:rPr>
                <w:color w:val="auto"/>
                <w:sz w:val="24"/>
              </w:rPr>
              <w:t>为此宿州华升生态农业有限责任公司根据有关环保法律法规要求，委托我公司进行环境影响评价工作，我公司在接受委托后，随即组织人员到项目建设场地及其周围进行了实地勘查与调研，收集了有关的工程资料，结合该企业提供资料和项目的建设特点，依</w:t>
            </w:r>
            <w:r>
              <w:rPr>
                <w:color w:val="auto"/>
                <w:kern w:val="10"/>
                <w:sz w:val="24"/>
              </w:rPr>
              <w:t>据有关环评技术规范，编制了环境影响报告表。</w:t>
            </w:r>
          </w:p>
          <w:p w14:paraId="03CA6891">
            <w:pPr>
              <w:spacing w:line="360" w:lineRule="auto"/>
              <w:ind w:firstLine="480" w:firstLineChars="200"/>
              <w:rPr>
                <w:bCs/>
                <w:color w:val="auto"/>
                <w:sz w:val="24"/>
              </w:rPr>
            </w:pPr>
            <w:r>
              <w:rPr>
                <w:bCs/>
                <w:color w:val="auto"/>
                <w:sz w:val="24"/>
              </w:rPr>
              <w:t>二、项目建设内容</w:t>
            </w:r>
          </w:p>
          <w:p w14:paraId="071A261F">
            <w:pPr>
              <w:spacing w:line="360" w:lineRule="auto"/>
              <w:ind w:firstLine="480" w:firstLineChars="200"/>
              <w:rPr>
                <w:bCs/>
                <w:color w:val="auto"/>
                <w:sz w:val="24"/>
              </w:rPr>
            </w:pPr>
            <w:r>
              <w:rPr>
                <w:bCs/>
                <w:color w:val="auto"/>
                <w:sz w:val="24"/>
              </w:rPr>
              <w:t>1、项目建设主要内容</w:t>
            </w:r>
          </w:p>
          <w:p w14:paraId="11352385">
            <w:pPr>
              <w:jc w:val="center"/>
              <w:rPr>
                <w:b/>
                <w:color w:val="auto"/>
                <w:sz w:val="24"/>
              </w:rPr>
            </w:pPr>
            <w:r>
              <w:rPr>
                <w:b/>
                <w:bCs/>
                <w:color w:val="auto"/>
                <w:sz w:val="24"/>
              </w:rPr>
              <w:t>表2-1  工程建设内容及规模一览表</w:t>
            </w:r>
          </w:p>
          <w:tbl>
            <w:tblPr>
              <w:tblStyle w:val="23"/>
              <w:tblW w:w="498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10"/>
              <w:gridCol w:w="916"/>
              <w:gridCol w:w="1907"/>
              <w:gridCol w:w="2218"/>
              <w:gridCol w:w="2096"/>
              <w:gridCol w:w="815"/>
            </w:tblGrid>
            <w:tr w14:paraId="321EA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301" w:type="pct"/>
                  <w:vAlign w:val="center"/>
                </w:tcPr>
                <w:p w14:paraId="3EA057E5">
                  <w:pPr>
                    <w:jc w:val="center"/>
                    <w:rPr>
                      <w:color w:val="auto"/>
                      <w:kern w:val="21"/>
                      <w:szCs w:val="21"/>
                    </w:rPr>
                  </w:pPr>
                  <w:r>
                    <w:rPr>
                      <w:color w:val="auto"/>
                      <w:kern w:val="21"/>
                      <w:szCs w:val="21"/>
                    </w:rPr>
                    <w:t>工程类别</w:t>
                  </w:r>
                </w:p>
              </w:tc>
              <w:tc>
                <w:tcPr>
                  <w:tcW w:w="541" w:type="pct"/>
                  <w:vAlign w:val="center"/>
                </w:tcPr>
                <w:p w14:paraId="2858B6F9">
                  <w:pPr>
                    <w:jc w:val="center"/>
                    <w:rPr>
                      <w:color w:val="auto"/>
                      <w:kern w:val="21"/>
                      <w:szCs w:val="21"/>
                    </w:rPr>
                  </w:pPr>
                  <w:r>
                    <w:rPr>
                      <w:color w:val="auto"/>
                      <w:kern w:val="21"/>
                      <w:szCs w:val="21"/>
                    </w:rPr>
                    <w:t>工程内容</w:t>
                  </w:r>
                </w:p>
              </w:tc>
              <w:tc>
                <w:tcPr>
                  <w:tcW w:w="1126" w:type="pct"/>
                  <w:vAlign w:val="center"/>
                </w:tcPr>
                <w:p w14:paraId="6E702C92">
                  <w:pPr>
                    <w:jc w:val="center"/>
                    <w:rPr>
                      <w:color w:val="auto"/>
                      <w:kern w:val="21"/>
                      <w:szCs w:val="21"/>
                    </w:rPr>
                  </w:pPr>
                  <w:r>
                    <w:rPr>
                      <w:rFonts w:hint="eastAsia"/>
                      <w:color w:val="auto"/>
                      <w:kern w:val="21"/>
                      <w:szCs w:val="21"/>
                    </w:rPr>
                    <w:t>改建前</w:t>
                  </w:r>
                  <w:r>
                    <w:rPr>
                      <w:color w:val="auto"/>
                      <w:kern w:val="21"/>
                      <w:szCs w:val="21"/>
                    </w:rPr>
                    <w:t>建设规模</w:t>
                  </w:r>
                </w:p>
              </w:tc>
              <w:tc>
                <w:tcPr>
                  <w:tcW w:w="1310" w:type="pct"/>
                  <w:vAlign w:val="center"/>
                </w:tcPr>
                <w:p w14:paraId="606ACD21">
                  <w:pPr>
                    <w:jc w:val="center"/>
                    <w:rPr>
                      <w:color w:val="auto"/>
                      <w:kern w:val="21"/>
                      <w:szCs w:val="21"/>
                    </w:rPr>
                  </w:pPr>
                  <w:r>
                    <w:rPr>
                      <w:rFonts w:hint="eastAsia"/>
                      <w:color w:val="auto"/>
                      <w:kern w:val="21"/>
                      <w:szCs w:val="21"/>
                    </w:rPr>
                    <w:t>本项目</w:t>
                  </w:r>
                  <w:r>
                    <w:rPr>
                      <w:color w:val="auto"/>
                      <w:kern w:val="21"/>
                      <w:szCs w:val="21"/>
                    </w:rPr>
                    <w:t>建设内容</w:t>
                  </w:r>
                </w:p>
              </w:tc>
              <w:tc>
                <w:tcPr>
                  <w:tcW w:w="1238" w:type="pct"/>
                  <w:vAlign w:val="center"/>
                </w:tcPr>
                <w:p w14:paraId="7C4C60FF">
                  <w:pPr>
                    <w:jc w:val="center"/>
                    <w:rPr>
                      <w:color w:val="auto"/>
                      <w:kern w:val="21"/>
                      <w:szCs w:val="21"/>
                    </w:rPr>
                  </w:pPr>
                  <w:r>
                    <w:rPr>
                      <w:rFonts w:hint="eastAsia"/>
                      <w:color w:val="auto"/>
                      <w:kern w:val="21"/>
                      <w:szCs w:val="21"/>
                    </w:rPr>
                    <w:t>改建</w:t>
                  </w:r>
                  <w:r>
                    <w:rPr>
                      <w:color w:val="auto"/>
                      <w:kern w:val="21"/>
                      <w:szCs w:val="21"/>
                    </w:rPr>
                    <w:t>后全厂建设情况</w:t>
                  </w:r>
                </w:p>
              </w:tc>
              <w:tc>
                <w:tcPr>
                  <w:tcW w:w="481" w:type="pct"/>
                  <w:vAlign w:val="center"/>
                </w:tcPr>
                <w:p w14:paraId="19321A10">
                  <w:pPr>
                    <w:jc w:val="center"/>
                    <w:rPr>
                      <w:color w:val="auto"/>
                      <w:kern w:val="21"/>
                      <w:szCs w:val="21"/>
                    </w:rPr>
                  </w:pPr>
                  <w:r>
                    <w:rPr>
                      <w:color w:val="auto"/>
                      <w:kern w:val="21"/>
                      <w:szCs w:val="21"/>
                    </w:rPr>
                    <w:t>备注</w:t>
                  </w:r>
                </w:p>
              </w:tc>
            </w:tr>
            <w:tr w14:paraId="1F8FE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01" w:type="pct"/>
                  <w:vMerge w:val="restart"/>
                  <w:vAlign w:val="center"/>
                </w:tcPr>
                <w:p w14:paraId="5C47BFB9">
                  <w:pPr>
                    <w:pStyle w:val="32"/>
                    <w:rPr>
                      <w:color w:val="auto"/>
                      <w:kern w:val="21"/>
                    </w:rPr>
                  </w:pPr>
                  <w:r>
                    <w:rPr>
                      <w:color w:val="auto"/>
                      <w:kern w:val="21"/>
                    </w:rPr>
                    <w:t>主体工程</w:t>
                  </w:r>
                </w:p>
              </w:tc>
              <w:tc>
                <w:tcPr>
                  <w:tcW w:w="541" w:type="pct"/>
                  <w:vAlign w:val="center"/>
                </w:tcPr>
                <w:p w14:paraId="4792F24D">
                  <w:pPr>
                    <w:pStyle w:val="33"/>
                    <w:tabs>
                      <w:tab w:val="left" w:pos="7488"/>
                    </w:tabs>
                    <w:adjustRightInd/>
                    <w:snapToGrid/>
                    <w:rPr>
                      <w:color w:val="auto"/>
                      <w:kern w:val="21"/>
                    </w:rPr>
                  </w:pPr>
                  <w:r>
                    <w:rPr>
                      <w:rFonts w:hint="eastAsia"/>
                      <w:color w:val="auto"/>
                      <w:kern w:val="21"/>
                    </w:rPr>
                    <w:t>2#锅炉房</w:t>
                  </w:r>
                </w:p>
              </w:tc>
              <w:tc>
                <w:tcPr>
                  <w:tcW w:w="1126" w:type="pct"/>
                  <w:vAlign w:val="center"/>
                </w:tcPr>
                <w:p w14:paraId="6B66427F">
                  <w:pPr>
                    <w:pStyle w:val="32"/>
                    <w:rPr>
                      <w:color w:val="auto"/>
                      <w:kern w:val="21"/>
                    </w:rPr>
                  </w:pPr>
                  <w:r>
                    <w:rPr>
                      <w:color w:val="auto"/>
                      <w:kern w:val="21"/>
                    </w:rPr>
                    <w:t>/</w:t>
                  </w:r>
                </w:p>
              </w:tc>
              <w:tc>
                <w:tcPr>
                  <w:tcW w:w="1310" w:type="pct"/>
                  <w:vAlign w:val="center"/>
                </w:tcPr>
                <w:p w14:paraId="4D11E9C3">
                  <w:pPr>
                    <w:pStyle w:val="32"/>
                    <w:rPr>
                      <w:bCs/>
                      <w:color w:val="auto"/>
                      <w:kern w:val="21"/>
                    </w:rPr>
                  </w:pPr>
                  <w:r>
                    <w:rPr>
                      <w:bCs/>
                      <w:color w:val="auto"/>
                      <w:kern w:val="21"/>
                    </w:rPr>
                    <w:t>新建一间锅炉房，1F，建筑面积约387m²，厂房高度约</w:t>
                  </w:r>
                  <w:r>
                    <w:rPr>
                      <w:rFonts w:hint="eastAsia"/>
                      <w:bCs/>
                      <w:color w:val="auto"/>
                      <w:kern w:val="21"/>
                      <w:lang w:val="en-US" w:eastAsia="zh-CN"/>
                    </w:rPr>
                    <w:t>6.2</w:t>
                  </w:r>
                  <w:r>
                    <w:rPr>
                      <w:bCs/>
                      <w:color w:val="auto"/>
                      <w:kern w:val="21"/>
                    </w:rPr>
                    <w:t>m</w:t>
                  </w:r>
                  <w:r>
                    <w:rPr>
                      <w:rFonts w:hint="eastAsia"/>
                      <w:bCs/>
                      <w:color w:val="auto"/>
                      <w:kern w:val="21"/>
                      <w:lang w:eastAsia="zh-CN"/>
                    </w:rPr>
                    <w:t>，</w:t>
                  </w:r>
                  <w:r>
                    <w:rPr>
                      <w:bCs/>
                      <w:color w:val="auto"/>
                      <w:kern w:val="21"/>
                    </w:rPr>
                    <w:t>设置</w:t>
                  </w:r>
                  <w:r>
                    <w:rPr>
                      <w:rFonts w:hint="eastAsia"/>
                      <w:bCs/>
                      <w:color w:val="auto"/>
                      <w:kern w:val="21"/>
                      <w:lang w:val="en-US" w:eastAsia="zh-CN"/>
                    </w:rPr>
                    <w:t>5.6MW生物质热风炉</w:t>
                  </w:r>
                  <w:r>
                    <w:rPr>
                      <w:bCs/>
                      <w:color w:val="auto"/>
                      <w:kern w:val="21"/>
                    </w:rPr>
                    <w:t>（</w:t>
                  </w:r>
                  <w:r>
                    <w:rPr>
                      <w:rFonts w:hint="eastAsia"/>
                      <w:bCs/>
                      <w:color w:val="auto"/>
                      <w:kern w:val="21"/>
                      <w:lang w:val="en-US" w:eastAsia="zh-CN"/>
                    </w:rPr>
                    <w:t>炉型</w:t>
                  </w:r>
                  <w:r>
                    <w:rPr>
                      <w:bCs/>
                      <w:color w:val="auto"/>
                      <w:kern w:val="21"/>
                    </w:rPr>
                    <w:t>：</w:t>
                  </w:r>
                  <w:r>
                    <w:rPr>
                      <w:rFonts w:hint="eastAsia"/>
                      <w:bCs/>
                      <w:color w:val="auto"/>
                      <w:kern w:val="21"/>
                      <w:lang w:val="en-US" w:eastAsia="zh-CN"/>
                    </w:rPr>
                    <w:t>卧式生物质热风炉</w:t>
                  </w:r>
                  <w:r>
                    <w:rPr>
                      <w:bCs/>
                      <w:color w:val="auto"/>
                      <w:kern w:val="21"/>
                    </w:rPr>
                    <w:t>、烘干温度120-1</w:t>
                  </w:r>
                  <w:r>
                    <w:rPr>
                      <w:rFonts w:hint="eastAsia"/>
                      <w:bCs/>
                      <w:color w:val="auto"/>
                      <w:kern w:val="21"/>
                      <w:lang w:val="en-US" w:eastAsia="zh-CN"/>
                    </w:rPr>
                    <w:t>5</w:t>
                  </w:r>
                  <w:r>
                    <w:rPr>
                      <w:bCs/>
                      <w:color w:val="auto"/>
                      <w:kern w:val="21"/>
                    </w:rPr>
                    <w:t>0℃</w:t>
                  </w:r>
                  <w:r>
                    <w:rPr>
                      <w:rFonts w:hint="eastAsia"/>
                      <w:bCs/>
                      <w:color w:val="auto"/>
                      <w:kern w:val="21"/>
                      <w:lang w:eastAsia="zh-CN"/>
                    </w:rPr>
                    <w:t>）</w:t>
                  </w:r>
                  <w:r>
                    <w:rPr>
                      <w:bCs/>
                      <w:color w:val="auto"/>
                      <w:kern w:val="21"/>
                    </w:rPr>
                    <w:t>用于粮食烘干，位于厂区西部。</w:t>
                  </w:r>
                </w:p>
              </w:tc>
              <w:tc>
                <w:tcPr>
                  <w:tcW w:w="1238" w:type="pct"/>
                  <w:vAlign w:val="center"/>
                </w:tcPr>
                <w:p w14:paraId="4341BFC5">
                  <w:pPr>
                    <w:pStyle w:val="32"/>
                    <w:jc w:val="center"/>
                    <w:rPr>
                      <w:bCs/>
                      <w:color w:val="auto"/>
                      <w:kern w:val="21"/>
                    </w:rPr>
                  </w:pPr>
                  <w:r>
                    <w:rPr>
                      <w:bCs/>
                      <w:color w:val="auto"/>
                      <w:kern w:val="21"/>
                    </w:rPr>
                    <w:t>新建一间锅炉房，1F，建筑面积约387m²，厂房高度约</w:t>
                  </w:r>
                  <w:r>
                    <w:rPr>
                      <w:rFonts w:hint="eastAsia"/>
                      <w:bCs/>
                      <w:color w:val="auto"/>
                      <w:kern w:val="21"/>
                      <w:lang w:val="en-US" w:eastAsia="zh-CN"/>
                    </w:rPr>
                    <w:t>6.2</w:t>
                  </w:r>
                  <w:r>
                    <w:rPr>
                      <w:bCs/>
                      <w:color w:val="auto"/>
                      <w:kern w:val="21"/>
                    </w:rPr>
                    <w:t>m，设置</w:t>
                  </w:r>
                  <w:r>
                    <w:rPr>
                      <w:rFonts w:hint="eastAsia"/>
                      <w:bCs/>
                      <w:color w:val="auto"/>
                      <w:kern w:val="21"/>
                      <w:lang w:val="en-US" w:eastAsia="zh-CN"/>
                    </w:rPr>
                    <w:t>5.6MW生物质热风炉</w:t>
                  </w:r>
                  <w:r>
                    <w:rPr>
                      <w:bCs/>
                      <w:color w:val="auto"/>
                      <w:kern w:val="21"/>
                    </w:rPr>
                    <w:t>（</w:t>
                  </w:r>
                  <w:r>
                    <w:rPr>
                      <w:rFonts w:hint="eastAsia"/>
                      <w:bCs/>
                      <w:color w:val="auto"/>
                      <w:kern w:val="21"/>
                      <w:lang w:val="en-US" w:eastAsia="zh-CN"/>
                    </w:rPr>
                    <w:t>炉型</w:t>
                  </w:r>
                  <w:r>
                    <w:rPr>
                      <w:bCs/>
                      <w:color w:val="auto"/>
                      <w:kern w:val="21"/>
                    </w:rPr>
                    <w:t>：</w:t>
                  </w:r>
                  <w:r>
                    <w:rPr>
                      <w:rFonts w:hint="eastAsia"/>
                      <w:bCs/>
                      <w:color w:val="auto"/>
                      <w:kern w:val="21"/>
                      <w:lang w:val="en-US" w:eastAsia="zh-CN"/>
                    </w:rPr>
                    <w:t>卧式生物质锅炉</w:t>
                  </w:r>
                  <w:r>
                    <w:rPr>
                      <w:bCs/>
                      <w:color w:val="auto"/>
                      <w:kern w:val="21"/>
                    </w:rPr>
                    <w:t>、烘干温度120-1</w:t>
                  </w:r>
                  <w:r>
                    <w:rPr>
                      <w:rFonts w:hint="eastAsia"/>
                      <w:bCs/>
                      <w:color w:val="auto"/>
                      <w:kern w:val="21"/>
                      <w:lang w:val="en-US" w:eastAsia="zh-CN"/>
                    </w:rPr>
                    <w:t>5</w:t>
                  </w:r>
                  <w:r>
                    <w:rPr>
                      <w:bCs/>
                      <w:color w:val="auto"/>
                      <w:kern w:val="21"/>
                    </w:rPr>
                    <w:t>0℃</w:t>
                  </w:r>
                  <w:r>
                    <w:rPr>
                      <w:rFonts w:hint="eastAsia"/>
                      <w:bCs/>
                      <w:color w:val="auto"/>
                      <w:kern w:val="21"/>
                      <w:lang w:eastAsia="zh-CN"/>
                    </w:rPr>
                    <w:t>）</w:t>
                  </w:r>
                  <w:r>
                    <w:rPr>
                      <w:bCs/>
                      <w:color w:val="auto"/>
                      <w:kern w:val="21"/>
                    </w:rPr>
                    <w:t>，用于粮食烘干，位于厂区西部。</w:t>
                  </w:r>
                </w:p>
              </w:tc>
              <w:tc>
                <w:tcPr>
                  <w:tcW w:w="481" w:type="pct"/>
                  <w:vAlign w:val="center"/>
                </w:tcPr>
                <w:p w14:paraId="4C66D1EA">
                  <w:pPr>
                    <w:pStyle w:val="32"/>
                    <w:rPr>
                      <w:color w:val="auto"/>
                      <w:kern w:val="21"/>
                    </w:rPr>
                  </w:pPr>
                  <w:r>
                    <w:rPr>
                      <w:rFonts w:hint="eastAsia"/>
                      <w:color w:val="auto"/>
                      <w:kern w:val="21"/>
                    </w:rPr>
                    <w:t>新建，本次环评评价内容</w:t>
                  </w:r>
                </w:p>
              </w:tc>
            </w:tr>
            <w:tr w14:paraId="73264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01" w:type="pct"/>
                  <w:vMerge w:val="continue"/>
                  <w:vAlign w:val="center"/>
                </w:tcPr>
                <w:p w14:paraId="6E9197E5">
                  <w:pPr>
                    <w:pStyle w:val="32"/>
                    <w:rPr>
                      <w:color w:val="auto"/>
                      <w:kern w:val="21"/>
                    </w:rPr>
                  </w:pPr>
                </w:p>
              </w:tc>
              <w:tc>
                <w:tcPr>
                  <w:tcW w:w="541" w:type="pct"/>
                  <w:vAlign w:val="center"/>
                </w:tcPr>
                <w:p w14:paraId="627D219A">
                  <w:pPr>
                    <w:pStyle w:val="33"/>
                    <w:tabs>
                      <w:tab w:val="left" w:pos="7488"/>
                    </w:tabs>
                    <w:adjustRightInd/>
                    <w:snapToGrid/>
                    <w:rPr>
                      <w:color w:val="auto"/>
                      <w:kern w:val="21"/>
                    </w:rPr>
                  </w:pPr>
                  <w:r>
                    <w:rPr>
                      <w:rFonts w:hint="eastAsia"/>
                      <w:color w:val="auto"/>
                      <w:kern w:val="21"/>
                    </w:rPr>
                    <w:t>3#卸粮棚</w:t>
                  </w:r>
                </w:p>
              </w:tc>
              <w:tc>
                <w:tcPr>
                  <w:tcW w:w="1126" w:type="pct"/>
                  <w:vAlign w:val="center"/>
                </w:tcPr>
                <w:p w14:paraId="757F030F">
                  <w:pPr>
                    <w:pStyle w:val="32"/>
                    <w:jc w:val="center"/>
                    <w:rPr>
                      <w:color w:val="auto"/>
                      <w:kern w:val="21"/>
                    </w:rPr>
                  </w:pPr>
                  <w:r>
                    <w:rPr>
                      <w:rFonts w:hint="eastAsia"/>
                      <w:color w:val="auto"/>
                      <w:kern w:val="21"/>
                    </w:rPr>
                    <w:t>1F，厂房高度为11.7m，建筑面积约467.36m²，用于暂存收购粮食</w:t>
                  </w:r>
                </w:p>
              </w:tc>
              <w:tc>
                <w:tcPr>
                  <w:tcW w:w="1310" w:type="pct"/>
                  <w:vAlign w:val="center"/>
                </w:tcPr>
                <w:p w14:paraId="24A548CB">
                  <w:pPr>
                    <w:pStyle w:val="32"/>
                    <w:rPr>
                      <w:bCs/>
                      <w:color w:val="auto"/>
                      <w:kern w:val="21"/>
                    </w:rPr>
                  </w:pPr>
                  <w:r>
                    <w:rPr>
                      <w:rFonts w:hint="eastAsia"/>
                      <w:bCs/>
                      <w:color w:val="auto"/>
                      <w:kern w:val="21"/>
                    </w:rPr>
                    <w:t>依托原有无变化</w:t>
                  </w:r>
                </w:p>
              </w:tc>
              <w:tc>
                <w:tcPr>
                  <w:tcW w:w="1238" w:type="pct"/>
                  <w:vAlign w:val="center"/>
                </w:tcPr>
                <w:p w14:paraId="73E64E69">
                  <w:pPr>
                    <w:pStyle w:val="32"/>
                    <w:rPr>
                      <w:bCs/>
                      <w:color w:val="auto"/>
                      <w:kern w:val="21"/>
                    </w:rPr>
                  </w:pPr>
                  <w:r>
                    <w:rPr>
                      <w:rFonts w:hint="eastAsia"/>
                      <w:color w:val="auto"/>
                      <w:kern w:val="21"/>
                    </w:rPr>
                    <w:t>1F，厂房高度为11.7m，建筑面积约467.36m²，用于暂存收购粮食</w:t>
                  </w:r>
                </w:p>
              </w:tc>
              <w:tc>
                <w:tcPr>
                  <w:tcW w:w="481" w:type="pct"/>
                  <w:vAlign w:val="center"/>
                </w:tcPr>
                <w:p w14:paraId="655B1AF6">
                  <w:pPr>
                    <w:pStyle w:val="32"/>
                    <w:rPr>
                      <w:color w:val="auto"/>
                      <w:kern w:val="21"/>
                    </w:rPr>
                  </w:pPr>
                  <w:r>
                    <w:rPr>
                      <w:color w:val="auto"/>
                      <w:kern w:val="21"/>
                    </w:rPr>
                    <w:t>依托原有</w:t>
                  </w:r>
                </w:p>
              </w:tc>
            </w:tr>
            <w:tr w14:paraId="44648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301" w:type="pct"/>
                  <w:vMerge w:val="restart"/>
                  <w:vAlign w:val="center"/>
                </w:tcPr>
                <w:p w14:paraId="1DEFFAEC">
                  <w:pPr>
                    <w:pStyle w:val="32"/>
                    <w:rPr>
                      <w:color w:val="auto"/>
                      <w:kern w:val="21"/>
                    </w:rPr>
                  </w:pPr>
                  <w:r>
                    <w:rPr>
                      <w:color w:val="auto"/>
                      <w:kern w:val="21"/>
                    </w:rPr>
                    <w:t>辅助工程</w:t>
                  </w:r>
                </w:p>
              </w:tc>
              <w:tc>
                <w:tcPr>
                  <w:tcW w:w="541" w:type="pct"/>
                  <w:vAlign w:val="center"/>
                </w:tcPr>
                <w:p w14:paraId="1A79FA97">
                  <w:pPr>
                    <w:pStyle w:val="33"/>
                    <w:tabs>
                      <w:tab w:val="left" w:pos="7488"/>
                    </w:tabs>
                    <w:adjustRightInd/>
                    <w:snapToGrid/>
                    <w:rPr>
                      <w:color w:val="auto"/>
                      <w:kern w:val="21"/>
                    </w:rPr>
                  </w:pPr>
                  <w:r>
                    <w:rPr>
                      <w:color w:val="auto"/>
                      <w:kern w:val="21"/>
                    </w:rPr>
                    <w:t>门卫</w:t>
                  </w:r>
                </w:p>
              </w:tc>
              <w:tc>
                <w:tcPr>
                  <w:tcW w:w="1126" w:type="pct"/>
                  <w:vAlign w:val="center"/>
                </w:tcPr>
                <w:p w14:paraId="548F37F0">
                  <w:pPr>
                    <w:pStyle w:val="33"/>
                    <w:tabs>
                      <w:tab w:val="left" w:pos="7488"/>
                    </w:tabs>
                    <w:adjustRightInd/>
                    <w:snapToGrid/>
                    <w:rPr>
                      <w:color w:val="auto"/>
                      <w:kern w:val="21"/>
                    </w:rPr>
                  </w:pPr>
                  <w:r>
                    <w:rPr>
                      <w:bCs/>
                      <w:color w:val="auto"/>
                      <w:kern w:val="21"/>
                    </w:rPr>
                    <w:t>1F，钢结构，</w:t>
                  </w:r>
                  <w:r>
                    <w:rPr>
                      <w:color w:val="auto"/>
                      <w:kern w:val="21"/>
                    </w:rPr>
                    <w:t>建筑面积30m</w:t>
                  </w:r>
                  <w:r>
                    <w:rPr>
                      <w:color w:val="auto"/>
                      <w:kern w:val="21"/>
                      <w:vertAlign w:val="superscript"/>
                    </w:rPr>
                    <w:t>2</w:t>
                  </w:r>
                </w:p>
              </w:tc>
              <w:tc>
                <w:tcPr>
                  <w:tcW w:w="1310" w:type="pct"/>
                  <w:vAlign w:val="center"/>
                </w:tcPr>
                <w:p w14:paraId="1561DE29">
                  <w:pPr>
                    <w:jc w:val="center"/>
                    <w:rPr>
                      <w:bCs/>
                      <w:color w:val="auto"/>
                      <w:kern w:val="21"/>
                      <w:szCs w:val="21"/>
                    </w:rPr>
                  </w:pPr>
                  <w:r>
                    <w:rPr>
                      <w:rFonts w:hint="eastAsia"/>
                      <w:bCs/>
                      <w:color w:val="auto"/>
                      <w:kern w:val="21"/>
                      <w:szCs w:val="21"/>
                    </w:rPr>
                    <w:t>依托原有无变化</w:t>
                  </w:r>
                </w:p>
              </w:tc>
              <w:tc>
                <w:tcPr>
                  <w:tcW w:w="1238" w:type="pct"/>
                  <w:vAlign w:val="center"/>
                </w:tcPr>
                <w:p w14:paraId="66949AEA">
                  <w:pPr>
                    <w:jc w:val="center"/>
                    <w:rPr>
                      <w:bCs/>
                      <w:color w:val="auto"/>
                      <w:kern w:val="21"/>
                      <w:szCs w:val="21"/>
                    </w:rPr>
                  </w:pPr>
                  <w:r>
                    <w:rPr>
                      <w:bCs/>
                      <w:color w:val="auto"/>
                      <w:kern w:val="21"/>
                      <w:szCs w:val="21"/>
                    </w:rPr>
                    <w:t>1F，钢结构，</w:t>
                  </w:r>
                  <w:r>
                    <w:rPr>
                      <w:color w:val="auto"/>
                      <w:kern w:val="21"/>
                    </w:rPr>
                    <w:t>建筑面积30m</w:t>
                  </w:r>
                  <w:r>
                    <w:rPr>
                      <w:color w:val="auto"/>
                      <w:kern w:val="21"/>
                      <w:vertAlign w:val="superscript"/>
                    </w:rPr>
                    <w:t>2</w:t>
                  </w:r>
                </w:p>
              </w:tc>
              <w:tc>
                <w:tcPr>
                  <w:tcW w:w="481" w:type="pct"/>
                  <w:vAlign w:val="center"/>
                </w:tcPr>
                <w:p w14:paraId="6E0802E8">
                  <w:pPr>
                    <w:pStyle w:val="33"/>
                    <w:tabs>
                      <w:tab w:val="left" w:pos="7488"/>
                    </w:tabs>
                    <w:adjustRightInd/>
                    <w:snapToGrid/>
                    <w:rPr>
                      <w:color w:val="auto"/>
                      <w:kern w:val="21"/>
                    </w:rPr>
                  </w:pPr>
                  <w:r>
                    <w:rPr>
                      <w:color w:val="auto"/>
                      <w:kern w:val="21"/>
                    </w:rPr>
                    <w:t>依托原有</w:t>
                  </w:r>
                </w:p>
              </w:tc>
            </w:tr>
            <w:tr w14:paraId="23B8B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301" w:type="pct"/>
                  <w:vMerge w:val="continue"/>
                  <w:vAlign w:val="center"/>
                </w:tcPr>
                <w:p w14:paraId="5EAE48DC">
                  <w:pPr>
                    <w:pStyle w:val="32"/>
                    <w:rPr>
                      <w:color w:val="auto"/>
                      <w:kern w:val="21"/>
                    </w:rPr>
                  </w:pPr>
                </w:p>
              </w:tc>
              <w:tc>
                <w:tcPr>
                  <w:tcW w:w="541" w:type="pct"/>
                  <w:vAlign w:val="center"/>
                </w:tcPr>
                <w:p w14:paraId="5F2DFA95">
                  <w:pPr>
                    <w:pStyle w:val="33"/>
                    <w:tabs>
                      <w:tab w:val="left" w:pos="7488"/>
                    </w:tabs>
                    <w:adjustRightInd/>
                    <w:snapToGrid/>
                    <w:rPr>
                      <w:color w:val="auto"/>
                      <w:kern w:val="21"/>
                    </w:rPr>
                  </w:pPr>
                  <w:r>
                    <w:rPr>
                      <w:rFonts w:hint="eastAsia"/>
                      <w:color w:val="auto"/>
                      <w:kern w:val="21"/>
                    </w:rPr>
                    <w:t>办公室</w:t>
                  </w:r>
                </w:p>
              </w:tc>
              <w:tc>
                <w:tcPr>
                  <w:tcW w:w="1126" w:type="pct"/>
                  <w:vAlign w:val="center"/>
                </w:tcPr>
                <w:p w14:paraId="01F31E18">
                  <w:pPr>
                    <w:pStyle w:val="33"/>
                    <w:tabs>
                      <w:tab w:val="left" w:pos="7488"/>
                    </w:tabs>
                    <w:adjustRightInd/>
                    <w:snapToGrid/>
                    <w:rPr>
                      <w:bCs/>
                      <w:color w:val="auto"/>
                      <w:kern w:val="21"/>
                    </w:rPr>
                  </w:pPr>
                  <w:r>
                    <w:rPr>
                      <w:rFonts w:hint="eastAsia"/>
                      <w:bCs/>
                      <w:color w:val="auto"/>
                      <w:kern w:val="21"/>
                    </w:rPr>
                    <w:t>1F，建筑面积约200m²</w:t>
                  </w:r>
                </w:p>
              </w:tc>
              <w:tc>
                <w:tcPr>
                  <w:tcW w:w="1310" w:type="pct"/>
                  <w:vAlign w:val="center"/>
                </w:tcPr>
                <w:p w14:paraId="66D62AC6">
                  <w:pPr>
                    <w:jc w:val="center"/>
                    <w:rPr>
                      <w:bCs/>
                      <w:color w:val="auto"/>
                      <w:kern w:val="21"/>
                      <w:szCs w:val="21"/>
                    </w:rPr>
                  </w:pPr>
                  <w:r>
                    <w:rPr>
                      <w:rFonts w:hint="eastAsia"/>
                      <w:bCs/>
                      <w:color w:val="auto"/>
                      <w:kern w:val="21"/>
                      <w:szCs w:val="21"/>
                    </w:rPr>
                    <w:t>依托原有无变化</w:t>
                  </w:r>
                </w:p>
              </w:tc>
              <w:tc>
                <w:tcPr>
                  <w:tcW w:w="1238" w:type="pct"/>
                  <w:vAlign w:val="center"/>
                </w:tcPr>
                <w:p w14:paraId="4133E6A4">
                  <w:pPr>
                    <w:jc w:val="center"/>
                    <w:rPr>
                      <w:bCs/>
                      <w:color w:val="auto"/>
                      <w:kern w:val="21"/>
                      <w:szCs w:val="21"/>
                    </w:rPr>
                  </w:pPr>
                  <w:r>
                    <w:rPr>
                      <w:rFonts w:hint="eastAsia"/>
                      <w:bCs/>
                      <w:color w:val="auto"/>
                      <w:kern w:val="21"/>
                      <w:szCs w:val="21"/>
                    </w:rPr>
                    <w:t>1F，建筑面积约200m²</w:t>
                  </w:r>
                </w:p>
              </w:tc>
              <w:tc>
                <w:tcPr>
                  <w:tcW w:w="481" w:type="pct"/>
                  <w:vAlign w:val="center"/>
                </w:tcPr>
                <w:p w14:paraId="7F2403F5">
                  <w:pPr>
                    <w:pStyle w:val="33"/>
                    <w:tabs>
                      <w:tab w:val="left" w:pos="7488"/>
                    </w:tabs>
                    <w:adjustRightInd/>
                    <w:snapToGrid/>
                    <w:rPr>
                      <w:color w:val="auto"/>
                      <w:kern w:val="21"/>
                    </w:rPr>
                  </w:pPr>
                  <w:r>
                    <w:rPr>
                      <w:color w:val="auto"/>
                      <w:kern w:val="21"/>
                    </w:rPr>
                    <w:t>依托原有</w:t>
                  </w:r>
                </w:p>
              </w:tc>
            </w:tr>
            <w:tr w14:paraId="30A306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301" w:type="pct"/>
                  <w:vMerge w:val="restart"/>
                  <w:vAlign w:val="center"/>
                </w:tcPr>
                <w:p w14:paraId="00E31A6D">
                  <w:pPr>
                    <w:pStyle w:val="32"/>
                    <w:rPr>
                      <w:color w:val="auto"/>
                      <w:kern w:val="21"/>
                    </w:rPr>
                  </w:pPr>
                  <w:r>
                    <w:rPr>
                      <w:color w:val="auto"/>
                      <w:kern w:val="21"/>
                    </w:rPr>
                    <w:t>储运工程</w:t>
                  </w:r>
                </w:p>
              </w:tc>
              <w:tc>
                <w:tcPr>
                  <w:tcW w:w="541" w:type="pct"/>
                  <w:vAlign w:val="center"/>
                </w:tcPr>
                <w:p w14:paraId="237973CF">
                  <w:pPr>
                    <w:pStyle w:val="33"/>
                    <w:tabs>
                      <w:tab w:val="left" w:pos="7488"/>
                    </w:tabs>
                    <w:adjustRightInd/>
                    <w:snapToGrid/>
                    <w:rPr>
                      <w:color w:val="auto"/>
                      <w:kern w:val="21"/>
                    </w:rPr>
                  </w:pPr>
                  <w:r>
                    <w:rPr>
                      <w:rFonts w:hint="eastAsia"/>
                      <w:color w:val="auto"/>
                      <w:kern w:val="21"/>
                    </w:rPr>
                    <w:t>7#原料车间</w:t>
                  </w:r>
                </w:p>
              </w:tc>
              <w:tc>
                <w:tcPr>
                  <w:tcW w:w="1126" w:type="pct"/>
                  <w:vAlign w:val="center"/>
                </w:tcPr>
                <w:p w14:paraId="055C8620">
                  <w:pPr>
                    <w:pStyle w:val="33"/>
                    <w:tabs>
                      <w:tab w:val="left" w:pos="7488"/>
                    </w:tabs>
                    <w:adjustRightInd/>
                    <w:snapToGrid/>
                    <w:rPr>
                      <w:bCs/>
                      <w:color w:val="auto"/>
                      <w:kern w:val="21"/>
                    </w:rPr>
                  </w:pPr>
                  <w:r>
                    <w:rPr>
                      <w:rFonts w:hint="eastAsia"/>
                      <w:bCs/>
                      <w:color w:val="auto"/>
                      <w:kern w:val="21"/>
                    </w:rPr>
                    <w:t>1F，高度88.3m，建筑面积约432.4m²，位于厂区东侧，用于暂存毛粮（原料）</w:t>
                  </w:r>
                </w:p>
              </w:tc>
              <w:tc>
                <w:tcPr>
                  <w:tcW w:w="1310" w:type="pct"/>
                  <w:vAlign w:val="center"/>
                </w:tcPr>
                <w:p w14:paraId="499221E6">
                  <w:pPr>
                    <w:jc w:val="center"/>
                    <w:rPr>
                      <w:bCs/>
                      <w:color w:val="auto"/>
                      <w:kern w:val="21"/>
                      <w:szCs w:val="21"/>
                    </w:rPr>
                  </w:pPr>
                  <w:r>
                    <w:rPr>
                      <w:rFonts w:hint="eastAsia"/>
                      <w:bCs/>
                      <w:color w:val="auto"/>
                      <w:kern w:val="21"/>
                      <w:szCs w:val="21"/>
                    </w:rPr>
                    <w:t>依托原有无变化</w:t>
                  </w:r>
                </w:p>
              </w:tc>
              <w:tc>
                <w:tcPr>
                  <w:tcW w:w="1238" w:type="pct"/>
                  <w:vAlign w:val="center"/>
                </w:tcPr>
                <w:p w14:paraId="062B5375">
                  <w:pPr>
                    <w:jc w:val="center"/>
                    <w:rPr>
                      <w:bCs/>
                      <w:color w:val="auto"/>
                      <w:kern w:val="21"/>
                      <w:szCs w:val="21"/>
                    </w:rPr>
                  </w:pPr>
                  <w:r>
                    <w:rPr>
                      <w:rFonts w:hint="eastAsia"/>
                      <w:bCs/>
                      <w:color w:val="auto"/>
                      <w:kern w:val="21"/>
                      <w:szCs w:val="21"/>
                    </w:rPr>
                    <w:t>1F，高度88.3m，建筑面积约432.4m²，用于暂存毛粮（原料）</w:t>
                  </w:r>
                </w:p>
              </w:tc>
              <w:tc>
                <w:tcPr>
                  <w:tcW w:w="481" w:type="pct"/>
                  <w:vAlign w:val="center"/>
                </w:tcPr>
                <w:p w14:paraId="472D51AC">
                  <w:pPr>
                    <w:pStyle w:val="33"/>
                    <w:tabs>
                      <w:tab w:val="left" w:pos="7488"/>
                    </w:tabs>
                    <w:adjustRightInd/>
                    <w:snapToGrid/>
                    <w:rPr>
                      <w:color w:val="auto"/>
                      <w:kern w:val="21"/>
                    </w:rPr>
                  </w:pPr>
                  <w:r>
                    <w:rPr>
                      <w:color w:val="auto"/>
                      <w:kern w:val="21"/>
                    </w:rPr>
                    <w:t>依托原有</w:t>
                  </w:r>
                </w:p>
              </w:tc>
            </w:tr>
            <w:tr w14:paraId="562A4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01" w:type="pct"/>
                  <w:vMerge w:val="continue"/>
                  <w:vAlign w:val="center"/>
                </w:tcPr>
                <w:p w14:paraId="79460634">
                  <w:pPr>
                    <w:pStyle w:val="32"/>
                    <w:rPr>
                      <w:color w:val="auto"/>
                      <w:kern w:val="21"/>
                    </w:rPr>
                  </w:pPr>
                </w:p>
              </w:tc>
              <w:tc>
                <w:tcPr>
                  <w:tcW w:w="541" w:type="pct"/>
                  <w:vAlign w:val="center"/>
                </w:tcPr>
                <w:p w14:paraId="0E68E3AB">
                  <w:pPr>
                    <w:pStyle w:val="33"/>
                    <w:tabs>
                      <w:tab w:val="left" w:pos="7488"/>
                    </w:tabs>
                    <w:adjustRightInd/>
                    <w:snapToGrid/>
                    <w:rPr>
                      <w:color w:val="auto"/>
                      <w:kern w:val="21"/>
                    </w:rPr>
                  </w:pPr>
                  <w:r>
                    <w:rPr>
                      <w:rFonts w:hint="eastAsia"/>
                      <w:color w:val="auto"/>
                      <w:kern w:val="21"/>
                    </w:rPr>
                    <w:t>8#清选车间</w:t>
                  </w:r>
                </w:p>
              </w:tc>
              <w:tc>
                <w:tcPr>
                  <w:tcW w:w="1126" w:type="pct"/>
                  <w:vAlign w:val="center"/>
                </w:tcPr>
                <w:p w14:paraId="68F2C473">
                  <w:pPr>
                    <w:pStyle w:val="33"/>
                    <w:tabs>
                      <w:tab w:val="left" w:pos="7488"/>
                    </w:tabs>
                    <w:adjustRightInd/>
                    <w:snapToGrid/>
                    <w:rPr>
                      <w:bCs/>
                      <w:color w:val="auto"/>
                      <w:kern w:val="21"/>
                    </w:rPr>
                  </w:pPr>
                  <w:r>
                    <w:rPr>
                      <w:rFonts w:hint="eastAsia"/>
                      <w:bCs/>
                      <w:color w:val="auto"/>
                      <w:kern w:val="21"/>
                    </w:rPr>
                    <w:t>1F，高度12.3m，建筑面积约577.4m²，位于厂区东侧，作为烘干后粮食筛分作业区域</w:t>
                  </w:r>
                </w:p>
              </w:tc>
              <w:tc>
                <w:tcPr>
                  <w:tcW w:w="1310" w:type="pct"/>
                  <w:vAlign w:val="center"/>
                </w:tcPr>
                <w:p w14:paraId="44676BDC">
                  <w:pPr>
                    <w:jc w:val="center"/>
                    <w:rPr>
                      <w:bCs/>
                      <w:color w:val="auto"/>
                      <w:kern w:val="21"/>
                      <w:szCs w:val="21"/>
                    </w:rPr>
                  </w:pPr>
                  <w:r>
                    <w:rPr>
                      <w:rFonts w:hint="eastAsia"/>
                      <w:bCs/>
                      <w:color w:val="auto"/>
                      <w:kern w:val="21"/>
                      <w:szCs w:val="21"/>
                    </w:rPr>
                    <w:t>依托原有无变化</w:t>
                  </w:r>
                </w:p>
              </w:tc>
              <w:tc>
                <w:tcPr>
                  <w:tcW w:w="1238" w:type="pct"/>
                  <w:vAlign w:val="center"/>
                </w:tcPr>
                <w:p w14:paraId="4EA1A8F8">
                  <w:pPr>
                    <w:jc w:val="center"/>
                    <w:rPr>
                      <w:bCs/>
                      <w:color w:val="auto"/>
                      <w:kern w:val="21"/>
                      <w:szCs w:val="21"/>
                    </w:rPr>
                  </w:pPr>
                  <w:r>
                    <w:rPr>
                      <w:rFonts w:hint="eastAsia"/>
                      <w:bCs/>
                      <w:color w:val="auto"/>
                      <w:kern w:val="21"/>
                      <w:szCs w:val="21"/>
                    </w:rPr>
                    <w:t>1F，高度12.3m，建筑面积约577.4m²，位于厂区东侧，作为烘干后粮食筛分作业区域</w:t>
                  </w:r>
                </w:p>
              </w:tc>
              <w:tc>
                <w:tcPr>
                  <w:tcW w:w="481" w:type="pct"/>
                  <w:vAlign w:val="center"/>
                </w:tcPr>
                <w:p w14:paraId="2ADC07F7">
                  <w:pPr>
                    <w:pStyle w:val="33"/>
                    <w:tabs>
                      <w:tab w:val="left" w:pos="7488"/>
                    </w:tabs>
                    <w:adjustRightInd/>
                    <w:snapToGrid/>
                    <w:rPr>
                      <w:color w:val="auto"/>
                      <w:kern w:val="21"/>
                    </w:rPr>
                  </w:pPr>
                  <w:r>
                    <w:rPr>
                      <w:color w:val="auto"/>
                      <w:kern w:val="21"/>
                    </w:rPr>
                    <w:t>依托原有</w:t>
                  </w:r>
                </w:p>
              </w:tc>
            </w:tr>
            <w:tr w14:paraId="1EF9B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301" w:type="pct"/>
                  <w:vMerge w:val="continue"/>
                  <w:vAlign w:val="center"/>
                </w:tcPr>
                <w:p w14:paraId="2F267253">
                  <w:pPr>
                    <w:pStyle w:val="32"/>
                    <w:rPr>
                      <w:color w:val="auto"/>
                      <w:kern w:val="21"/>
                    </w:rPr>
                  </w:pPr>
                </w:p>
              </w:tc>
              <w:tc>
                <w:tcPr>
                  <w:tcW w:w="541" w:type="pct"/>
                  <w:vAlign w:val="center"/>
                </w:tcPr>
                <w:p w14:paraId="70FC9485">
                  <w:pPr>
                    <w:pStyle w:val="33"/>
                    <w:tabs>
                      <w:tab w:val="left" w:pos="7488"/>
                    </w:tabs>
                    <w:adjustRightInd/>
                    <w:snapToGrid/>
                    <w:rPr>
                      <w:color w:val="auto"/>
                      <w:kern w:val="21"/>
                    </w:rPr>
                  </w:pPr>
                  <w:r>
                    <w:rPr>
                      <w:rFonts w:hint="eastAsia"/>
                      <w:color w:val="auto"/>
                      <w:kern w:val="21"/>
                    </w:rPr>
                    <w:t>9</w:t>
                  </w:r>
                  <w:r>
                    <w:rPr>
                      <w:color w:val="auto"/>
                      <w:kern w:val="21"/>
                    </w:rPr>
                    <w:t>#成品车间</w:t>
                  </w:r>
                </w:p>
              </w:tc>
              <w:tc>
                <w:tcPr>
                  <w:tcW w:w="1126" w:type="pct"/>
                  <w:vAlign w:val="center"/>
                </w:tcPr>
                <w:p w14:paraId="24DA9F44">
                  <w:pPr>
                    <w:pStyle w:val="32"/>
                    <w:rPr>
                      <w:color w:val="auto"/>
                      <w:kern w:val="21"/>
                    </w:rPr>
                  </w:pPr>
                  <w:r>
                    <w:rPr>
                      <w:bCs/>
                      <w:color w:val="auto"/>
                      <w:kern w:val="21"/>
                    </w:rPr>
                    <w:t>1F，</w:t>
                  </w:r>
                  <w:r>
                    <w:rPr>
                      <w:rFonts w:hint="eastAsia"/>
                      <w:bCs/>
                      <w:color w:val="auto"/>
                      <w:kern w:val="21"/>
                    </w:rPr>
                    <w:t>高度8.3m，</w:t>
                  </w:r>
                  <w:r>
                    <w:rPr>
                      <w:color w:val="auto"/>
                      <w:kern w:val="21"/>
                    </w:rPr>
                    <w:t>建筑面积</w:t>
                  </w:r>
                  <w:r>
                    <w:rPr>
                      <w:rFonts w:hint="eastAsia"/>
                      <w:color w:val="auto"/>
                      <w:kern w:val="21"/>
                    </w:rPr>
                    <w:t>286.6</w:t>
                  </w:r>
                  <w:r>
                    <w:rPr>
                      <w:color w:val="auto"/>
                      <w:kern w:val="21"/>
                    </w:rPr>
                    <w:t>m</w:t>
                  </w:r>
                  <w:r>
                    <w:rPr>
                      <w:color w:val="auto"/>
                      <w:kern w:val="21"/>
                      <w:vertAlign w:val="superscript"/>
                    </w:rPr>
                    <w:t>2</w:t>
                  </w:r>
                  <w:r>
                    <w:rPr>
                      <w:color w:val="auto"/>
                      <w:kern w:val="21"/>
                    </w:rPr>
                    <w:t>，位于厂区东侧，用于暂存成品</w:t>
                  </w:r>
                </w:p>
              </w:tc>
              <w:tc>
                <w:tcPr>
                  <w:tcW w:w="1310" w:type="pct"/>
                  <w:vAlign w:val="center"/>
                </w:tcPr>
                <w:p w14:paraId="721CAB5F">
                  <w:pPr>
                    <w:jc w:val="center"/>
                    <w:rPr>
                      <w:bCs/>
                      <w:color w:val="auto"/>
                      <w:kern w:val="21"/>
                      <w:szCs w:val="21"/>
                    </w:rPr>
                  </w:pPr>
                  <w:r>
                    <w:rPr>
                      <w:rFonts w:hint="eastAsia"/>
                      <w:bCs/>
                      <w:color w:val="auto"/>
                      <w:kern w:val="21"/>
                      <w:szCs w:val="21"/>
                    </w:rPr>
                    <w:t>依托原有无变化</w:t>
                  </w:r>
                </w:p>
              </w:tc>
              <w:tc>
                <w:tcPr>
                  <w:tcW w:w="1238" w:type="pct"/>
                  <w:vAlign w:val="center"/>
                </w:tcPr>
                <w:p w14:paraId="50E75A24">
                  <w:pPr>
                    <w:jc w:val="center"/>
                    <w:rPr>
                      <w:bCs/>
                      <w:color w:val="auto"/>
                      <w:kern w:val="21"/>
                      <w:szCs w:val="21"/>
                    </w:rPr>
                  </w:pPr>
                  <w:r>
                    <w:rPr>
                      <w:bCs/>
                      <w:color w:val="auto"/>
                      <w:kern w:val="21"/>
                      <w:szCs w:val="21"/>
                    </w:rPr>
                    <w:t>1F，钢结构，</w:t>
                  </w:r>
                  <w:r>
                    <w:rPr>
                      <w:color w:val="auto"/>
                      <w:kern w:val="21"/>
                    </w:rPr>
                    <w:t>建筑面积300m</w:t>
                  </w:r>
                  <w:r>
                    <w:rPr>
                      <w:color w:val="auto"/>
                      <w:kern w:val="21"/>
                      <w:vertAlign w:val="superscript"/>
                    </w:rPr>
                    <w:t>2</w:t>
                  </w:r>
                  <w:r>
                    <w:rPr>
                      <w:color w:val="auto"/>
                      <w:kern w:val="21"/>
                    </w:rPr>
                    <w:t>，位于厂区东侧，用于暂存成品</w:t>
                  </w:r>
                </w:p>
              </w:tc>
              <w:tc>
                <w:tcPr>
                  <w:tcW w:w="481" w:type="pct"/>
                  <w:vAlign w:val="center"/>
                </w:tcPr>
                <w:p w14:paraId="5679F004">
                  <w:pPr>
                    <w:pStyle w:val="33"/>
                    <w:tabs>
                      <w:tab w:val="left" w:pos="7488"/>
                    </w:tabs>
                    <w:adjustRightInd/>
                    <w:snapToGrid/>
                    <w:rPr>
                      <w:color w:val="auto"/>
                      <w:kern w:val="21"/>
                    </w:rPr>
                  </w:pPr>
                  <w:r>
                    <w:rPr>
                      <w:color w:val="auto"/>
                      <w:kern w:val="21"/>
                    </w:rPr>
                    <w:t>依托原有</w:t>
                  </w:r>
                </w:p>
              </w:tc>
            </w:tr>
            <w:tr w14:paraId="465CA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301" w:type="pct"/>
                  <w:vMerge w:val="continue"/>
                  <w:vAlign w:val="center"/>
                </w:tcPr>
                <w:p w14:paraId="6D783DB2">
                  <w:pPr>
                    <w:pStyle w:val="32"/>
                    <w:rPr>
                      <w:color w:val="auto"/>
                      <w:kern w:val="21"/>
                    </w:rPr>
                  </w:pPr>
                </w:p>
              </w:tc>
              <w:tc>
                <w:tcPr>
                  <w:tcW w:w="541" w:type="pct"/>
                  <w:vAlign w:val="center"/>
                </w:tcPr>
                <w:p w14:paraId="38E3C5C2">
                  <w:pPr>
                    <w:pStyle w:val="33"/>
                    <w:tabs>
                      <w:tab w:val="left" w:pos="7488"/>
                    </w:tabs>
                    <w:adjustRightInd/>
                    <w:snapToGrid/>
                    <w:rPr>
                      <w:color w:val="auto"/>
                      <w:kern w:val="21"/>
                    </w:rPr>
                  </w:pPr>
                  <w:r>
                    <w:rPr>
                      <w:rFonts w:hint="eastAsia"/>
                      <w:color w:val="auto"/>
                      <w:kern w:val="21"/>
                    </w:rPr>
                    <w:t>金属仓</w:t>
                  </w:r>
                </w:p>
              </w:tc>
              <w:tc>
                <w:tcPr>
                  <w:tcW w:w="1126" w:type="pct"/>
                  <w:vAlign w:val="center"/>
                </w:tcPr>
                <w:p w14:paraId="15267321">
                  <w:pPr>
                    <w:pStyle w:val="32"/>
                    <w:rPr>
                      <w:color w:val="auto"/>
                      <w:kern w:val="21"/>
                    </w:rPr>
                  </w:pPr>
                  <w:r>
                    <w:rPr>
                      <w:color w:val="auto"/>
                      <w:kern w:val="21"/>
                    </w:rPr>
                    <w:t>位于</w:t>
                  </w:r>
                  <w:r>
                    <w:rPr>
                      <w:rFonts w:hint="eastAsia"/>
                      <w:color w:val="auto"/>
                      <w:kern w:val="21"/>
                    </w:rPr>
                    <w:t>锅炉车间</w:t>
                  </w:r>
                  <w:r>
                    <w:rPr>
                      <w:color w:val="auto"/>
                      <w:kern w:val="21"/>
                    </w:rPr>
                    <w:t>外，共</w:t>
                  </w:r>
                  <w:r>
                    <w:rPr>
                      <w:rFonts w:hint="eastAsia"/>
                      <w:color w:val="auto"/>
                      <w:kern w:val="21"/>
                    </w:rPr>
                    <w:t>12</w:t>
                  </w:r>
                  <w:r>
                    <w:rPr>
                      <w:color w:val="auto"/>
                      <w:kern w:val="21"/>
                    </w:rPr>
                    <w:t>个，</w:t>
                  </w:r>
                  <w:r>
                    <w:rPr>
                      <w:rFonts w:hint="eastAsia"/>
                      <w:color w:val="auto"/>
                      <w:kern w:val="21"/>
                    </w:rPr>
                    <w:t>其中2个暂存量为300t/个湿仓，10个500t/个的干仓</w:t>
                  </w:r>
                  <w:r>
                    <w:rPr>
                      <w:color w:val="auto"/>
                      <w:kern w:val="21"/>
                    </w:rPr>
                    <w:t>，</w:t>
                  </w:r>
                  <w:r>
                    <w:rPr>
                      <w:bCs/>
                      <w:color w:val="auto"/>
                      <w:kern w:val="21"/>
                    </w:rPr>
                    <w:t>总储量5</w:t>
                  </w:r>
                  <w:r>
                    <w:rPr>
                      <w:rFonts w:hint="eastAsia"/>
                      <w:bCs/>
                      <w:color w:val="auto"/>
                      <w:kern w:val="21"/>
                    </w:rPr>
                    <w:t>6</w:t>
                  </w:r>
                  <w:r>
                    <w:rPr>
                      <w:bCs/>
                      <w:color w:val="auto"/>
                      <w:kern w:val="21"/>
                    </w:rPr>
                    <w:t>00t</w:t>
                  </w:r>
                </w:p>
              </w:tc>
              <w:tc>
                <w:tcPr>
                  <w:tcW w:w="1310" w:type="pct"/>
                  <w:vAlign w:val="center"/>
                </w:tcPr>
                <w:p w14:paraId="7F1B6FAF">
                  <w:pPr>
                    <w:jc w:val="center"/>
                    <w:rPr>
                      <w:color w:val="auto"/>
                      <w:kern w:val="21"/>
                    </w:rPr>
                  </w:pPr>
                  <w:r>
                    <w:rPr>
                      <w:rFonts w:hint="eastAsia"/>
                      <w:bCs/>
                      <w:color w:val="auto"/>
                      <w:kern w:val="21"/>
                      <w:szCs w:val="21"/>
                    </w:rPr>
                    <w:t>依托原有无变化</w:t>
                  </w:r>
                </w:p>
              </w:tc>
              <w:tc>
                <w:tcPr>
                  <w:tcW w:w="1238" w:type="pct"/>
                  <w:vAlign w:val="center"/>
                </w:tcPr>
                <w:p w14:paraId="5A987D57">
                  <w:pPr>
                    <w:jc w:val="center"/>
                    <w:rPr>
                      <w:color w:val="auto"/>
                      <w:kern w:val="21"/>
                    </w:rPr>
                  </w:pPr>
                  <w:r>
                    <w:rPr>
                      <w:color w:val="auto"/>
                      <w:kern w:val="21"/>
                    </w:rPr>
                    <w:t>位于</w:t>
                  </w:r>
                  <w:r>
                    <w:rPr>
                      <w:rFonts w:hint="eastAsia"/>
                      <w:color w:val="auto"/>
                      <w:kern w:val="21"/>
                    </w:rPr>
                    <w:t>锅炉车间</w:t>
                  </w:r>
                  <w:r>
                    <w:rPr>
                      <w:color w:val="auto"/>
                      <w:kern w:val="21"/>
                    </w:rPr>
                    <w:t>外，共</w:t>
                  </w:r>
                  <w:r>
                    <w:rPr>
                      <w:rFonts w:hint="eastAsia"/>
                      <w:color w:val="auto"/>
                      <w:kern w:val="21"/>
                    </w:rPr>
                    <w:t>12</w:t>
                  </w:r>
                  <w:r>
                    <w:rPr>
                      <w:color w:val="auto"/>
                      <w:kern w:val="21"/>
                    </w:rPr>
                    <w:t>个，</w:t>
                  </w:r>
                  <w:r>
                    <w:rPr>
                      <w:rFonts w:hint="eastAsia"/>
                      <w:color w:val="auto"/>
                      <w:kern w:val="21"/>
                    </w:rPr>
                    <w:t>其中2个暂存量为300t/个湿仓，10个500t/个的干仓</w:t>
                  </w:r>
                  <w:r>
                    <w:rPr>
                      <w:color w:val="auto"/>
                      <w:kern w:val="21"/>
                    </w:rPr>
                    <w:t>，</w:t>
                  </w:r>
                  <w:r>
                    <w:rPr>
                      <w:bCs/>
                      <w:color w:val="auto"/>
                      <w:kern w:val="21"/>
                      <w:szCs w:val="21"/>
                    </w:rPr>
                    <w:t>总储量5</w:t>
                  </w:r>
                  <w:r>
                    <w:rPr>
                      <w:rFonts w:hint="eastAsia"/>
                      <w:bCs/>
                      <w:color w:val="auto"/>
                      <w:kern w:val="21"/>
                      <w:szCs w:val="21"/>
                    </w:rPr>
                    <w:t>6</w:t>
                  </w:r>
                  <w:r>
                    <w:rPr>
                      <w:bCs/>
                      <w:color w:val="auto"/>
                      <w:kern w:val="21"/>
                      <w:szCs w:val="21"/>
                    </w:rPr>
                    <w:t>00t</w:t>
                  </w:r>
                </w:p>
              </w:tc>
              <w:tc>
                <w:tcPr>
                  <w:tcW w:w="481" w:type="pct"/>
                  <w:vAlign w:val="center"/>
                </w:tcPr>
                <w:p w14:paraId="270D5AAF">
                  <w:pPr>
                    <w:pStyle w:val="33"/>
                    <w:tabs>
                      <w:tab w:val="left" w:pos="7488"/>
                    </w:tabs>
                    <w:adjustRightInd/>
                    <w:snapToGrid/>
                    <w:rPr>
                      <w:color w:val="auto"/>
                      <w:kern w:val="21"/>
                    </w:rPr>
                  </w:pPr>
                  <w:r>
                    <w:rPr>
                      <w:color w:val="auto"/>
                      <w:kern w:val="21"/>
                    </w:rPr>
                    <w:t>依托原有</w:t>
                  </w:r>
                </w:p>
              </w:tc>
            </w:tr>
            <w:tr w14:paraId="39C12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301" w:type="pct"/>
                  <w:vMerge w:val="restart"/>
                  <w:vAlign w:val="center"/>
                </w:tcPr>
                <w:p w14:paraId="6C06539B">
                  <w:pPr>
                    <w:pStyle w:val="32"/>
                    <w:rPr>
                      <w:color w:val="auto"/>
                      <w:kern w:val="21"/>
                    </w:rPr>
                  </w:pPr>
                  <w:r>
                    <w:rPr>
                      <w:color w:val="auto"/>
                      <w:kern w:val="21"/>
                    </w:rPr>
                    <w:t>公用工程</w:t>
                  </w:r>
                </w:p>
              </w:tc>
              <w:tc>
                <w:tcPr>
                  <w:tcW w:w="541" w:type="pct"/>
                  <w:vAlign w:val="center"/>
                </w:tcPr>
                <w:p w14:paraId="49C2505A">
                  <w:pPr>
                    <w:pStyle w:val="32"/>
                    <w:rPr>
                      <w:color w:val="auto"/>
                      <w:kern w:val="21"/>
                    </w:rPr>
                  </w:pPr>
                  <w:r>
                    <w:rPr>
                      <w:color w:val="auto"/>
                      <w:kern w:val="21"/>
                    </w:rPr>
                    <w:t>供水工程</w:t>
                  </w:r>
                </w:p>
              </w:tc>
              <w:tc>
                <w:tcPr>
                  <w:tcW w:w="1126" w:type="pct"/>
                  <w:vAlign w:val="center"/>
                </w:tcPr>
                <w:p w14:paraId="3E916E07">
                  <w:pPr>
                    <w:pStyle w:val="32"/>
                    <w:rPr>
                      <w:color w:val="auto"/>
                      <w:kern w:val="21"/>
                    </w:rPr>
                  </w:pPr>
                  <w:r>
                    <w:rPr>
                      <w:color w:val="auto"/>
                      <w:kern w:val="21"/>
                    </w:rPr>
                    <w:t>市政供水，用水量为2</w:t>
                  </w:r>
                  <w:r>
                    <w:rPr>
                      <w:rFonts w:hint="eastAsia"/>
                      <w:color w:val="auto"/>
                      <w:kern w:val="21"/>
                    </w:rPr>
                    <w:t>66</w:t>
                  </w:r>
                  <w:r>
                    <w:rPr>
                      <w:color w:val="auto"/>
                      <w:kern w:val="21"/>
                    </w:rPr>
                    <w:t>m</w:t>
                  </w:r>
                  <w:r>
                    <w:rPr>
                      <w:color w:val="auto"/>
                      <w:kern w:val="21"/>
                      <w:vertAlign w:val="superscript"/>
                    </w:rPr>
                    <w:t>3</w:t>
                  </w:r>
                  <w:r>
                    <w:rPr>
                      <w:color w:val="auto"/>
                      <w:kern w:val="21"/>
                    </w:rPr>
                    <w:t>/a</w:t>
                  </w:r>
                </w:p>
              </w:tc>
              <w:tc>
                <w:tcPr>
                  <w:tcW w:w="1310" w:type="pct"/>
                  <w:vAlign w:val="center"/>
                </w:tcPr>
                <w:p w14:paraId="6C36DA82">
                  <w:pPr>
                    <w:jc w:val="center"/>
                    <w:rPr>
                      <w:color w:val="auto"/>
                      <w:kern w:val="21"/>
                    </w:rPr>
                  </w:pPr>
                  <w:r>
                    <w:rPr>
                      <w:rStyle w:val="27"/>
                      <w:rFonts w:hint="eastAsia"/>
                      <w:color w:val="auto"/>
                      <w:kern w:val="0"/>
                    </w:rPr>
                    <w:t>新增劳动人员，用水量为114m³/a</w:t>
                  </w:r>
                </w:p>
              </w:tc>
              <w:tc>
                <w:tcPr>
                  <w:tcW w:w="1238" w:type="pct"/>
                  <w:vAlign w:val="center"/>
                </w:tcPr>
                <w:p w14:paraId="0F699083">
                  <w:pPr>
                    <w:jc w:val="center"/>
                    <w:rPr>
                      <w:color w:val="auto"/>
                      <w:kern w:val="21"/>
                    </w:rPr>
                  </w:pPr>
                  <w:r>
                    <w:rPr>
                      <w:color w:val="auto"/>
                      <w:kern w:val="21"/>
                    </w:rPr>
                    <w:t>市政供水，用水量为</w:t>
                  </w:r>
                  <w:r>
                    <w:rPr>
                      <w:rFonts w:hint="eastAsia"/>
                      <w:color w:val="auto"/>
                      <w:kern w:val="21"/>
                    </w:rPr>
                    <w:t>380</w:t>
                  </w:r>
                  <w:r>
                    <w:rPr>
                      <w:color w:val="auto"/>
                      <w:kern w:val="21"/>
                    </w:rPr>
                    <w:t>m</w:t>
                  </w:r>
                  <w:r>
                    <w:rPr>
                      <w:color w:val="auto"/>
                      <w:kern w:val="21"/>
                      <w:vertAlign w:val="superscript"/>
                    </w:rPr>
                    <w:t>3</w:t>
                  </w:r>
                  <w:r>
                    <w:rPr>
                      <w:color w:val="auto"/>
                      <w:kern w:val="21"/>
                    </w:rPr>
                    <w:t>/a</w:t>
                  </w:r>
                </w:p>
              </w:tc>
              <w:tc>
                <w:tcPr>
                  <w:tcW w:w="481" w:type="pct"/>
                  <w:vAlign w:val="center"/>
                </w:tcPr>
                <w:p w14:paraId="5FD998A0">
                  <w:pPr>
                    <w:pStyle w:val="33"/>
                    <w:tabs>
                      <w:tab w:val="left" w:pos="7488"/>
                    </w:tabs>
                    <w:adjustRightInd/>
                    <w:snapToGrid/>
                    <w:rPr>
                      <w:color w:val="auto"/>
                      <w:kern w:val="21"/>
                    </w:rPr>
                  </w:pPr>
                  <w:r>
                    <w:rPr>
                      <w:rFonts w:hint="eastAsia"/>
                      <w:color w:val="auto"/>
                      <w:kern w:val="21"/>
                    </w:rPr>
                    <w:t>新增生活用水</w:t>
                  </w:r>
                </w:p>
              </w:tc>
            </w:tr>
            <w:tr w14:paraId="022A39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01" w:type="pct"/>
                  <w:vMerge w:val="continue"/>
                  <w:vAlign w:val="center"/>
                </w:tcPr>
                <w:p w14:paraId="419B0A5F">
                  <w:pPr>
                    <w:pStyle w:val="32"/>
                    <w:rPr>
                      <w:color w:val="auto"/>
                      <w:kern w:val="21"/>
                    </w:rPr>
                  </w:pPr>
                </w:p>
              </w:tc>
              <w:tc>
                <w:tcPr>
                  <w:tcW w:w="541" w:type="pct"/>
                  <w:vAlign w:val="center"/>
                </w:tcPr>
                <w:p w14:paraId="73E9BB45">
                  <w:pPr>
                    <w:pStyle w:val="32"/>
                    <w:rPr>
                      <w:color w:val="auto"/>
                      <w:kern w:val="21"/>
                    </w:rPr>
                  </w:pPr>
                  <w:r>
                    <w:rPr>
                      <w:color w:val="auto"/>
                      <w:kern w:val="21"/>
                    </w:rPr>
                    <w:t>排水工程</w:t>
                  </w:r>
                </w:p>
              </w:tc>
              <w:tc>
                <w:tcPr>
                  <w:tcW w:w="1126" w:type="pct"/>
                  <w:vAlign w:val="center"/>
                </w:tcPr>
                <w:p w14:paraId="68C24152">
                  <w:pPr>
                    <w:pStyle w:val="34"/>
                    <w:adjustRightInd/>
                    <w:snapToGrid/>
                    <w:ind w:firstLine="0"/>
                    <w:jc w:val="center"/>
                    <w:rPr>
                      <w:rFonts w:ascii="Times New Roman" w:hAnsi="Times New Roman" w:eastAsia="宋体"/>
                      <w:color w:val="auto"/>
                      <w:w w:val="100"/>
                      <w:kern w:val="21"/>
                      <w:szCs w:val="21"/>
                    </w:rPr>
                  </w:pPr>
                  <w:r>
                    <w:rPr>
                      <w:rFonts w:ascii="Times New Roman" w:hAnsi="Times New Roman" w:eastAsia="宋体"/>
                      <w:color w:val="auto"/>
                      <w:w w:val="100"/>
                      <w:kern w:val="21"/>
                      <w:szCs w:val="21"/>
                    </w:rPr>
                    <w:t>实行雨污分流制度。雨水排入附近沟渠，生活污水经化粪池处理后定期清掏</w:t>
                  </w:r>
                  <w:r>
                    <w:rPr>
                      <w:rFonts w:hint="eastAsia" w:ascii="Times New Roman" w:hAnsi="Times New Roman" w:eastAsia="宋体"/>
                      <w:color w:val="auto"/>
                      <w:w w:val="100"/>
                      <w:kern w:val="21"/>
                      <w:szCs w:val="21"/>
                    </w:rPr>
                    <w:t>，不外排</w:t>
                  </w:r>
                </w:p>
              </w:tc>
              <w:tc>
                <w:tcPr>
                  <w:tcW w:w="1310" w:type="pct"/>
                  <w:vAlign w:val="center"/>
                </w:tcPr>
                <w:p w14:paraId="7F50DF58">
                  <w:pPr>
                    <w:jc w:val="center"/>
                    <w:rPr>
                      <w:color w:val="auto"/>
                      <w:kern w:val="21"/>
                      <w:szCs w:val="21"/>
                    </w:rPr>
                  </w:pPr>
                  <w:r>
                    <w:rPr>
                      <w:rFonts w:hint="eastAsia"/>
                      <w:bCs/>
                      <w:color w:val="auto"/>
                      <w:kern w:val="21"/>
                      <w:szCs w:val="21"/>
                    </w:rPr>
                    <w:t>依托原有无变化</w:t>
                  </w:r>
                </w:p>
              </w:tc>
              <w:tc>
                <w:tcPr>
                  <w:tcW w:w="1238" w:type="pct"/>
                  <w:vAlign w:val="center"/>
                </w:tcPr>
                <w:p w14:paraId="5C953D23">
                  <w:pPr>
                    <w:jc w:val="center"/>
                    <w:rPr>
                      <w:color w:val="auto"/>
                      <w:kern w:val="21"/>
                      <w:szCs w:val="21"/>
                    </w:rPr>
                  </w:pPr>
                  <w:r>
                    <w:rPr>
                      <w:color w:val="auto"/>
                      <w:kern w:val="21"/>
                      <w:szCs w:val="21"/>
                    </w:rPr>
                    <w:t>实行雨污分流制度，雨水排入附近沟渠，生活污水经化粪池处理后定期清掏</w:t>
                  </w:r>
                  <w:r>
                    <w:rPr>
                      <w:rFonts w:hint="eastAsia"/>
                      <w:color w:val="auto"/>
                      <w:kern w:val="21"/>
                      <w:szCs w:val="21"/>
                    </w:rPr>
                    <w:t>，不外排</w:t>
                  </w:r>
                </w:p>
              </w:tc>
              <w:tc>
                <w:tcPr>
                  <w:tcW w:w="481" w:type="pct"/>
                  <w:vAlign w:val="center"/>
                </w:tcPr>
                <w:p w14:paraId="64573F74">
                  <w:pPr>
                    <w:pStyle w:val="33"/>
                    <w:tabs>
                      <w:tab w:val="left" w:pos="7488"/>
                    </w:tabs>
                    <w:adjustRightInd/>
                    <w:snapToGrid/>
                    <w:rPr>
                      <w:color w:val="auto"/>
                      <w:kern w:val="21"/>
                    </w:rPr>
                  </w:pPr>
                  <w:r>
                    <w:rPr>
                      <w:color w:val="auto"/>
                      <w:kern w:val="21"/>
                    </w:rPr>
                    <w:t>依托原有</w:t>
                  </w:r>
                </w:p>
              </w:tc>
            </w:tr>
            <w:tr w14:paraId="6D51F2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301" w:type="pct"/>
                  <w:vMerge w:val="continue"/>
                  <w:vAlign w:val="center"/>
                </w:tcPr>
                <w:p w14:paraId="28FB466E">
                  <w:pPr>
                    <w:pStyle w:val="32"/>
                    <w:rPr>
                      <w:color w:val="auto"/>
                      <w:kern w:val="21"/>
                    </w:rPr>
                  </w:pPr>
                </w:p>
              </w:tc>
              <w:tc>
                <w:tcPr>
                  <w:tcW w:w="541" w:type="pct"/>
                  <w:vAlign w:val="center"/>
                </w:tcPr>
                <w:p w14:paraId="4AC9ADB3">
                  <w:pPr>
                    <w:pStyle w:val="32"/>
                    <w:rPr>
                      <w:color w:val="auto"/>
                      <w:kern w:val="21"/>
                    </w:rPr>
                  </w:pPr>
                  <w:r>
                    <w:rPr>
                      <w:color w:val="auto"/>
                      <w:kern w:val="21"/>
                    </w:rPr>
                    <w:t>供电工程</w:t>
                  </w:r>
                </w:p>
              </w:tc>
              <w:tc>
                <w:tcPr>
                  <w:tcW w:w="1126" w:type="pct"/>
                  <w:vAlign w:val="center"/>
                </w:tcPr>
                <w:p w14:paraId="36197E4D">
                  <w:pPr>
                    <w:pStyle w:val="32"/>
                    <w:rPr>
                      <w:color w:val="auto"/>
                      <w:kern w:val="21"/>
                    </w:rPr>
                  </w:pPr>
                  <w:r>
                    <w:rPr>
                      <w:color w:val="auto"/>
                      <w:kern w:val="21"/>
                    </w:rPr>
                    <w:t>市政供电，年用电量为30万</w:t>
                  </w:r>
                  <w:r>
                    <w:rPr>
                      <w:rFonts w:hint="eastAsia"/>
                      <w:color w:val="auto"/>
                      <w:kern w:val="21"/>
                    </w:rPr>
                    <w:t>kW</w:t>
                  </w:r>
                  <w:r>
                    <w:rPr>
                      <w:color w:val="auto"/>
                      <w:kern w:val="21"/>
                    </w:rPr>
                    <w:t>·h</w:t>
                  </w:r>
                </w:p>
              </w:tc>
              <w:tc>
                <w:tcPr>
                  <w:tcW w:w="1310" w:type="pct"/>
                  <w:vAlign w:val="center"/>
                </w:tcPr>
                <w:p w14:paraId="0B0F1463">
                  <w:pPr>
                    <w:jc w:val="center"/>
                    <w:rPr>
                      <w:color w:val="auto"/>
                      <w:kern w:val="21"/>
                    </w:rPr>
                  </w:pPr>
                  <w:r>
                    <w:rPr>
                      <w:color w:val="auto"/>
                      <w:kern w:val="21"/>
                    </w:rPr>
                    <w:t>市政供电，年用电量为</w:t>
                  </w:r>
                  <w:r>
                    <w:rPr>
                      <w:rFonts w:hint="eastAsia"/>
                      <w:color w:val="auto"/>
                      <w:kern w:val="21"/>
                    </w:rPr>
                    <w:t>10</w:t>
                  </w:r>
                  <w:r>
                    <w:rPr>
                      <w:color w:val="auto"/>
                      <w:kern w:val="21"/>
                    </w:rPr>
                    <w:t>万</w:t>
                  </w:r>
                  <w:r>
                    <w:rPr>
                      <w:rFonts w:hint="eastAsia"/>
                      <w:color w:val="auto"/>
                      <w:kern w:val="21"/>
                    </w:rPr>
                    <w:t>kW</w:t>
                  </w:r>
                  <w:r>
                    <w:rPr>
                      <w:color w:val="auto"/>
                      <w:kern w:val="21"/>
                    </w:rPr>
                    <w:t>·h</w:t>
                  </w:r>
                </w:p>
              </w:tc>
              <w:tc>
                <w:tcPr>
                  <w:tcW w:w="1238" w:type="pct"/>
                  <w:vAlign w:val="center"/>
                </w:tcPr>
                <w:p w14:paraId="5C8DC738">
                  <w:pPr>
                    <w:jc w:val="center"/>
                    <w:rPr>
                      <w:color w:val="auto"/>
                      <w:kern w:val="21"/>
                    </w:rPr>
                  </w:pPr>
                  <w:r>
                    <w:rPr>
                      <w:color w:val="auto"/>
                      <w:kern w:val="21"/>
                    </w:rPr>
                    <w:t>市政供电，年用电量为</w:t>
                  </w:r>
                  <w:r>
                    <w:rPr>
                      <w:rFonts w:hint="eastAsia"/>
                      <w:color w:val="auto"/>
                      <w:kern w:val="21"/>
                    </w:rPr>
                    <w:t>40</w:t>
                  </w:r>
                  <w:r>
                    <w:rPr>
                      <w:color w:val="auto"/>
                      <w:kern w:val="21"/>
                    </w:rPr>
                    <w:t>万</w:t>
                  </w:r>
                  <w:r>
                    <w:rPr>
                      <w:rFonts w:hint="eastAsia"/>
                      <w:color w:val="auto"/>
                      <w:kern w:val="21"/>
                    </w:rPr>
                    <w:t>kW</w:t>
                  </w:r>
                  <w:r>
                    <w:rPr>
                      <w:color w:val="auto"/>
                      <w:kern w:val="21"/>
                    </w:rPr>
                    <w:t>·h</w:t>
                  </w:r>
                </w:p>
              </w:tc>
              <w:tc>
                <w:tcPr>
                  <w:tcW w:w="481" w:type="pct"/>
                  <w:vAlign w:val="center"/>
                </w:tcPr>
                <w:p w14:paraId="4620A475">
                  <w:pPr>
                    <w:pStyle w:val="33"/>
                    <w:tabs>
                      <w:tab w:val="left" w:pos="7488"/>
                    </w:tabs>
                    <w:adjustRightInd/>
                    <w:snapToGrid/>
                    <w:rPr>
                      <w:color w:val="auto"/>
                      <w:kern w:val="21"/>
                    </w:rPr>
                  </w:pPr>
                  <w:r>
                    <w:rPr>
                      <w:color w:val="auto"/>
                      <w:kern w:val="21"/>
                    </w:rPr>
                    <w:t>依托原有</w:t>
                  </w:r>
                </w:p>
              </w:tc>
            </w:tr>
            <w:tr w14:paraId="51B58B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2" w:hRule="atLeast"/>
                <w:jc w:val="center"/>
              </w:trPr>
              <w:tc>
                <w:tcPr>
                  <w:tcW w:w="301" w:type="pct"/>
                  <w:vMerge w:val="restart"/>
                  <w:vAlign w:val="center"/>
                </w:tcPr>
                <w:p w14:paraId="7BD785F9">
                  <w:pPr>
                    <w:pStyle w:val="32"/>
                    <w:rPr>
                      <w:color w:val="auto"/>
                      <w:kern w:val="21"/>
                    </w:rPr>
                  </w:pPr>
                  <w:r>
                    <w:rPr>
                      <w:color w:val="auto"/>
                      <w:kern w:val="21"/>
                    </w:rPr>
                    <w:t>环保工程</w:t>
                  </w:r>
                </w:p>
              </w:tc>
              <w:tc>
                <w:tcPr>
                  <w:tcW w:w="541" w:type="pct"/>
                  <w:vMerge w:val="restart"/>
                  <w:vAlign w:val="center"/>
                </w:tcPr>
                <w:p w14:paraId="163BAB67">
                  <w:pPr>
                    <w:pStyle w:val="32"/>
                    <w:rPr>
                      <w:color w:val="auto"/>
                      <w:kern w:val="21"/>
                    </w:rPr>
                  </w:pPr>
                  <w:r>
                    <w:rPr>
                      <w:color w:val="auto"/>
                      <w:kern w:val="21"/>
                    </w:rPr>
                    <w:t>废气处理</w:t>
                  </w:r>
                </w:p>
              </w:tc>
              <w:tc>
                <w:tcPr>
                  <w:tcW w:w="1126" w:type="pct"/>
                  <w:vAlign w:val="center"/>
                </w:tcPr>
                <w:p w14:paraId="0A2B5155">
                  <w:pPr>
                    <w:pStyle w:val="32"/>
                    <w:rPr>
                      <w:color w:val="auto"/>
                      <w:kern w:val="21"/>
                    </w:rPr>
                  </w:pPr>
                  <w:r>
                    <w:rPr>
                      <w:bCs/>
                      <w:color w:val="auto"/>
                      <w:kern w:val="21"/>
                    </w:rPr>
                    <w:t>/</w:t>
                  </w:r>
                </w:p>
              </w:tc>
              <w:tc>
                <w:tcPr>
                  <w:tcW w:w="1310" w:type="pct"/>
                  <w:vAlign w:val="center"/>
                </w:tcPr>
                <w:p w14:paraId="3ADBE539">
                  <w:pPr>
                    <w:pStyle w:val="32"/>
                    <w:rPr>
                      <w:color w:val="auto"/>
                      <w:kern w:val="21"/>
                    </w:rPr>
                  </w:pPr>
                  <w:r>
                    <w:rPr>
                      <w:color w:val="auto"/>
                      <w:kern w:val="21"/>
                    </w:rPr>
                    <w:t>筛分粉尘：密闭</w:t>
                  </w:r>
                  <w:r>
                    <w:rPr>
                      <w:rFonts w:hint="eastAsia"/>
                      <w:color w:val="auto"/>
                      <w:kern w:val="21"/>
                      <w:lang w:val="en-US" w:eastAsia="zh-CN"/>
                    </w:rPr>
                    <w:t>收集</w:t>
                  </w:r>
                  <w:r>
                    <w:rPr>
                      <w:color w:val="auto"/>
                      <w:kern w:val="21"/>
                    </w:rPr>
                    <w:t>+脉冲布袋除尘器+15m高排气筒（DA001）</w:t>
                  </w:r>
                </w:p>
              </w:tc>
              <w:tc>
                <w:tcPr>
                  <w:tcW w:w="1238" w:type="pct"/>
                  <w:vAlign w:val="center"/>
                </w:tcPr>
                <w:p w14:paraId="20F59027">
                  <w:pPr>
                    <w:pStyle w:val="32"/>
                    <w:rPr>
                      <w:color w:val="auto"/>
                      <w:kern w:val="21"/>
                    </w:rPr>
                  </w:pPr>
                  <w:r>
                    <w:rPr>
                      <w:color w:val="auto"/>
                      <w:kern w:val="21"/>
                    </w:rPr>
                    <w:t>筛分粉尘：密闭</w:t>
                  </w:r>
                  <w:r>
                    <w:rPr>
                      <w:rFonts w:hint="eastAsia"/>
                      <w:color w:val="auto"/>
                      <w:kern w:val="21"/>
                      <w:lang w:val="en-US" w:eastAsia="zh-CN"/>
                    </w:rPr>
                    <w:t>收集</w:t>
                  </w:r>
                  <w:r>
                    <w:rPr>
                      <w:color w:val="auto"/>
                      <w:kern w:val="21"/>
                    </w:rPr>
                    <w:t>+脉冲布袋除尘器+15m高排气筒（DA001）</w:t>
                  </w:r>
                </w:p>
              </w:tc>
              <w:tc>
                <w:tcPr>
                  <w:tcW w:w="481" w:type="pct"/>
                  <w:vAlign w:val="center"/>
                </w:tcPr>
                <w:p w14:paraId="07A7F6D9">
                  <w:pPr>
                    <w:pStyle w:val="32"/>
                    <w:rPr>
                      <w:color w:val="auto"/>
                      <w:kern w:val="21"/>
                    </w:rPr>
                  </w:pPr>
                  <w:r>
                    <w:rPr>
                      <w:color w:val="auto"/>
                      <w:kern w:val="21"/>
                    </w:rPr>
                    <w:t>新建</w:t>
                  </w:r>
                  <w:r>
                    <w:rPr>
                      <w:rFonts w:hint="eastAsia"/>
                      <w:color w:val="auto"/>
                      <w:kern w:val="21"/>
                    </w:rPr>
                    <w:t>，本次评价范围</w:t>
                  </w:r>
                </w:p>
              </w:tc>
            </w:tr>
            <w:tr w14:paraId="4305F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2" w:hRule="atLeast"/>
                <w:jc w:val="center"/>
              </w:trPr>
              <w:tc>
                <w:tcPr>
                  <w:tcW w:w="301" w:type="pct"/>
                  <w:vMerge w:val="continue"/>
                  <w:vAlign w:val="center"/>
                </w:tcPr>
                <w:p w14:paraId="3CBBF8BC">
                  <w:pPr>
                    <w:pStyle w:val="32"/>
                    <w:rPr>
                      <w:color w:val="auto"/>
                      <w:kern w:val="21"/>
                    </w:rPr>
                  </w:pPr>
                </w:p>
              </w:tc>
              <w:tc>
                <w:tcPr>
                  <w:tcW w:w="541" w:type="pct"/>
                  <w:vMerge w:val="continue"/>
                  <w:vAlign w:val="center"/>
                </w:tcPr>
                <w:p w14:paraId="1242276E">
                  <w:pPr>
                    <w:pStyle w:val="32"/>
                    <w:rPr>
                      <w:color w:val="auto"/>
                      <w:kern w:val="21"/>
                    </w:rPr>
                  </w:pPr>
                </w:p>
              </w:tc>
              <w:tc>
                <w:tcPr>
                  <w:tcW w:w="1126" w:type="pct"/>
                  <w:vAlign w:val="center"/>
                </w:tcPr>
                <w:p w14:paraId="0EEF665B">
                  <w:pPr>
                    <w:pStyle w:val="32"/>
                    <w:rPr>
                      <w:bCs/>
                      <w:color w:val="auto"/>
                      <w:kern w:val="21"/>
                    </w:rPr>
                  </w:pPr>
                  <w:r>
                    <w:rPr>
                      <w:rFonts w:hint="eastAsia"/>
                      <w:bCs/>
                      <w:color w:val="auto"/>
                      <w:kern w:val="21"/>
                    </w:rPr>
                    <w:t>卸料粉尘经密闭沉降室沉降无组织排放</w:t>
                  </w:r>
                </w:p>
              </w:tc>
              <w:tc>
                <w:tcPr>
                  <w:tcW w:w="1310" w:type="pct"/>
                  <w:vAlign w:val="center"/>
                </w:tcPr>
                <w:p w14:paraId="113657CD">
                  <w:pPr>
                    <w:pStyle w:val="32"/>
                    <w:rPr>
                      <w:color w:val="auto"/>
                      <w:kern w:val="21"/>
                    </w:rPr>
                  </w:pPr>
                  <w:r>
                    <w:rPr>
                      <w:rFonts w:hint="eastAsia"/>
                      <w:color w:val="auto"/>
                      <w:kern w:val="21"/>
                    </w:rPr>
                    <w:t>卸料集气罩+密闭沉降室+布袋除尘器（TA00</w:t>
                  </w:r>
                  <w:r>
                    <w:rPr>
                      <w:rFonts w:hint="eastAsia"/>
                      <w:color w:val="auto"/>
                      <w:kern w:val="21"/>
                      <w:lang w:val="en-US" w:eastAsia="zh-CN"/>
                    </w:rPr>
                    <w:t>2</w:t>
                  </w:r>
                  <w:r>
                    <w:rPr>
                      <w:rFonts w:hint="eastAsia"/>
                      <w:color w:val="auto"/>
                      <w:kern w:val="21"/>
                    </w:rPr>
                    <w:t>）</w:t>
                  </w:r>
                  <w:r>
                    <w:rPr>
                      <w:color w:val="auto"/>
                      <w:kern w:val="21"/>
                    </w:rPr>
                    <w:t>+15m高排气筒（DA00</w:t>
                  </w:r>
                  <w:r>
                    <w:rPr>
                      <w:rFonts w:hint="eastAsia"/>
                      <w:color w:val="auto"/>
                      <w:kern w:val="21"/>
                    </w:rPr>
                    <w:t>2）</w:t>
                  </w:r>
                </w:p>
              </w:tc>
              <w:tc>
                <w:tcPr>
                  <w:tcW w:w="1238" w:type="pct"/>
                  <w:vAlign w:val="center"/>
                </w:tcPr>
                <w:p w14:paraId="6CD3036D">
                  <w:pPr>
                    <w:pStyle w:val="32"/>
                    <w:rPr>
                      <w:color w:val="auto"/>
                      <w:kern w:val="21"/>
                    </w:rPr>
                  </w:pPr>
                  <w:r>
                    <w:rPr>
                      <w:rFonts w:hint="eastAsia"/>
                      <w:color w:val="auto"/>
                      <w:kern w:val="21"/>
                    </w:rPr>
                    <w:t>卸料：集气罩+密闭沉降室+布袋除尘器（TA002）</w:t>
                  </w:r>
                  <w:r>
                    <w:rPr>
                      <w:color w:val="auto"/>
                      <w:kern w:val="21"/>
                    </w:rPr>
                    <w:t>+15m高排气筒（DA00</w:t>
                  </w:r>
                  <w:r>
                    <w:rPr>
                      <w:rFonts w:hint="eastAsia"/>
                      <w:color w:val="auto"/>
                      <w:kern w:val="21"/>
                    </w:rPr>
                    <w:t>2）</w:t>
                  </w:r>
                </w:p>
              </w:tc>
              <w:tc>
                <w:tcPr>
                  <w:tcW w:w="481" w:type="pct"/>
                  <w:vAlign w:val="center"/>
                </w:tcPr>
                <w:p w14:paraId="76375006">
                  <w:pPr>
                    <w:pStyle w:val="32"/>
                    <w:rPr>
                      <w:color w:val="auto"/>
                      <w:kern w:val="21"/>
                    </w:rPr>
                  </w:pPr>
                  <w:r>
                    <w:rPr>
                      <w:color w:val="auto"/>
                      <w:kern w:val="21"/>
                    </w:rPr>
                    <w:t>新建</w:t>
                  </w:r>
                  <w:r>
                    <w:rPr>
                      <w:rFonts w:hint="eastAsia"/>
                      <w:color w:val="auto"/>
                      <w:kern w:val="21"/>
                    </w:rPr>
                    <w:t>，本次评价范围</w:t>
                  </w:r>
                </w:p>
              </w:tc>
            </w:tr>
            <w:tr w14:paraId="02C01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2" w:hRule="atLeast"/>
                <w:jc w:val="center"/>
              </w:trPr>
              <w:tc>
                <w:tcPr>
                  <w:tcW w:w="301" w:type="pct"/>
                  <w:vMerge w:val="continue"/>
                  <w:vAlign w:val="center"/>
                </w:tcPr>
                <w:p w14:paraId="3470C70F">
                  <w:pPr>
                    <w:pStyle w:val="32"/>
                    <w:rPr>
                      <w:color w:val="auto"/>
                      <w:kern w:val="21"/>
                    </w:rPr>
                  </w:pPr>
                </w:p>
              </w:tc>
              <w:tc>
                <w:tcPr>
                  <w:tcW w:w="541" w:type="pct"/>
                  <w:vMerge w:val="continue"/>
                  <w:vAlign w:val="center"/>
                </w:tcPr>
                <w:p w14:paraId="172F8429">
                  <w:pPr>
                    <w:pStyle w:val="32"/>
                    <w:rPr>
                      <w:color w:val="auto"/>
                      <w:kern w:val="21"/>
                    </w:rPr>
                  </w:pPr>
                </w:p>
              </w:tc>
              <w:tc>
                <w:tcPr>
                  <w:tcW w:w="1126" w:type="pct"/>
                  <w:vAlign w:val="center"/>
                </w:tcPr>
                <w:p w14:paraId="113EC4E2">
                  <w:pPr>
                    <w:pStyle w:val="32"/>
                    <w:rPr>
                      <w:rFonts w:hint="eastAsia" w:eastAsia="宋体"/>
                      <w:bCs/>
                      <w:color w:val="auto"/>
                      <w:kern w:val="21"/>
                      <w:lang w:val="en-US" w:eastAsia="zh-CN"/>
                    </w:rPr>
                  </w:pPr>
                  <w:r>
                    <w:rPr>
                      <w:rFonts w:hint="eastAsia"/>
                      <w:bCs/>
                      <w:color w:val="auto"/>
                      <w:kern w:val="21"/>
                      <w:lang w:val="en-US" w:eastAsia="zh-CN"/>
                    </w:rPr>
                    <w:t>/</w:t>
                  </w:r>
                </w:p>
              </w:tc>
              <w:tc>
                <w:tcPr>
                  <w:tcW w:w="1310" w:type="pct"/>
                  <w:vAlign w:val="center"/>
                </w:tcPr>
                <w:p w14:paraId="257194E1">
                  <w:pPr>
                    <w:pStyle w:val="32"/>
                    <w:rPr>
                      <w:rFonts w:hint="default" w:eastAsia="宋体"/>
                      <w:color w:val="auto"/>
                      <w:kern w:val="21"/>
                      <w:lang w:val="en-US" w:eastAsia="zh-CN"/>
                    </w:rPr>
                  </w:pPr>
                  <w:r>
                    <w:rPr>
                      <w:rFonts w:hint="eastAsia"/>
                      <w:color w:val="auto"/>
                      <w:kern w:val="21"/>
                      <w:lang w:val="en-US" w:eastAsia="zh-CN"/>
                    </w:rPr>
                    <w:t>烘干废气：密闭收集+布袋除尘器（TA004）+</w:t>
                  </w:r>
                  <w:r>
                    <w:rPr>
                      <w:color w:val="auto"/>
                      <w:kern w:val="21"/>
                    </w:rPr>
                    <w:t>一根</w:t>
                  </w:r>
                  <w:r>
                    <w:rPr>
                      <w:rFonts w:hint="eastAsia"/>
                      <w:color w:val="auto"/>
                      <w:kern w:val="21"/>
                      <w:lang w:val="en-US" w:eastAsia="zh-CN"/>
                    </w:rPr>
                    <w:t>15</w:t>
                  </w:r>
                  <w:r>
                    <w:rPr>
                      <w:color w:val="auto"/>
                      <w:kern w:val="21"/>
                    </w:rPr>
                    <w:t>m高排气筒排放（DA00</w:t>
                  </w:r>
                  <w:r>
                    <w:rPr>
                      <w:rFonts w:hint="eastAsia"/>
                      <w:color w:val="auto"/>
                      <w:kern w:val="21"/>
                      <w:lang w:val="en-US" w:eastAsia="zh-CN"/>
                    </w:rPr>
                    <w:t>4</w:t>
                  </w:r>
                  <w:r>
                    <w:rPr>
                      <w:color w:val="auto"/>
                      <w:kern w:val="21"/>
                    </w:rPr>
                    <w:t>）</w:t>
                  </w:r>
                </w:p>
              </w:tc>
              <w:tc>
                <w:tcPr>
                  <w:tcW w:w="1238" w:type="pct"/>
                  <w:vAlign w:val="center"/>
                </w:tcPr>
                <w:p w14:paraId="6946452E">
                  <w:pPr>
                    <w:pStyle w:val="32"/>
                    <w:rPr>
                      <w:rFonts w:hint="eastAsia"/>
                      <w:color w:val="auto"/>
                      <w:kern w:val="21"/>
                    </w:rPr>
                  </w:pPr>
                  <w:r>
                    <w:rPr>
                      <w:rFonts w:hint="eastAsia"/>
                      <w:color w:val="auto"/>
                      <w:kern w:val="21"/>
                      <w:lang w:val="en-US" w:eastAsia="zh-CN"/>
                    </w:rPr>
                    <w:t>烘干废气：密闭收集+布袋除尘器（TA004）+</w:t>
                  </w:r>
                  <w:r>
                    <w:rPr>
                      <w:color w:val="auto"/>
                      <w:kern w:val="21"/>
                    </w:rPr>
                    <w:t>一根</w:t>
                  </w:r>
                  <w:r>
                    <w:rPr>
                      <w:rFonts w:hint="eastAsia"/>
                      <w:color w:val="auto"/>
                      <w:kern w:val="21"/>
                      <w:lang w:val="en-US" w:eastAsia="zh-CN"/>
                    </w:rPr>
                    <w:t>15</w:t>
                  </w:r>
                  <w:r>
                    <w:rPr>
                      <w:color w:val="auto"/>
                      <w:kern w:val="21"/>
                    </w:rPr>
                    <w:t>m高排气筒排放（DA00</w:t>
                  </w:r>
                  <w:r>
                    <w:rPr>
                      <w:rFonts w:hint="eastAsia"/>
                      <w:color w:val="auto"/>
                      <w:kern w:val="21"/>
                      <w:lang w:val="en-US" w:eastAsia="zh-CN"/>
                    </w:rPr>
                    <w:t>4</w:t>
                  </w:r>
                  <w:r>
                    <w:rPr>
                      <w:color w:val="auto"/>
                      <w:kern w:val="21"/>
                    </w:rPr>
                    <w:t>）</w:t>
                  </w:r>
                </w:p>
              </w:tc>
              <w:tc>
                <w:tcPr>
                  <w:tcW w:w="481" w:type="pct"/>
                  <w:vAlign w:val="center"/>
                </w:tcPr>
                <w:p w14:paraId="37A0056D">
                  <w:pPr>
                    <w:pStyle w:val="32"/>
                    <w:rPr>
                      <w:color w:val="auto"/>
                      <w:kern w:val="21"/>
                    </w:rPr>
                  </w:pPr>
                  <w:r>
                    <w:rPr>
                      <w:color w:val="auto"/>
                      <w:kern w:val="21"/>
                    </w:rPr>
                    <w:t>新建</w:t>
                  </w:r>
                  <w:r>
                    <w:rPr>
                      <w:rFonts w:hint="eastAsia"/>
                      <w:color w:val="auto"/>
                      <w:kern w:val="21"/>
                    </w:rPr>
                    <w:t>，本次评价范围</w:t>
                  </w:r>
                </w:p>
              </w:tc>
            </w:tr>
            <w:tr w14:paraId="6BC6C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301" w:type="pct"/>
                  <w:vMerge w:val="continue"/>
                  <w:vAlign w:val="center"/>
                </w:tcPr>
                <w:p w14:paraId="4E11B262">
                  <w:pPr>
                    <w:pStyle w:val="32"/>
                    <w:rPr>
                      <w:color w:val="auto"/>
                      <w:kern w:val="21"/>
                    </w:rPr>
                  </w:pPr>
                </w:p>
              </w:tc>
              <w:tc>
                <w:tcPr>
                  <w:tcW w:w="541" w:type="pct"/>
                  <w:vMerge w:val="continue"/>
                  <w:vAlign w:val="center"/>
                </w:tcPr>
                <w:p w14:paraId="370A7F81">
                  <w:pPr>
                    <w:pStyle w:val="32"/>
                    <w:rPr>
                      <w:color w:val="auto"/>
                      <w:kern w:val="21"/>
                    </w:rPr>
                  </w:pPr>
                </w:p>
              </w:tc>
              <w:tc>
                <w:tcPr>
                  <w:tcW w:w="1126" w:type="pct"/>
                  <w:vAlign w:val="center"/>
                </w:tcPr>
                <w:p w14:paraId="28CA4976">
                  <w:pPr>
                    <w:pStyle w:val="32"/>
                    <w:rPr>
                      <w:color w:val="auto"/>
                      <w:kern w:val="21"/>
                    </w:rPr>
                  </w:pPr>
                  <w:r>
                    <w:rPr>
                      <w:bCs/>
                      <w:color w:val="auto"/>
                      <w:kern w:val="21"/>
                    </w:rPr>
                    <w:t>/</w:t>
                  </w:r>
                </w:p>
              </w:tc>
              <w:tc>
                <w:tcPr>
                  <w:tcW w:w="1310" w:type="pct"/>
                  <w:vAlign w:val="center"/>
                </w:tcPr>
                <w:p w14:paraId="73710649">
                  <w:pPr>
                    <w:pStyle w:val="32"/>
                    <w:rPr>
                      <w:color w:val="auto"/>
                      <w:kern w:val="21"/>
                    </w:rPr>
                  </w:pPr>
                  <w:r>
                    <w:rPr>
                      <w:color w:val="auto"/>
                      <w:kern w:val="21"/>
                    </w:rPr>
                    <w:t>锅炉废气：低氮燃烧</w:t>
                  </w:r>
                  <w:r>
                    <w:rPr>
                      <w:rFonts w:hint="eastAsia"/>
                      <w:color w:val="auto"/>
                      <w:kern w:val="21"/>
                      <w:lang w:val="en-US" w:eastAsia="zh-CN"/>
                    </w:rPr>
                    <w:t>技术，燃烧尾气通过</w:t>
                  </w:r>
                  <w:r>
                    <w:rPr>
                      <w:color w:val="auto"/>
                      <w:kern w:val="21"/>
                    </w:rPr>
                    <w:t>布袋除尘器</w:t>
                  </w:r>
                  <w:r>
                    <w:rPr>
                      <w:rFonts w:hint="eastAsia"/>
                      <w:color w:val="auto"/>
                      <w:kern w:val="21"/>
                    </w:rPr>
                    <w:t>（TA00</w:t>
                  </w:r>
                  <w:r>
                    <w:rPr>
                      <w:rFonts w:hint="eastAsia"/>
                      <w:color w:val="auto"/>
                      <w:kern w:val="21"/>
                      <w:lang w:val="en-US" w:eastAsia="zh-CN"/>
                    </w:rPr>
                    <w:t>3</w:t>
                  </w:r>
                  <w:r>
                    <w:rPr>
                      <w:rFonts w:hint="eastAsia"/>
                      <w:color w:val="auto"/>
                      <w:kern w:val="21"/>
                    </w:rPr>
                    <w:t>）</w:t>
                  </w:r>
                  <w:r>
                    <w:rPr>
                      <w:color w:val="auto"/>
                      <w:kern w:val="21"/>
                    </w:rPr>
                    <w:t>处理后通过一根40m高排气筒排放（DA00</w:t>
                  </w:r>
                  <w:r>
                    <w:rPr>
                      <w:rFonts w:hint="eastAsia"/>
                      <w:color w:val="auto"/>
                      <w:kern w:val="21"/>
                      <w:lang w:val="en-US" w:eastAsia="zh-CN"/>
                    </w:rPr>
                    <w:t>3</w:t>
                  </w:r>
                  <w:r>
                    <w:rPr>
                      <w:color w:val="auto"/>
                      <w:kern w:val="21"/>
                    </w:rPr>
                    <w:t>）</w:t>
                  </w:r>
                </w:p>
              </w:tc>
              <w:tc>
                <w:tcPr>
                  <w:tcW w:w="1238" w:type="pct"/>
                  <w:vAlign w:val="center"/>
                </w:tcPr>
                <w:p w14:paraId="520B173A">
                  <w:pPr>
                    <w:pStyle w:val="32"/>
                    <w:rPr>
                      <w:color w:val="auto"/>
                      <w:kern w:val="21"/>
                    </w:rPr>
                  </w:pPr>
                  <w:r>
                    <w:rPr>
                      <w:color w:val="auto"/>
                      <w:kern w:val="21"/>
                    </w:rPr>
                    <w:t>锅炉废气：低氮燃烧</w:t>
                  </w:r>
                  <w:r>
                    <w:rPr>
                      <w:rFonts w:hint="eastAsia"/>
                      <w:color w:val="auto"/>
                      <w:kern w:val="21"/>
                      <w:lang w:val="en-US" w:eastAsia="zh-CN"/>
                    </w:rPr>
                    <w:t>技术，燃烧尾气通过</w:t>
                  </w:r>
                  <w:r>
                    <w:rPr>
                      <w:color w:val="auto"/>
                      <w:kern w:val="21"/>
                    </w:rPr>
                    <w:t>+布袋除尘器</w:t>
                  </w:r>
                  <w:r>
                    <w:rPr>
                      <w:rFonts w:hint="eastAsia"/>
                      <w:color w:val="auto"/>
                      <w:kern w:val="21"/>
                    </w:rPr>
                    <w:t>（TA00</w:t>
                  </w:r>
                  <w:r>
                    <w:rPr>
                      <w:rFonts w:hint="eastAsia"/>
                      <w:color w:val="auto"/>
                      <w:kern w:val="21"/>
                      <w:lang w:val="en-US" w:eastAsia="zh-CN"/>
                    </w:rPr>
                    <w:t>3</w:t>
                  </w:r>
                  <w:r>
                    <w:rPr>
                      <w:rFonts w:hint="eastAsia"/>
                      <w:color w:val="auto"/>
                      <w:kern w:val="21"/>
                    </w:rPr>
                    <w:t>）</w:t>
                  </w:r>
                  <w:r>
                    <w:rPr>
                      <w:color w:val="auto"/>
                      <w:kern w:val="21"/>
                    </w:rPr>
                    <w:t>处理后通过一根40m高排气筒排放（DA00</w:t>
                  </w:r>
                  <w:r>
                    <w:rPr>
                      <w:rFonts w:hint="eastAsia"/>
                      <w:color w:val="auto"/>
                      <w:kern w:val="21"/>
                      <w:lang w:val="en-US" w:eastAsia="zh-CN"/>
                    </w:rPr>
                    <w:t>3</w:t>
                  </w:r>
                  <w:r>
                    <w:rPr>
                      <w:color w:val="auto"/>
                      <w:kern w:val="21"/>
                    </w:rPr>
                    <w:t>）</w:t>
                  </w:r>
                </w:p>
              </w:tc>
              <w:tc>
                <w:tcPr>
                  <w:tcW w:w="481" w:type="pct"/>
                  <w:vAlign w:val="center"/>
                </w:tcPr>
                <w:p w14:paraId="0E86FDE4">
                  <w:pPr>
                    <w:pStyle w:val="32"/>
                    <w:rPr>
                      <w:color w:val="auto"/>
                      <w:kern w:val="21"/>
                    </w:rPr>
                  </w:pPr>
                  <w:r>
                    <w:rPr>
                      <w:color w:val="auto"/>
                      <w:kern w:val="21"/>
                    </w:rPr>
                    <w:t>新建</w:t>
                  </w:r>
                  <w:r>
                    <w:rPr>
                      <w:rFonts w:hint="eastAsia"/>
                      <w:color w:val="auto"/>
                      <w:kern w:val="21"/>
                    </w:rPr>
                    <w:t>，本次评价范围</w:t>
                  </w:r>
                </w:p>
              </w:tc>
            </w:tr>
            <w:tr w14:paraId="446476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301" w:type="pct"/>
                  <w:vMerge w:val="continue"/>
                  <w:vAlign w:val="center"/>
                </w:tcPr>
                <w:p w14:paraId="435772D4">
                  <w:pPr>
                    <w:pStyle w:val="32"/>
                    <w:rPr>
                      <w:color w:val="auto"/>
                      <w:kern w:val="21"/>
                    </w:rPr>
                  </w:pPr>
                </w:p>
              </w:tc>
              <w:tc>
                <w:tcPr>
                  <w:tcW w:w="541" w:type="pct"/>
                  <w:vAlign w:val="center"/>
                </w:tcPr>
                <w:p w14:paraId="0CDD021D">
                  <w:pPr>
                    <w:pStyle w:val="32"/>
                    <w:rPr>
                      <w:color w:val="auto"/>
                      <w:kern w:val="21"/>
                    </w:rPr>
                  </w:pPr>
                  <w:r>
                    <w:rPr>
                      <w:color w:val="auto"/>
                      <w:kern w:val="21"/>
                    </w:rPr>
                    <w:t>废水处理</w:t>
                  </w:r>
                </w:p>
              </w:tc>
              <w:tc>
                <w:tcPr>
                  <w:tcW w:w="1126" w:type="pct"/>
                  <w:vAlign w:val="center"/>
                </w:tcPr>
                <w:p w14:paraId="15A6D6DF">
                  <w:pPr>
                    <w:pStyle w:val="33"/>
                    <w:tabs>
                      <w:tab w:val="left" w:pos="7488"/>
                    </w:tabs>
                    <w:adjustRightInd/>
                    <w:snapToGrid/>
                    <w:spacing w:line="0" w:lineRule="atLeast"/>
                    <w:rPr>
                      <w:color w:val="auto"/>
                      <w:kern w:val="21"/>
                    </w:rPr>
                  </w:pPr>
                  <w:r>
                    <w:rPr>
                      <w:color w:val="auto"/>
                      <w:kern w:val="21"/>
                    </w:rPr>
                    <w:t>生活污水经化粪池处理后定期清掏</w:t>
                  </w:r>
                  <w:r>
                    <w:rPr>
                      <w:rFonts w:hint="eastAsia"/>
                      <w:color w:val="auto"/>
                      <w:kern w:val="21"/>
                    </w:rPr>
                    <w:t>，不外排</w:t>
                  </w:r>
                </w:p>
              </w:tc>
              <w:tc>
                <w:tcPr>
                  <w:tcW w:w="1310" w:type="pct"/>
                  <w:vAlign w:val="center"/>
                </w:tcPr>
                <w:p w14:paraId="3C8DF5AA">
                  <w:pPr>
                    <w:spacing w:line="0" w:lineRule="atLeast"/>
                    <w:jc w:val="center"/>
                    <w:rPr>
                      <w:color w:val="auto"/>
                      <w:kern w:val="21"/>
                    </w:rPr>
                  </w:pPr>
                  <w:r>
                    <w:rPr>
                      <w:rFonts w:hint="eastAsia"/>
                      <w:bCs/>
                      <w:color w:val="auto"/>
                      <w:kern w:val="21"/>
                      <w:szCs w:val="21"/>
                    </w:rPr>
                    <w:t>依托原有无变化</w:t>
                  </w:r>
                </w:p>
              </w:tc>
              <w:tc>
                <w:tcPr>
                  <w:tcW w:w="1238" w:type="pct"/>
                  <w:vAlign w:val="center"/>
                </w:tcPr>
                <w:p w14:paraId="2D164DA1">
                  <w:pPr>
                    <w:spacing w:line="0" w:lineRule="atLeast"/>
                    <w:jc w:val="center"/>
                    <w:rPr>
                      <w:color w:val="auto"/>
                      <w:kern w:val="21"/>
                    </w:rPr>
                  </w:pPr>
                  <w:r>
                    <w:rPr>
                      <w:color w:val="auto"/>
                      <w:kern w:val="21"/>
                      <w:szCs w:val="21"/>
                    </w:rPr>
                    <w:t>生活污水经化粪池处理后定期清掏</w:t>
                  </w:r>
                  <w:r>
                    <w:rPr>
                      <w:rFonts w:hint="eastAsia"/>
                      <w:color w:val="auto"/>
                      <w:kern w:val="21"/>
                      <w:szCs w:val="21"/>
                    </w:rPr>
                    <w:t>，不外排</w:t>
                  </w:r>
                </w:p>
              </w:tc>
              <w:tc>
                <w:tcPr>
                  <w:tcW w:w="481" w:type="pct"/>
                  <w:vAlign w:val="center"/>
                </w:tcPr>
                <w:p w14:paraId="4BACEF48">
                  <w:pPr>
                    <w:pStyle w:val="33"/>
                    <w:tabs>
                      <w:tab w:val="left" w:pos="7488"/>
                    </w:tabs>
                    <w:adjustRightInd/>
                    <w:snapToGrid/>
                    <w:spacing w:line="0" w:lineRule="atLeast"/>
                    <w:rPr>
                      <w:color w:val="auto"/>
                      <w:kern w:val="21"/>
                    </w:rPr>
                  </w:pPr>
                  <w:r>
                    <w:rPr>
                      <w:color w:val="auto"/>
                      <w:kern w:val="21"/>
                    </w:rPr>
                    <w:t>依托</w:t>
                  </w:r>
                </w:p>
              </w:tc>
            </w:tr>
            <w:tr w14:paraId="13BA33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301" w:type="pct"/>
                  <w:vMerge w:val="continue"/>
                  <w:vAlign w:val="center"/>
                </w:tcPr>
                <w:p w14:paraId="5D1647BB">
                  <w:pPr>
                    <w:pStyle w:val="32"/>
                    <w:rPr>
                      <w:color w:val="auto"/>
                      <w:kern w:val="21"/>
                    </w:rPr>
                  </w:pPr>
                </w:p>
              </w:tc>
              <w:tc>
                <w:tcPr>
                  <w:tcW w:w="541" w:type="pct"/>
                  <w:vMerge w:val="restart"/>
                  <w:vAlign w:val="center"/>
                </w:tcPr>
                <w:p w14:paraId="3ACAB14B">
                  <w:pPr>
                    <w:pStyle w:val="32"/>
                    <w:rPr>
                      <w:color w:val="auto"/>
                      <w:kern w:val="21"/>
                    </w:rPr>
                  </w:pPr>
                  <w:r>
                    <w:rPr>
                      <w:color w:val="auto"/>
                      <w:kern w:val="21"/>
                    </w:rPr>
                    <w:t>固体废物</w:t>
                  </w:r>
                </w:p>
              </w:tc>
              <w:tc>
                <w:tcPr>
                  <w:tcW w:w="1126" w:type="pct"/>
                  <w:tcBorders>
                    <w:bottom w:val="single" w:color="auto" w:sz="4" w:space="0"/>
                  </w:tcBorders>
                  <w:vAlign w:val="center"/>
                </w:tcPr>
                <w:p w14:paraId="0D00545B">
                  <w:pPr>
                    <w:pStyle w:val="33"/>
                    <w:tabs>
                      <w:tab w:val="left" w:pos="7488"/>
                    </w:tabs>
                    <w:adjustRightInd/>
                    <w:snapToGrid/>
                    <w:spacing w:line="0" w:lineRule="atLeast"/>
                    <w:rPr>
                      <w:color w:val="auto"/>
                      <w:kern w:val="21"/>
                    </w:rPr>
                  </w:pPr>
                  <w:r>
                    <w:rPr>
                      <w:color w:val="auto"/>
                      <w:kern w:val="21"/>
                    </w:rPr>
                    <w:t>生活垃圾：集中收集后委托环卫部门清运</w:t>
                  </w:r>
                </w:p>
              </w:tc>
              <w:tc>
                <w:tcPr>
                  <w:tcW w:w="1310" w:type="pct"/>
                  <w:tcBorders>
                    <w:bottom w:val="single" w:color="auto" w:sz="4" w:space="0"/>
                  </w:tcBorders>
                  <w:vAlign w:val="center"/>
                </w:tcPr>
                <w:p w14:paraId="60B0CCD2">
                  <w:pPr>
                    <w:pStyle w:val="33"/>
                    <w:tabs>
                      <w:tab w:val="left" w:pos="7488"/>
                    </w:tabs>
                    <w:adjustRightInd/>
                    <w:snapToGrid/>
                    <w:spacing w:line="0" w:lineRule="atLeast"/>
                    <w:rPr>
                      <w:color w:val="auto"/>
                      <w:kern w:val="21"/>
                    </w:rPr>
                  </w:pPr>
                  <w:r>
                    <w:rPr>
                      <w:color w:val="auto"/>
                      <w:kern w:val="21"/>
                    </w:rPr>
                    <w:t>生活垃圾：集中收集后委托环卫部门清运；</w:t>
                  </w:r>
                </w:p>
              </w:tc>
              <w:tc>
                <w:tcPr>
                  <w:tcW w:w="1238" w:type="pct"/>
                  <w:tcBorders>
                    <w:bottom w:val="single" w:color="auto" w:sz="4" w:space="0"/>
                  </w:tcBorders>
                  <w:vAlign w:val="center"/>
                </w:tcPr>
                <w:p w14:paraId="79AE831B">
                  <w:pPr>
                    <w:pStyle w:val="33"/>
                    <w:tabs>
                      <w:tab w:val="left" w:pos="7488"/>
                    </w:tabs>
                    <w:adjustRightInd/>
                    <w:snapToGrid/>
                    <w:spacing w:line="0" w:lineRule="atLeast"/>
                    <w:rPr>
                      <w:color w:val="auto"/>
                      <w:kern w:val="21"/>
                    </w:rPr>
                  </w:pPr>
                  <w:r>
                    <w:rPr>
                      <w:color w:val="auto"/>
                      <w:kern w:val="21"/>
                    </w:rPr>
                    <w:t>生活垃圾：集中收集后委托环卫部门清运</w:t>
                  </w:r>
                </w:p>
              </w:tc>
              <w:tc>
                <w:tcPr>
                  <w:tcW w:w="481" w:type="pct"/>
                  <w:tcBorders>
                    <w:bottom w:val="single" w:color="auto" w:sz="4" w:space="0"/>
                  </w:tcBorders>
                  <w:vAlign w:val="center"/>
                </w:tcPr>
                <w:p w14:paraId="36E89573">
                  <w:pPr>
                    <w:spacing w:line="0" w:lineRule="atLeast"/>
                    <w:jc w:val="center"/>
                    <w:rPr>
                      <w:color w:val="auto"/>
                      <w:kern w:val="21"/>
                    </w:rPr>
                  </w:pPr>
                  <w:r>
                    <w:rPr>
                      <w:color w:val="auto"/>
                      <w:kern w:val="21"/>
                    </w:rPr>
                    <w:t>依托</w:t>
                  </w:r>
                </w:p>
              </w:tc>
            </w:tr>
            <w:tr w14:paraId="25657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301" w:type="pct"/>
                  <w:vMerge w:val="continue"/>
                  <w:vAlign w:val="center"/>
                </w:tcPr>
                <w:p w14:paraId="694FA2C2">
                  <w:pPr>
                    <w:pStyle w:val="32"/>
                    <w:rPr>
                      <w:color w:val="auto"/>
                      <w:kern w:val="21"/>
                    </w:rPr>
                  </w:pPr>
                </w:p>
              </w:tc>
              <w:tc>
                <w:tcPr>
                  <w:tcW w:w="541" w:type="pct"/>
                  <w:vMerge w:val="continue"/>
                  <w:vAlign w:val="center"/>
                </w:tcPr>
                <w:p w14:paraId="2F23E1BE">
                  <w:pPr>
                    <w:pStyle w:val="32"/>
                    <w:rPr>
                      <w:color w:val="auto"/>
                      <w:kern w:val="21"/>
                    </w:rPr>
                  </w:pPr>
                </w:p>
              </w:tc>
              <w:tc>
                <w:tcPr>
                  <w:tcW w:w="1126" w:type="pct"/>
                  <w:tcBorders>
                    <w:top w:val="single" w:color="auto" w:sz="4" w:space="0"/>
                    <w:bottom w:val="single" w:color="auto" w:sz="4" w:space="0"/>
                  </w:tcBorders>
                  <w:vAlign w:val="center"/>
                </w:tcPr>
                <w:p w14:paraId="0E97F3C5">
                  <w:pPr>
                    <w:pStyle w:val="33"/>
                    <w:tabs>
                      <w:tab w:val="left" w:pos="7488"/>
                    </w:tabs>
                    <w:adjustRightInd/>
                    <w:snapToGrid/>
                    <w:spacing w:line="0" w:lineRule="atLeast"/>
                    <w:rPr>
                      <w:color w:val="auto"/>
                      <w:kern w:val="21"/>
                    </w:rPr>
                  </w:pPr>
                  <w:r>
                    <w:rPr>
                      <w:rFonts w:hint="eastAsia"/>
                      <w:color w:val="auto"/>
                      <w:kern w:val="21"/>
                    </w:rPr>
                    <w:t>/</w:t>
                  </w:r>
                </w:p>
              </w:tc>
              <w:tc>
                <w:tcPr>
                  <w:tcW w:w="1310" w:type="pct"/>
                  <w:tcBorders>
                    <w:top w:val="single" w:color="auto" w:sz="4" w:space="0"/>
                    <w:bottom w:val="single" w:color="auto" w:sz="4" w:space="0"/>
                  </w:tcBorders>
                  <w:vAlign w:val="center"/>
                </w:tcPr>
                <w:p w14:paraId="766F7374">
                  <w:pPr>
                    <w:pStyle w:val="33"/>
                    <w:tabs>
                      <w:tab w:val="left" w:pos="7488"/>
                    </w:tabs>
                    <w:adjustRightInd/>
                    <w:snapToGrid/>
                    <w:spacing w:line="0" w:lineRule="atLeast"/>
                    <w:rPr>
                      <w:color w:val="auto"/>
                      <w:kern w:val="21"/>
                    </w:rPr>
                  </w:pPr>
                  <w:r>
                    <w:rPr>
                      <w:color w:val="auto"/>
                      <w:kern w:val="21"/>
                    </w:rPr>
                    <w:t>粮食初清杂质：集中收集，外售综合利用</w:t>
                  </w:r>
                </w:p>
              </w:tc>
              <w:tc>
                <w:tcPr>
                  <w:tcW w:w="1238" w:type="pct"/>
                  <w:tcBorders>
                    <w:top w:val="single" w:color="auto" w:sz="4" w:space="0"/>
                    <w:bottom w:val="single" w:color="auto" w:sz="4" w:space="0"/>
                  </w:tcBorders>
                  <w:vAlign w:val="center"/>
                </w:tcPr>
                <w:p w14:paraId="2CAD0D65">
                  <w:pPr>
                    <w:pStyle w:val="33"/>
                    <w:tabs>
                      <w:tab w:val="left" w:pos="7488"/>
                    </w:tabs>
                    <w:adjustRightInd/>
                    <w:snapToGrid/>
                    <w:spacing w:line="0" w:lineRule="atLeast"/>
                    <w:rPr>
                      <w:color w:val="auto"/>
                      <w:kern w:val="21"/>
                    </w:rPr>
                  </w:pPr>
                  <w:r>
                    <w:rPr>
                      <w:color w:val="auto"/>
                      <w:kern w:val="21"/>
                    </w:rPr>
                    <w:t>粮食初清杂质：集中收集，外售综合利用</w:t>
                  </w:r>
                </w:p>
              </w:tc>
              <w:tc>
                <w:tcPr>
                  <w:tcW w:w="481" w:type="pct"/>
                  <w:tcBorders>
                    <w:top w:val="single" w:color="auto" w:sz="4" w:space="0"/>
                    <w:bottom w:val="single" w:color="auto" w:sz="4" w:space="0"/>
                  </w:tcBorders>
                  <w:vAlign w:val="center"/>
                </w:tcPr>
                <w:p w14:paraId="05E7B708">
                  <w:pPr>
                    <w:spacing w:line="0" w:lineRule="atLeast"/>
                    <w:jc w:val="center"/>
                    <w:rPr>
                      <w:color w:val="auto"/>
                      <w:kern w:val="21"/>
                    </w:rPr>
                  </w:pPr>
                  <w:r>
                    <w:rPr>
                      <w:rFonts w:hint="eastAsia"/>
                      <w:color w:val="auto"/>
                      <w:kern w:val="21"/>
                    </w:rPr>
                    <w:t>新增初清杂质</w:t>
                  </w:r>
                </w:p>
              </w:tc>
            </w:tr>
            <w:tr w14:paraId="2178A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301" w:type="pct"/>
                  <w:vMerge w:val="continue"/>
                  <w:vAlign w:val="center"/>
                </w:tcPr>
                <w:p w14:paraId="3FBFC278">
                  <w:pPr>
                    <w:pStyle w:val="32"/>
                    <w:rPr>
                      <w:color w:val="auto"/>
                      <w:kern w:val="21"/>
                    </w:rPr>
                  </w:pPr>
                </w:p>
              </w:tc>
              <w:tc>
                <w:tcPr>
                  <w:tcW w:w="541" w:type="pct"/>
                  <w:vMerge w:val="continue"/>
                  <w:vAlign w:val="center"/>
                </w:tcPr>
                <w:p w14:paraId="3A944B50">
                  <w:pPr>
                    <w:pStyle w:val="32"/>
                    <w:rPr>
                      <w:color w:val="auto"/>
                      <w:kern w:val="21"/>
                    </w:rPr>
                  </w:pPr>
                </w:p>
              </w:tc>
              <w:tc>
                <w:tcPr>
                  <w:tcW w:w="1126" w:type="pct"/>
                  <w:tcBorders>
                    <w:top w:val="single" w:color="auto" w:sz="4" w:space="0"/>
                  </w:tcBorders>
                  <w:vAlign w:val="center"/>
                </w:tcPr>
                <w:p w14:paraId="661A0E1B">
                  <w:pPr>
                    <w:pStyle w:val="33"/>
                    <w:tabs>
                      <w:tab w:val="left" w:pos="7488"/>
                    </w:tabs>
                    <w:adjustRightInd/>
                    <w:snapToGrid/>
                    <w:spacing w:line="0" w:lineRule="atLeast"/>
                    <w:rPr>
                      <w:color w:val="auto"/>
                      <w:kern w:val="21"/>
                    </w:rPr>
                  </w:pPr>
                  <w:r>
                    <w:rPr>
                      <w:rFonts w:hint="eastAsia"/>
                      <w:color w:val="auto"/>
                      <w:kern w:val="21"/>
                    </w:rPr>
                    <w:t>/</w:t>
                  </w:r>
                </w:p>
              </w:tc>
              <w:tc>
                <w:tcPr>
                  <w:tcW w:w="1310" w:type="pct"/>
                  <w:tcBorders>
                    <w:top w:val="single" w:color="auto" w:sz="4" w:space="0"/>
                  </w:tcBorders>
                  <w:vAlign w:val="center"/>
                </w:tcPr>
                <w:p w14:paraId="109C1E0B">
                  <w:pPr>
                    <w:pStyle w:val="33"/>
                    <w:tabs>
                      <w:tab w:val="left" w:pos="7488"/>
                    </w:tabs>
                    <w:adjustRightInd/>
                    <w:snapToGrid/>
                    <w:spacing w:line="0" w:lineRule="atLeast"/>
                    <w:rPr>
                      <w:color w:val="auto"/>
                      <w:kern w:val="21"/>
                    </w:rPr>
                  </w:pPr>
                  <w:r>
                    <w:rPr>
                      <w:color w:val="auto"/>
                      <w:kern w:val="21"/>
                    </w:rPr>
                    <w:t>收集灰：集中收集，统一清运处理</w:t>
                  </w:r>
                </w:p>
              </w:tc>
              <w:tc>
                <w:tcPr>
                  <w:tcW w:w="1238" w:type="pct"/>
                  <w:tcBorders>
                    <w:top w:val="single" w:color="auto" w:sz="4" w:space="0"/>
                  </w:tcBorders>
                  <w:vAlign w:val="center"/>
                </w:tcPr>
                <w:p w14:paraId="5039459E">
                  <w:pPr>
                    <w:pStyle w:val="33"/>
                    <w:tabs>
                      <w:tab w:val="left" w:pos="7488"/>
                    </w:tabs>
                    <w:adjustRightInd/>
                    <w:snapToGrid/>
                    <w:spacing w:line="0" w:lineRule="atLeast"/>
                    <w:rPr>
                      <w:color w:val="auto"/>
                      <w:kern w:val="21"/>
                    </w:rPr>
                  </w:pPr>
                  <w:r>
                    <w:rPr>
                      <w:color w:val="auto"/>
                      <w:kern w:val="21"/>
                    </w:rPr>
                    <w:t>收集灰：集中收集，统一清运处理</w:t>
                  </w:r>
                </w:p>
              </w:tc>
              <w:tc>
                <w:tcPr>
                  <w:tcW w:w="481" w:type="pct"/>
                  <w:tcBorders>
                    <w:top w:val="single" w:color="auto" w:sz="4" w:space="0"/>
                  </w:tcBorders>
                  <w:vAlign w:val="center"/>
                </w:tcPr>
                <w:p w14:paraId="40308C06">
                  <w:pPr>
                    <w:spacing w:line="0" w:lineRule="atLeast"/>
                    <w:jc w:val="center"/>
                    <w:rPr>
                      <w:color w:val="auto"/>
                      <w:kern w:val="21"/>
                    </w:rPr>
                  </w:pPr>
                  <w:r>
                    <w:rPr>
                      <w:rFonts w:hint="eastAsia"/>
                      <w:color w:val="auto"/>
                      <w:kern w:val="21"/>
                    </w:rPr>
                    <w:t>新增布袋除尘器收尘</w:t>
                  </w:r>
                </w:p>
              </w:tc>
            </w:tr>
            <w:tr w14:paraId="1A1CA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301" w:type="pct"/>
                  <w:vMerge w:val="continue"/>
                  <w:vAlign w:val="center"/>
                </w:tcPr>
                <w:p w14:paraId="2C0EB198">
                  <w:pPr>
                    <w:pStyle w:val="32"/>
                    <w:rPr>
                      <w:color w:val="auto"/>
                      <w:kern w:val="21"/>
                    </w:rPr>
                  </w:pPr>
                </w:p>
              </w:tc>
              <w:tc>
                <w:tcPr>
                  <w:tcW w:w="541" w:type="pct"/>
                  <w:vAlign w:val="center"/>
                </w:tcPr>
                <w:p w14:paraId="4ABFCBBE">
                  <w:pPr>
                    <w:pStyle w:val="32"/>
                    <w:rPr>
                      <w:color w:val="auto"/>
                      <w:kern w:val="21"/>
                    </w:rPr>
                  </w:pPr>
                  <w:r>
                    <w:rPr>
                      <w:color w:val="auto"/>
                      <w:kern w:val="21"/>
                    </w:rPr>
                    <w:t>噪声</w:t>
                  </w:r>
                </w:p>
              </w:tc>
              <w:tc>
                <w:tcPr>
                  <w:tcW w:w="1126" w:type="pct"/>
                  <w:vAlign w:val="center"/>
                </w:tcPr>
                <w:p w14:paraId="3AF8025A">
                  <w:pPr>
                    <w:pStyle w:val="32"/>
                    <w:rPr>
                      <w:color w:val="auto"/>
                      <w:kern w:val="21"/>
                    </w:rPr>
                  </w:pPr>
                  <w:r>
                    <w:rPr>
                      <w:color w:val="auto"/>
                      <w:kern w:val="21"/>
                    </w:rPr>
                    <w:t>对产噪设备采取隔声减</w:t>
                  </w:r>
                  <w:r>
                    <w:rPr>
                      <w:rFonts w:hint="eastAsia"/>
                      <w:color w:val="auto"/>
                      <w:kern w:val="21"/>
                    </w:rPr>
                    <w:t>振</w:t>
                  </w:r>
                  <w:r>
                    <w:rPr>
                      <w:color w:val="auto"/>
                      <w:kern w:val="21"/>
                    </w:rPr>
                    <w:t>、绿化吸声等措施</w:t>
                  </w:r>
                </w:p>
              </w:tc>
              <w:tc>
                <w:tcPr>
                  <w:tcW w:w="1310" w:type="pct"/>
                  <w:vAlign w:val="center"/>
                </w:tcPr>
                <w:p w14:paraId="577F17BA">
                  <w:pPr>
                    <w:pStyle w:val="32"/>
                    <w:rPr>
                      <w:color w:val="auto"/>
                      <w:kern w:val="21"/>
                    </w:rPr>
                  </w:pPr>
                  <w:r>
                    <w:rPr>
                      <w:rFonts w:hint="eastAsia"/>
                      <w:color w:val="auto"/>
                      <w:kern w:val="21"/>
                    </w:rPr>
                    <w:t>针对锅炉，风机等产噪设备采取隔声减振，消声器等措施</w:t>
                  </w:r>
                </w:p>
              </w:tc>
              <w:tc>
                <w:tcPr>
                  <w:tcW w:w="1238" w:type="pct"/>
                  <w:vAlign w:val="center"/>
                </w:tcPr>
                <w:p w14:paraId="41BE1D07">
                  <w:pPr>
                    <w:pStyle w:val="32"/>
                    <w:rPr>
                      <w:color w:val="auto"/>
                      <w:kern w:val="21"/>
                    </w:rPr>
                  </w:pPr>
                  <w:r>
                    <w:rPr>
                      <w:color w:val="auto"/>
                      <w:kern w:val="21"/>
                    </w:rPr>
                    <w:t>对产噪设备采取隔声</w:t>
                  </w:r>
                  <w:r>
                    <w:rPr>
                      <w:rFonts w:hint="eastAsia"/>
                      <w:color w:val="auto"/>
                      <w:kern w:val="21"/>
                    </w:rPr>
                    <w:t>减振</w:t>
                  </w:r>
                  <w:r>
                    <w:rPr>
                      <w:color w:val="auto"/>
                      <w:kern w:val="21"/>
                    </w:rPr>
                    <w:t>、</w:t>
                  </w:r>
                  <w:r>
                    <w:rPr>
                      <w:rFonts w:hint="eastAsia"/>
                      <w:color w:val="auto"/>
                      <w:kern w:val="21"/>
                    </w:rPr>
                    <w:t>安装消声器、</w:t>
                  </w:r>
                  <w:r>
                    <w:rPr>
                      <w:color w:val="auto"/>
                      <w:kern w:val="21"/>
                    </w:rPr>
                    <w:t>绿化吸声等措施</w:t>
                  </w:r>
                </w:p>
              </w:tc>
              <w:tc>
                <w:tcPr>
                  <w:tcW w:w="481" w:type="pct"/>
                  <w:vAlign w:val="center"/>
                </w:tcPr>
                <w:p w14:paraId="356C62F2">
                  <w:pPr>
                    <w:jc w:val="center"/>
                    <w:rPr>
                      <w:color w:val="auto"/>
                      <w:kern w:val="21"/>
                    </w:rPr>
                  </w:pPr>
                  <w:r>
                    <w:rPr>
                      <w:rFonts w:hint="eastAsia"/>
                      <w:color w:val="auto"/>
                      <w:kern w:val="21"/>
                    </w:rPr>
                    <w:t>新增锅炉、风机噪声</w:t>
                  </w:r>
                </w:p>
              </w:tc>
            </w:tr>
            <w:tr w14:paraId="500C7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301" w:type="pct"/>
                  <w:vMerge w:val="continue"/>
                  <w:vAlign w:val="center"/>
                </w:tcPr>
                <w:p w14:paraId="58A8B0F8">
                  <w:pPr>
                    <w:pStyle w:val="32"/>
                    <w:rPr>
                      <w:color w:val="auto"/>
                      <w:kern w:val="21"/>
                    </w:rPr>
                  </w:pPr>
                </w:p>
              </w:tc>
              <w:tc>
                <w:tcPr>
                  <w:tcW w:w="541" w:type="pct"/>
                  <w:vAlign w:val="center"/>
                </w:tcPr>
                <w:p w14:paraId="5A99F6DB">
                  <w:pPr>
                    <w:pStyle w:val="32"/>
                    <w:rPr>
                      <w:color w:val="auto"/>
                      <w:kern w:val="21"/>
                    </w:rPr>
                  </w:pPr>
                  <w:r>
                    <w:rPr>
                      <w:color w:val="auto"/>
                      <w:kern w:val="21"/>
                    </w:rPr>
                    <w:t>土壤与地下水</w:t>
                  </w:r>
                </w:p>
              </w:tc>
              <w:tc>
                <w:tcPr>
                  <w:tcW w:w="1126" w:type="pct"/>
                  <w:vAlign w:val="center"/>
                </w:tcPr>
                <w:p w14:paraId="5FA00473">
                  <w:pPr>
                    <w:pStyle w:val="32"/>
                    <w:rPr>
                      <w:color w:val="auto"/>
                      <w:kern w:val="21"/>
                    </w:rPr>
                  </w:pPr>
                  <w:r>
                    <w:rPr>
                      <w:color w:val="auto"/>
                      <w:kern w:val="21"/>
                    </w:rPr>
                    <w:t>分区防渗，化粪池采取重点防渗，其他区域为一般防渗</w:t>
                  </w:r>
                </w:p>
              </w:tc>
              <w:tc>
                <w:tcPr>
                  <w:tcW w:w="1310" w:type="pct"/>
                  <w:vAlign w:val="center"/>
                </w:tcPr>
                <w:p w14:paraId="18D7A844">
                  <w:pPr>
                    <w:pStyle w:val="32"/>
                    <w:rPr>
                      <w:color w:val="auto"/>
                      <w:kern w:val="21"/>
                    </w:rPr>
                  </w:pPr>
                  <w:r>
                    <w:rPr>
                      <w:rFonts w:hint="eastAsia"/>
                      <w:bCs/>
                      <w:color w:val="auto"/>
                      <w:kern w:val="21"/>
                    </w:rPr>
                    <w:t>依托原有无变化</w:t>
                  </w:r>
                </w:p>
              </w:tc>
              <w:tc>
                <w:tcPr>
                  <w:tcW w:w="1238" w:type="pct"/>
                  <w:vAlign w:val="center"/>
                </w:tcPr>
                <w:p w14:paraId="245EEF2E">
                  <w:pPr>
                    <w:pStyle w:val="32"/>
                    <w:rPr>
                      <w:color w:val="auto"/>
                      <w:kern w:val="21"/>
                    </w:rPr>
                  </w:pPr>
                  <w:r>
                    <w:rPr>
                      <w:color w:val="auto"/>
                      <w:kern w:val="21"/>
                    </w:rPr>
                    <w:t>分区防渗，化粪池采取重点防渗，其他区域为一般防渗</w:t>
                  </w:r>
                </w:p>
              </w:tc>
              <w:tc>
                <w:tcPr>
                  <w:tcW w:w="481" w:type="pct"/>
                  <w:vAlign w:val="center"/>
                </w:tcPr>
                <w:p w14:paraId="690A6D35">
                  <w:pPr>
                    <w:jc w:val="center"/>
                    <w:rPr>
                      <w:color w:val="auto"/>
                      <w:kern w:val="21"/>
                    </w:rPr>
                  </w:pPr>
                  <w:r>
                    <w:rPr>
                      <w:color w:val="auto"/>
                      <w:kern w:val="21"/>
                    </w:rPr>
                    <w:t>依托</w:t>
                  </w:r>
                </w:p>
              </w:tc>
            </w:tr>
            <w:tr w14:paraId="74234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301" w:type="pct"/>
                  <w:vMerge w:val="continue"/>
                  <w:vAlign w:val="center"/>
                </w:tcPr>
                <w:p w14:paraId="0A62509D">
                  <w:pPr>
                    <w:pStyle w:val="32"/>
                    <w:rPr>
                      <w:color w:val="auto"/>
                      <w:kern w:val="21"/>
                    </w:rPr>
                  </w:pPr>
                </w:p>
              </w:tc>
              <w:tc>
                <w:tcPr>
                  <w:tcW w:w="541" w:type="pct"/>
                  <w:vAlign w:val="center"/>
                </w:tcPr>
                <w:p w14:paraId="78BB4902">
                  <w:pPr>
                    <w:pStyle w:val="32"/>
                    <w:rPr>
                      <w:color w:val="auto"/>
                      <w:kern w:val="21"/>
                    </w:rPr>
                  </w:pPr>
                  <w:r>
                    <w:rPr>
                      <w:color w:val="auto"/>
                      <w:kern w:val="21"/>
                    </w:rPr>
                    <w:t>环境风险防控</w:t>
                  </w:r>
                </w:p>
              </w:tc>
              <w:tc>
                <w:tcPr>
                  <w:tcW w:w="1126" w:type="pct"/>
                  <w:vAlign w:val="center"/>
                </w:tcPr>
                <w:p w14:paraId="43ECD7D9">
                  <w:pPr>
                    <w:pStyle w:val="32"/>
                    <w:rPr>
                      <w:color w:val="auto"/>
                      <w:kern w:val="21"/>
                    </w:rPr>
                  </w:pPr>
                  <w:r>
                    <w:rPr>
                      <w:rFonts w:hint="eastAsia"/>
                      <w:color w:val="auto"/>
                      <w:kern w:val="21"/>
                    </w:rPr>
                    <w:t>/</w:t>
                  </w:r>
                </w:p>
              </w:tc>
              <w:tc>
                <w:tcPr>
                  <w:tcW w:w="1310" w:type="pct"/>
                  <w:vAlign w:val="center"/>
                </w:tcPr>
                <w:p w14:paraId="70217F10">
                  <w:pPr>
                    <w:pStyle w:val="32"/>
                    <w:rPr>
                      <w:color w:val="auto"/>
                      <w:kern w:val="21"/>
                    </w:rPr>
                  </w:pPr>
                  <w:r>
                    <w:rPr>
                      <w:color w:val="auto"/>
                      <w:kern w:val="21"/>
                    </w:rPr>
                    <w:t>增添</w:t>
                  </w:r>
                  <w:r>
                    <w:rPr>
                      <w:rFonts w:hint="eastAsia"/>
                      <w:color w:val="auto"/>
                      <w:kern w:val="21"/>
                    </w:rPr>
                    <w:t>灭火器、消防衣、防尘口罩等</w:t>
                  </w:r>
                </w:p>
              </w:tc>
              <w:tc>
                <w:tcPr>
                  <w:tcW w:w="1238" w:type="pct"/>
                  <w:vAlign w:val="center"/>
                </w:tcPr>
                <w:p w14:paraId="501483D8">
                  <w:pPr>
                    <w:pStyle w:val="32"/>
                    <w:rPr>
                      <w:color w:val="auto"/>
                      <w:kern w:val="21"/>
                    </w:rPr>
                  </w:pPr>
                  <w:r>
                    <w:rPr>
                      <w:color w:val="auto"/>
                      <w:kern w:val="21"/>
                    </w:rPr>
                    <w:t>增添</w:t>
                  </w:r>
                  <w:r>
                    <w:rPr>
                      <w:rFonts w:hint="eastAsia"/>
                      <w:color w:val="auto"/>
                      <w:kern w:val="21"/>
                    </w:rPr>
                    <w:t>灭火器、消防衣、防尘口罩等</w:t>
                  </w:r>
                </w:p>
              </w:tc>
              <w:tc>
                <w:tcPr>
                  <w:tcW w:w="481" w:type="pct"/>
                  <w:vAlign w:val="center"/>
                </w:tcPr>
                <w:p w14:paraId="3E12D933">
                  <w:pPr>
                    <w:pStyle w:val="32"/>
                    <w:rPr>
                      <w:color w:val="auto"/>
                      <w:kern w:val="21"/>
                    </w:rPr>
                  </w:pPr>
                  <w:r>
                    <w:rPr>
                      <w:color w:val="auto"/>
                      <w:kern w:val="21"/>
                    </w:rPr>
                    <w:t>/</w:t>
                  </w:r>
                </w:p>
              </w:tc>
            </w:tr>
          </w:tbl>
          <w:p w14:paraId="08E63E79">
            <w:pPr>
              <w:spacing w:line="360" w:lineRule="auto"/>
              <w:ind w:firstLine="480" w:firstLineChars="200"/>
              <w:rPr>
                <w:bCs/>
                <w:color w:val="auto"/>
                <w:sz w:val="24"/>
              </w:rPr>
            </w:pPr>
            <w:r>
              <w:rPr>
                <w:bCs/>
                <w:color w:val="auto"/>
                <w:sz w:val="24"/>
              </w:rPr>
              <w:t>2、产品方案</w:t>
            </w:r>
          </w:p>
          <w:p w14:paraId="03F75AFD">
            <w:pPr>
              <w:jc w:val="center"/>
              <w:rPr>
                <w:b/>
                <w:bCs/>
                <w:color w:val="auto"/>
                <w:sz w:val="24"/>
              </w:rPr>
            </w:pPr>
            <w:r>
              <w:rPr>
                <w:b/>
                <w:bCs/>
                <w:color w:val="auto"/>
                <w:sz w:val="24"/>
              </w:rPr>
              <w:t>表2-2  本项目主要产品及产能一览表</w:t>
            </w:r>
            <w:r>
              <w:rPr>
                <w:rFonts w:hint="eastAsia"/>
                <w:b/>
                <w:bCs/>
                <w:color w:val="auto"/>
                <w:sz w:val="24"/>
              </w:rPr>
              <w:t xml:space="preserve">  单位：t/a</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
              <w:gridCol w:w="1949"/>
              <w:gridCol w:w="1423"/>
              <w:gridCol w:w="1423"/>
              <w:gridCol w:w="1423"/>
              <w:gridCol w:w="1378"/>
            </w:tblGrid>
            <w:tr w14:paraId="528D8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6" w:type="pct"/>
                  <w:vAlign w:val="center"/>
                </w:tcPr>
                <w:p w14:paraId="436A43C6">
                  <w:pPr>
                    <w:pStyle w:val="32"/>
                    <w:rPr>
                      <w:color w:val="auto"/>
                    </w:rPr>
                  </w:pPr>
                  <w:r>
                    <w:rPr>
                      <w:rFonts w:hint="eastAsia"/>
                      <w:color w:val="auto"/>
                    </w:rPr>
                    <w:t>序号</w:t>
                  </w:r>
                </w:p>
              </w:tc>
              <w:tc>
                <w:tcPr>
                  <w:tcW w:w="1148" w:type="pct"/>
                  <w:vAlign w:val="center"/>
                </w:tcPr>
                <w:p w14:paraId="5EB6CEAE">
                  <w:pPr>
                    <w:pStyle w:val="32"/>
                    <w:rPr>
                      <w:color w:val="auto"/>
                    </w:rPr>
                  </w:pPr>
                  <w:r>
                    <w:rPr>
                      <w:rFonts w:hint="eastAsia"/>
                      <w:color w:val="auto"/>
                    </w:rPr>
                    <w:t>产品名称</w:t>
                  </w:r>
                </w:p>
              </w:tc>
              <w:tc>
                <w:tcPr>
                  <w:tcW w:w="838" w:type="pct"/>
                  <w:vAlign w:val="center"/>
                </w:tcPr>
                <w:p w14:paraId="6131505E">
                  <w:pPr>
                    <w:pStyle w:val="32"/>
                    <w:rPr>
                      <w:color w:val="auto"/>
                    </w:rPr>
                  </w:pPr>
                  <w:r>
                    <w:rPr>
                      <w:rFonts w:hint="eastAsia"/>
                      <w:color w:val="auto"/>
                    </w:rPr>
                    <w:t>改建前产量t/a</w:t>
                  </w:r>
                </w:p>
              </w:tc>
              <w:tc>
                <w:tcPr>
                  <w:tcW w:w="838" w:type="pct"/>
                  <w:vAlign w:val="center"/>
                </w:tcPr>
                <w:p w14:paraId="6AB8EEA0">
                  <w:pPr>
                    <w:pStyle w:val="32"/>
                    <w:rPr>
                      <w:color w:val="auto"/>
                    </w:rPr>
                  </w:pPr>
                  <w:r>
                    <w:rPr>
                      <w:rFonts w:hint="eastAsia"/>
                      <w:color w:val="auto"/>
                    </w:rPr>
                    <w:t>本项目产量t/a</w:t>
                  </w:r>
                </w:p>
              </w:tc>
              <w:tc>
                <w:tcPr>
                  <w:tcW w:w="838" w:type="pct"/>
                  <w:vAlign w:val="center"/>
                </w:tcPr>
                <w:p w14:paraId="2623DB8E">
                  <w:pPr>
                    <w:pStyle w:val="32"/>
                    <w:rPr>
                      <w:color w:val="auto"/>
                    </w:rPr>
                  </w:pPr>
                  <w:r>
                    <w:rPr>
                      <w:rFonts w:hint="eastAsia"/>
                      <w:color w:val="auto"/>
                    </w:rPr>
                    <w:t>改建后全厂产量t/a</w:t>
                  </w:r>
                </w:p>
              </w:tc>
              <w:tc>
                <w:tcPr>
                  <w:tcW w:w="809" w:type="pct"/>
                  <w:vAlign w:val="center"/>
                </w:tcPr>
                <w:p w14:paraId="48AA911B">
                  <w:pPr>
                    <w:pStyle w:val="32"/>
                    <w:rPr>
                      <w:color w:val="auto"/>
                    </w:rPr>
                  </w:pPr>
                  <w:r>
                    <w:rPr>
                      <w:rFonts w:hint="eastAsia"/>
                      <w:color w:val="auto"/>
                    </w:rPr>
                    <w:t>备注</w:t>
                  </w:r>
                </w:p>
              </w:tc>
            </w:tr>
            <w:tr w14:paraId="0096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6" w:type="pct"/>
                  <w:vAlign w:val="center"/>
                </w:tcPr>
                <w:p w14:paraId="1B73A529">
                  <w:pPr>
                    <w:pStyle w:val="32"/>
                    <w:rPr>
                      <w:color w:val="auto"/>
                    </w:rPr>
                  </w:pPr>
                  <w:r>
                    <w:rPr>
                      <w:rFonts w:hint="eastAsia"/>
                      <w:color w:val="auto"/>
                    </w:rPr>
                    <w:t>1</w:t>
                  </w:r>
                </w:p>
              </w:tc>
              <w:tc>
                <w:tcPr>
                  <w:tcW w:w="1148" w:type="pct"/>
                  <w:vAlign w:val="center"/>
                </w:tcPr>
                <w:p w14:paraId="3E93E0F9">
                  <w:pPr>
                    <w:pStyle w:val="32"/>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商品粮小麦</w:t>
                  </w:r>
                </w:p>
              </w:tc>
              <w:tc>
                <w:tcPr>
                  <w:tcW w:w="838" w:type="pct"/>
                  <w:vAlign w:val="center"/>
                </w:tcPr>
                <w:p w14:paraId="339B3D77">
                  <w:pPr>
                    <w:pStyle w:val="32"/>
                    <w:rPr>
                      <w:color w:val="auto"/>
                    </w:rPr>
                  </w:pPr>
                  <w:r>
                    <w:rPr>
                      <w:rFonts w:hint="eastAsia"/>
                      <w:color w:val="auto"/>
                    </w:rPr>
                    <w:t>1000</w:t>
                  </w:r>
                </w:p>
              </w:tc>
              <w:tc>
                <w:tcPr>
                  <w:tcW w:w="838" w:type="pct"/>
                  <w:vAlign w:val="center"/>
                </w:tcPr>
                <w:p w14:paraId="19E4A216">
                  <w:pPr>
                    <w:pStyle w:val="32"/>
                    <w:rPr>
                      <w:rFonts w:hint="default" w:eastAsia="宋体"/>
                      <w:color w:val="auto"/>
                      <w:lang w:val="en-US" w:eastAsia="zh-CN"/>
                    </w:rPr>
                  </w:pPr>
                  <w:r>
                    <w:rPr>
                      <w:rFonts w:hint="eastAsia"/>
                      <w:color w:val="auto"/>
                      <w:lang w:val="en-US" w:eastAsia="zh-CN"/>
                    </w:rPr>
                    <w:t>600</w:t>
                  </w:r>
                </w:p>
              </w:tc>
              <w:tc>
                <w:tcPr>
                  <w:tcW w:w="838" w:type="pct"/>
                  <w:vAlign w:val="center"/>
                </w:tcPr>
                <w:p w14:paraId="4A2A8A72">
                  <w:pPr>
                    <w:pStyle w:val="32"/>
                    <w:rPr>
                      <w:rFonts w:hint="default" w:eastAsia="宋体"/>
                      <w:color w:val="auto"/>
                      <w:lang w:val="en-US" w:eastAsia="zh-CN"/>
                    </w:rPr>
                  </w:pPr>
                  <w:r>
                    <w:rPr>
                      <w:rFonts w:hint="eastAsia"/>
                      <w:color w:val="auto"/>
                      <w:lang w:val="en-US" w:eastAsia="zh-CN"/>
                    </w:rPr>
                    <w:t>1600</w:t>
                  </w:r>
                </w:p>
              </w:tc>
              <w:tc>
                <w:tcPr>
                  <w:tcW w:w="809" w:type="pct"/>
                  <w:vAlign w:val="center"/>
                </w:tcPr>
                <w:p w14:paraId="5D0E1705">
                  <w:pPr>
                    <w:widowControl/>
                    <w:jc w:val="center"/>
                    <w:rPr>
                      <w:color w:val="auto"/>
                    </w:rPr>
                  </w:pPr>
                  <w:r>
                    <w:rPr>
                      <w:rFonts w:hint="eastAsia" w:ascii="宋体" w:hAnsi="宋体" w:cs="宋体"/>
                      <w:color w:val="auto"/>
                      <w:kern w:val="0"/>
                      <w:szCs w:val="21"/>
                      <w:lang w:bidi="ar"/>
                    </w:rPr>
                    <w:t>含水率</w:t>
                  </w:r>
                  <w:r>
                    <w:rPr>
                      <w:color w:val="auto"/>
                      <w:kern w:val="0"/>
                      <w:szCs w:val="21"/>
                      <w:lang w:bidi="ar"/>
                    </w:rPr>
                    <w:t>≤14%</w:t>
                  </w:r>
                </w:p>
              </w:tc>
            </w:tr>
            <w:tr w14:paraId="0162E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526" w:type="pct"/>
                  <w:vAlign w:val="center"/>
                </w:tcPr>
                <w:p w14:paraId="6C5B1671">
                  <w:pPr>
                    <w:pStyle w:val="32"/>
                    <w:rPr>
                      <w:rFonts w:hint="eastAsia" w:eastAsia="宋体"/>
                      <w:color w:val="auto"/>
                      <w:lang w:val="en-US" w:eastAsia="zh-CN"/>
                    </w:rPr>
                  </w:pPr>
                  <w:r>
                    <w:rPr>
                      <w:rFonts w:hint="eastAsia"/>
                      <w:color w:val="auto"/>
                      <w:lang w:val="en-US" w:eastAsia="zh-CN"/>
                    </w:rPr>
                    <w:t>2</w:t>
                  </w:r>
                </w:p>
              </w:tc>
              <w:tc>
                <w:tcPr>
                  <w:tcW w:w="1148" w:type="pct"/>
                  <w:vAlign w:val="center"/>
                </w:tcPr>
                <w:p w14:paraId="63353B41">
                  <w:pPr>
                    <w:pStyle w:val="32"/>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商品粮</w:t>
                  </w:r>
                  <w:r>
                    <w:rPr>
                      <w:rFonts w:hint="default" w:ascii="Times New Roman" w:hAnsi="Times New Roman" w:cs="Times New Roman"/>
                      <w:color w:val="auto"/>
                      <w:lang w:val="en-US" w:eastAsia="zh-CN"/>
                    </w:rPr>
                    <w:t>大豆</w:t>
                  </w:r>
                </w:p>
              </w:tc>
              <w:tc>
                <w:tcPr>
                  <w:tcW w:w="838" w:type="pct"/>
                  <w:vAlign w:val="center"/>
                </w:tcPr>
                <w:p w14:paraId="5620341D">
                  <w:pPr>
                    <w:pStyle w:val="32"/>
                    <w:rPr>
                      <w:rFonts w:hint="default" w:eastAsia="宋体"/>
                      <w:color w:val="auto"/>
                      <w:lang w:val="en-US" w:eastAsia="zh-CN"/>
                    </w:rPr>
                  </w:pPr>
                  <w:r>
                    <w:rPr>
                      <w:rFonts w:hint="eastAsia"/>
                      <w:color w:val="auto"/>
                      <w:lang w:val="en-US" w:eastAsia="zh-CN"/>
                    </w:rPr>
                    <w:t>200</w:t>
                  </w:r>
                </w:p>
              </w:tc>
              <w:tc>
                <w:tcPr>
                  <w:tcW w:w="838" w:type="pct"/>
                  <w:vAlign w:val="center"/>
                </w:tcPr>
                <w:p w14:paraId="54BD28D8">
                  <w:pPr>
                    <w:pStyle w:val="32"/>
                    <w:rPr>
                      <w:rFonts w:hint="default" w:eastAsia="宋体"/>
                      <w:color w:val="auto"/>
                      <w:lang w:val="en-US" w:eastAsia="zh-CN"/>
                    </w:rPr>
                  </w:pPr>
                  <w:r>
                    <w:rPr>
                      <w:rFonts w:hint="eastAsia"/>
                      <w:color w:val="auto"/>
                      <w:lang w:val="en-US" w:eastAsia="zh-CN"/>
                    </w:rPr>
                    <w:t>250</w:t>
                  </w:r>
                </w:p>
              </w:tc>
              <w:tc>
                <w:tcPr>
                  <w:tcW w:w="838" w:type="pct"/>
                  <w:vAlign w:val="center"/>
                </w:tcPr>
                <w:p w14:paraId="6D42E115">
                  <w:pPr>
                    <w:pStyle w:val="32"/>
                    <w:rPr>
                      <w:rFonts w:hint="default" w:eastAsia="宋体"/>
                      <w:color w:val="auto"/>
                      <w:lang w:val="en-US" w:eastAsia="zh-CN"/>
                    </w:rPr>
                  </w:pPr>
                  <w:r>
                    <w:rPr>
                      <w:rFonts w:hint="eastAsia"/>
                      <w:color w:val="auto"/>
                      <w:lang w:val="en-US" w:eastAsia="zh-CN"/>
                    </w:rPr>
                    <w:t>450</w:t>
                  </w:r>
                </w:p>
              </w:tc>
              <w:tc>
                <w:tcPr>
                  <w:tcW w:w="809" w:type="pct"/>
                  <w:vAlign w:val="center"/>
                </w:tcPr>
                <w:p w14:paraId="44B4D9CB">
                  <w:pPr>
                    <w:widowControl/>
                    <w:jc w:val="center"/>
                    <w:rPr>
                      <w:rFonts w:hint="eastAsia" w:ascii="宋体" w:hAnsi="宋体" w:cs="宋体"/>
                      <w:color w:val="auto"/>
                      <w:kern w:val="0"/>
                      <w:szCs w:val="21"/>
                      <w:lang w:bidi="ar"/>
                    </w:rPr>
                  </w:pPr>
                  <w:r>
                    <w:rPr>
                      <w:rFonts w:hint="eastAsia" w:ascii="宋体" w:hAnsi="宋体" w:cs="宋体"/>
                      <w:color w:val="auto"/>
                      <w:kern w:val="0"/>
                      <w:szCs w:val="21"/>
                      <w:lang w:bidi="ar"/>
                    </w:rPr>
                    <w:t>含水率</w:t>
                  </w:r>
                  <w:r>
                    <w:rPr>
                      <w:color w:val="auto"/>
                      <w:kern w:val="0"/>
                      <w:szCs w:val="21"/>
                      <w:lang w:bidi="ar"/>
                    </w:rPr>
                    <w:t>≤14%</w:t>
                  </w:r>
                </w:p>
              </w:tc>
            </w:tr>
            <w:tr w14:paraId="0EE1A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6" w:type="pct"/>
                  <w:vAlign w:val="center"/>
                </w:tcPr>
                <w:p w14:paraId="657EEC06">
                  <w:pPr>
                    <w:pStyle w:val="32"/>
                    <w:rPr>
                      <w:rFonts w:hint="eastAsia" w:eastAsia="宋体"/>
                      <w:color w:val="auto"/>
                      <w:lang w:val="en-US" w:eastAsia="zh-CN"/>
                    </w:rPr>
                  </w:pPr>
                  <w:r>
                    <w:rPr>
                      <w:rFonts w:hint="eastAsia"/>
                      <w:color w:val="auto"/>
                      <w:lang w:val="en-US" w:eastAsia="zh-CN"/>
                    </w:rPr>
                    <w:t>3</w:t>
                  </w:r>
                </w:p>
              </w:tc>
              <w:tc>
                <w:tcPr>
                  <w:tcW w:w="1148" w:type="pct"/>
                  <w:vAlign w:val="center"/>
                </w:tcPr>
                <w:p w14:paraId="2985860C">
                  <w:pPr>
                    <w:pStyle w:val="32"/>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商品粮</w:t>
                  </w:r>
                  <w:r>
                    <w:rPr>
                      <w:rFonts w:hint="default" w:ascii="Times New Roman" w:hAnsi="Times New Roman" w:cs="Times New Roman"/>
                      <w:color w:val="auto"/>
                      <w:lang w:val="en-US" w:eastAsia="zh-CN"/>
                    </w:rPr>
                    <w:t>玉米</w:t>
                  </w:r>
                </w:p>
              </w:tc>
              <w:tc>
                <w:tcPr>
                  <w:tcW w:w="838" w:type="pct"/>
                  <w:vAlign w:val="center"/>
                </w:tcPr>
                <w:p w14:paraId="4D135A16">
                  <w:pPr>
                    <w:pStyle w:val="32"/>
                    <w:rPr>
                      <w:rFonts w:hint="default" w:eastAsia="宋体"/>
                      <w:color w:val="auto"/>
                      <w:lang w:val="en-US" w:eastAsia="zh-CN"/>
                    </w:rPr>
                  </w:pPr>
                  <w:r>
                    <w:rPr>
                      <w:rFonts w:hint="eastAsia"/>
                      <w:color w:val="auto"/>
                      <w:lang w:val="en-US" w:eastAsia="zh-CN"/>
                    </w:rPr>
                    <w:t>1000</w:t>
                  </w:r>
                </w:p>
              </w:tc>
              <w:tc>
                <w:tcPr>
                  <w:tcW w:w="838" w:type="pct"/>
                  <w:vAlign w:val="center"/>
                </w:tcPr>
                <w:p w14:paraId="033BA39B">
                  <w:pPr>
                    <w:pStyle w:val="32"/>
                    <w:rPr>
                      <w:rFonts w:hint="default" w:eastAsia="宋体"/>
                      <w:color w:val="auto"/>
                      <w:lang w:val="en-US" w:eastAsia="zh-CN"/>
                    </w:rPr>
                  </w:pPr>
                  <w:r>
                    <w:rPr>
                      <w:rFonts w:hint="eastAsia"/>
                      <w:color w:val="auto"/>
                      <w:lang w:val="en-US" w:eastAsia="zh-CN"/>
                    </w:rPr>
                    <w:t>3000</w:t>
                  </w:r>
                </w:p>
              </w:tc>
              <w:tc>
                <w:tcPr>
                  <w:tcW w:w="838" w:type="pct"/>
                  <w:vAlign w:val="center"/>
                </w:tcPr>
                <w:p w14:paraId="5C5C7C24">
                  <w:pPr>
                    <w:pStyle w:val="32"/>
                    <w:rPr>
                      <w:rFonts w:hint="default" w:eastAsia="宋体"/>
                      <w:color w:val="auto"/>
                      <w:lang w:val="en-US" w:eastAsia="zh-CN"/>
                    </w:rPr>
                  </w:pPr>
                  <w:r>
                    <w:rPr>
                      <w:rFonts w:hint="eastAsia"/>
                      <w:color w:val="auto"/>
                      <w:lang w:val="en-US" w:eastAsia="zh-CN"/>
                    </w:rPr>
                    <w:t>4000</w:t>
                  </w:r>
                </w:p>
              </w:tc>
              <w:tc>
                <w:tcPr>
                  <w:tcW w:w="809" w:type="pct"/>
                  <w:vAlign w:val="center"/>
                </w:tcPr>
                <w:p w14:paraId="550DAE78">
                  <w:pPr>
                    <w:widowControl/>
                    <w:jc w:val="center"/>
                    <w:rPr>
                      <w:rFonts w:hint="eastAsia" w:ascii="宋体" w:hAnsi="宋体" w:cs="宋体"/>
                      <w:color w:val="auto"/>
                      <w:kern w:val="0"/>
                      <w:szCs w:val="21"/>
                      <w:lang w:bidi="ar"/>
                    </w:rPr>
                  </w:pPr>
                  <w:r>
                    <w:rPr>
                      <w:rFonts w:hint="eastAsia" w:ascii="宋体" w:hAnsi="宋体" w:cs="宋体"/>
                      <w:color w:val="auto"/>
                      <w:kern w:val="0"/>
                      <w:szCs w:val="21"/>
                      <w:lang w:bidi="ar"/>
                    </w:rPr>
                    <w:t>含水率</w:t>
                  </w:r>
                  <w:r>
                    <w:rPr>
                      <w:color w:val="auto"/>
                      <w:kern w:val="0"/>
                      <w:szCs w:val="21"/>
                      <w:lang w:bidi="ar"/>
                    </w:rPr>
                    <w:t>≤14%</w:t>
                  </w:r>
                </w:p>
              </w:tc>
            </w:tr>
            <w:tr w14:paraId="6C0CF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6" w:type="pct"/>
                  <w:vAlign w:val="center"/>
                </w:tcPr>
                <w:p w14:paraId="4560D6A5">
                  <w:pPr>
                    <w:pStyle w:val="32"/>
                    <w:rPr>
                      <w:rFonts w:hint="default"/>
                      <w:color w:val="auto"/>
                      <w:lang w:val="en-US" w:eastAsia="zh-CN"/>
                    </w:rPr>
                  </w:pPr>
                  <w:r>
                    <w:rPr>
                      <w:rFonts w:hint="eastAsia"/>
                      <w:color w:val="auto"/>
                      <w:lang w:val="en-US" w:eastAsia="zh-CN"/>
                    </w:rPr>
                    <w:t>4</w:t>
                  </w:r>
                </w:p>
              </w:tc>
              <w:tc>
                <w:tcPr>
                  <w:tcW w:w="1148" w:type="pct"/>
                  <w:vAlign w:val="center"/>
                </w:tcPr>
                <w:p w14:paraId="4DAC4C3A">
                  <w:pPr>
                    <w:pStyle w:val="32"/>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小麦原种</w:t>
                  </w:r>
                </w:p>
              </w:tc>
              <w:tc>
                <w:tcPr>
                  <w:tcW w:w="838" w:type="pct"/>
                  <w:vAlign w:val="center"/>
                </w:tcPr>
                <w:p w14:paraId="257E4CE1">
                  <w:pPr>
                    <w:pStyle w:val="32"/>
                    <w:rPr>
                      <w:rFonts w:hint="default"/>
                      <w:color w:val="auto"/>
                      <w:lang w:val="en-US" w:eastAsia="zh-CN"/>
                    </w:rPr>
                  </w:pPr>
                  <w:r>
                    <w:rPr>
                      <w:rFonts w:hint="eastAsia"/>
                      <w:color w:val="auto"/>
                      <w:lang w:val="en-US" w:eastAsia="zh-CN"/>
                    </w:rPr>
                    <w:t>/</w:t>
                  </w:r>
                </w:p>
              </w:tc>
              <w:tc>
                <w:tcPr>
                  <w:tcW w:w="838" w:type="pct"/>
                  <w:vAlign w:val="center"/>
                </w:tcPr>
                <w:p w14:paraId="26902880">
                  <w:pPr>
                    <w:pStyle w:val="32"/>
                    <w:rPr>
                      <w:rFonts w:hint="default"/>
                      <w:color w:val="auto"/>
                      <w:lang w:val="en-US" w:eastAsia="zh-CN"/>
                    </w:rPr>
                  </w:pPr>
                  <w:r>
                    <w:rPr>
                      <w:rFonts w:hint="eastAsia"/>
                      <w:color w:val="auto"/>
                      <w:lang w:val="en-US" w:eastAsia="zh-CN"/>
                    </w:rPr>
                    <w:t>2400</w:t>
                  </w:r>
                </w:p>
              </w:tc>
              <w:tc>
                <w:tcPr>
                  <w:tcW w:w="838" w:type="pct"/>
                  <w:vAlign w:val="center"/>
                </w:tcPr>
                <w:p w14:paraId="717615AC">
                  <w:pPr>
                    <w:pStyle w:val="32"/>
                    <w:rPr>
                      <w:rFonts w:hint="default"/>
                      <w:color w:val="auto"/>
                      <w:lang w:val="en-US" w:eastAsia="zh-CN"/>
                    </w:rPr>
                  </w:pPr>
                  <w:r>
                    <w:rPr>
                      <w:rFonts w:hint="eastAsia"/>
                      <w:color w:val="auto"/>
                      <w:lang w:val="en-US" w:eastAsia="zh-CN"/>
                    </w:rPr>
                    <w:t>2400</w:t>
                  </w:r>
                </w:p>
              </w:tc>
              <w:tc>
                <w:tcPr>
                  <w:tcW w:w="809" w:type="pct"/>
                  <w:vAlign w:val="center"/>
                </w:tcPr>
                <w:p w14:paraId="0AFD57CF">
                  <w:pPr>
                    <w:widowControl/>
                    <w:jc w:val="center"/>
                    <w:rPr>
                      <w:rFonts w:hint="eastAsia" w:ascii="宋体" w:hAnsi="宋体" w:cs="宋体"/>
                      <w:color w:val="auto"/>
                      <w:kern w:val="0"/>
                      <w:szCs w:val="21"/>
                      <w:lang w:bidi="ar"/>
                    </w:rPr>
                  </w:pPr>
                  <w:r>
                    <w:rPr>
                      <w:rFonts w:hint="eastAsia" w:ascii="宋体" w:hAnsi="宋体" w:cs="宋体"/>
                      <w:color w:val="auto"/>
                      <w:kern w:val="0"/>
                      <w:szCs w:val="21"/>
                      <w:lang w:bidi="ar"/>
                    </w:rPr>
                    <w:t>含水率</w:t>
                  </w:r>
                  <w:r>
                    <w:rPr>
                      <w:color w:val="auto"/>
                      <w:kern w:val="0"/>
                      <w:szCs w:val="21"/>
                      <w:lang w:bidi="ar"/>
                    </w:rPr>
                    <w:t>≤14%</w:t>
                  </w:r>
                </w:p>
              </w:tc>
            </w:tr>
            <w:tr w14:paraId="17716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6" w:type="pct"/>
                  <w:vAlign w:val="center"/>
                </w:tcPr>
                <w:p w14:paraId="1849EF7E">
                  <w:pPr>
                    <w:pStyle w:val="32"/>
                    <w:rPr>
                      <w:rFonts w:hint="eastAsia" w:eastAsia="宋体"/>
                      <w:color w:val="auto"/>
                      <w:lang w:eastAsia="zh-CN"/>
                    </w:rPr>
                  </w:pPr>
                  <w:r>
                    <w:rPr>
                      <w:rFonts w:hint="eastAsia"/>
                      <w:color w:val="auto"/>
                      <w:lang w:eastAsia="zh-CN"/>
                    </w:rPr>
                    <w:t>5</w:t>
                  </w:r>
                </w:p>
              </w:tc>
              <w:tc>
                <w:tcPr>
                  <w:tcW w:w="1148" w:type="pct"/>
                  <w:vAlign w:val="center"/>
                </w:tcPr>
                <w:p w14:paraId="6775797B">
                  <w:pPr>
                    <w:pStyle w:val="32"/>
                    <w:rPr>
                      <w:rFonts w:hint="default" w:ascii="Times New Roman" w:hAnsi="Times New Roman" w:cs="Times New Roman"/>
                      <w:color w:val="auto"/>
                    </w:rPr>
                  </w:pPr>
                  <w:r>
                    <w:rPr>
                      <w:rFonts w:hint="default" w:ascii="Times New Roman" w:hAnsi="Times New Roman" w:cs="Times New Roman"/>
                      <w:color w:val="auto"/>
                    </w:rPr>
                    <w:t>大豆原种</w:t>
                  </w:r>
                </w:p>
              </w:tc>
              <w:tc>
                <w:tcPr>
                  <w:tcW w:w="838" w:type="pct"/>
                  <w:vAlign w:val="center"/>
                </w:tcPr>
                <w:p w14:paraId="7A02A306">
                  <w:pPr>
                    <w:pStyle w:val="32"/>
                    <w:rPr>
                      <w:rFonts w:hint="eastAsia" w:eastAsia="宋体"/>
                      <w:color w:val="auto"/>
                      <w:lang w:val="en-US" w:eastAsia="zh-CN"/>
                    </w:rPr>
                  </w:pPr>
                  <w:r>
                    <w:rPr>
                      <w:rFonts w:hint="eastAsia"/>
                      <w:color w:val="auto"/>
                      <w:lang w:val="en-US" w:eastAsia="zh-CN"/>
                    </w:rPr>
                    <w:t>/</w:t>
                  </w:r>
                </w:p>
              </w:tc>
              <w:tc>
                <w:tcPr>
                  <w:tcW w:w="838" w:type="pct"/>
                  <w:vAlign w:val="center"/>
                </w:tcPr>
                <w:p w14:paraId="2FA1F340">
                  <w:pPr>
                    <w:pStyle w:val="32"/>
                    <w:rPr>
                      <w:rFonts w:hint="default" w:eastAsia="宋体"/>
                      <w:color w:val="auto"/>
                      <w:lang w:val="en-US" w:eastAsia="zh-CN"/>
                    </w:rPr>
                  </w:pPr>
                  <w:r>
                    <w:rPr>
                      <w:rFonts w:hint="eastAsia"/>
                      <w:color w:val="auto"/>
                      <w:lang w:val="en-US" w:eastAsia="zh-CN"/>
                    </w:rPr>
                    <w:t>250</w:t>
                  </w:r>
                </w:p>
              </w:tc>
              <w:tc>
                <w:tcPr>
                  <w:tcW w:w="838" w:type="pct"/>
                  <w:vAlign w:val="center"/>
                </w:tcPr>
                <w:p w14:paraId="20C25EAE">
                  <w:pPr>
                    <w:pStyle w:val="32"/>
                    <w:rPr>
                      <w:rFonts w:hint="default" w:eastAsia="宋体"/>
                      <w:color w:val="auto"/>
                      <w:lang w:val="en-US" w:eastAsia="zh-CN"/>
                    </w:rPr>
                  </w:pPr>
                  <w:r>
                    <w:rPr>
                      <w:rFonts w:hint="eastAsia"/>
                      <w:color w:val="auto"/>
                      <w:lang w:val="en-US" w:eastAsia="zh-CN"/>
                    </w:rPr>
                    <w:t>250</w:t>
                  </w:r>
                </w:p>
              </w:tc>
              <w:tc>
                <w:tcPr>
                  <w:tcW w:w="809" w:type="pct"/>
                  <w:vAlign w:val="center"/>
                </w:tcPr>
                <w:p w14:paraId="5BB70616">
                  <w:pPr>
                    <w:pStyle w:val="32"/>
                    <w:rPr>
                      <w:color w:val="auto"/>
                    </w:rPr>
                  </w:pPr>
                  <w:r>
                    <w:rPr>
                      <w:rFonts w:hint="eastAsia" w:ascii="宋体" w:hAnsi="宋体" w:cs="宋体"/>
                      <w:color w:val="auto"/>
                      <w:kern w:val="0"/>
                      <w:lang w:bidi="ar"/>
                    </w:rPr>
                    <w:t>含水率</w:t>
                  </w:r>
                  <w:r>
                    <w:rPr>
                      <w:color w:val="auto"/>
                      <w:kern w:val="0"/>
                      <w:lang w:bidi="ar"/>
                    </w:rPr>
                    <w:t>≤14%</w:t>
                  </w:r>
                </w:p>
              </w:tc>
            </w:tr>
            <w:tr w14:paraId="5029E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000" w:type="pct"/>
                  <w:gridSpan w:val="6"/>
                  <w:vAlign w:val="center"/>
                </w:tcPr>
                <w:p w14:paraId="3944C86B">
                  <w:pPr>
                    <w:pStyle w:val="32"/>
                    <w:jc w:val="center"/>
                    <w:rPr>
                      <w:rFonts w:hint="eastAsia" w:ascii="宋体" w:hAnsi="宋体" w:eastAsia="宋体" w:cs="宋体"/>
                      <w:color w:val="auto"/>
                      <w:kern w:val="0"/>
                      <w:lang w:val="en-US" w:eastAsia="zh-CN" w:bidi="ar"/>
                    </w:rPr>
                  </w:pPr>
                  <w:r>
                    <w:rPr>
                      <w:rFonts w:hint="eastAsia" w:ascii="Times New Roman" w:hAnsi="Times New Roman" w:cs="Times New Roman"/>
                      <w:color w:val="auto"/>
                      <w:lang w:val="en-US" w:eastAsia="zh-CN"/>
                    </w:rPr>
                    <w:t>注：小麦部分（约20%）进入金属仓，作为商品粮外售；部分（约80%）进入仓库，用于原种加工，大豆部分（50%）进入金属仓，作为商品粮外售；部分（50%）进入仓库，用于原种加工；玉米全部</w:t>
                  </w:r>
                  <w:r>
                    <w:rPr>
                      <w:rFonts w:hint="eastAsia" w:cs="Times New Roman"/>
                      <w:color w:val="auto"/>
                      <w:lang w:val="en-US" w:eastAsia="zh-CN"/>
                    </w:rPr>
                    <w:t>作</w:t>
                  </w:r>
                  <w:r>
                    <w:rPr>
                      <w:rFonts w:hint="eastAsia" w:ascii="Times New Roman" w:hAnsi="Times New Roman" w:cs="Times New Roman"/>
                      <w:color w:val="auto"/>
                      <w:lang w:val="en-US" w:eastAsia="zh-CN"/>
                    </w:rPr>
                    <w:t>为商品粮</w:t>
                  </w:r>
                  <w:r>
                    <w:rPr>
                      <w:rFonts w:hint="eastAsia" w:cs="Times New Roman"/>
                      <w:color w:val="auto"/>
                      <w:lang w:val="en-US" w:eastAsia="zh-CN"/>
                    </w:rPr>
                    <w:t>。</w:t>
                  </w:r>
                </w:p>
              </w:tc>
            </w:tr>
          </w:tbl>
          <w:p w14:paraId="440A34FA">
            <w:pPr>
              <w:spacing w:line="360" w:lineRule="auto"/>
              <w:ind w:firstLine="480" w:firstLineChars="200"/>
              <w:rPr>
                <w:color w:val="auto"/>
                <w:sz w:val="24"/>
              </w:rPr>
            </w:pPr>
            <w:r>
              <w:rPr>
                <w:color w:val="auto"/>
                <w:sz w:val="24"/>
              </w:rPr>
              <w:t>3、原辅材料</w:t>
            </w:r>
            <w:r>
              <w:rPr>
                <w:rFonts w:hint="eastAsia"/>
                <w:color w:val="auto"/>
                <w:sz w:val="24"/>
              </w:rPr>
              <w:t>及能源</w:t>
            </w:r>
            <w:r>
              <w:rPr>
                <w:color w:val="auto"/>
                <w:sz w:val="24"/>
              </w:rPr>
              <w:t>消耗</w:t>
            </w:r>
          </w:p>
          <w:p w14:paraId="569F43F2">
            <w:pPr>
              <w:jc w:val="center"/>
              <w:rPr>
                <w:b/>
                <w:bCs/>
                <w:color w:val="auto"/>
                <w:sz w:val="24"/>
              </w:rPr>
            </w:pPr>
            <w:r>
              <w:rPr>
                <w:b/>
                <w:bCs/>
                <w:color w:val="auto"/>
                <w:sz w:val="24"/>
              </w:rPr>
              <w:t>表2-</w:t>
            </w:r>
            <w:r>
              <w:rPr>
                <w:rFonts w:hint="eastAsia"/>
                <w:b/>
                <w:bCs/>
                <w:color w:val="auto"/>
                <w:sz w:val="24"/>
              </w:rPr>
              <w:t>3</w:t>
            </w:r>
            <w:r>
              <w:rPr>
                <w:b/>
                <w:bCs/>
                <w:color w:val="auto"/>
                <w:sz w:val="24"/>
              </w:rPr>
              <w:t xml:space="preserve">  原辅材料</w:t>
            </w:r>
            <w:r>
              <w:rPr>
                <w:rFonts w:hint="eastAsia"/>
                <w:b/>
                <w:bCs/>
                <w:color w:val="auto"/>
                <w:sz w:val="24"/>
              </w:rPr>
              <w:t>及能源</w:t>
            </w:r>
            <w:r>
              <w:rPr>
                <w:b/>
                <w:bCs/>
                <w:color w:val="auto"/>
                <w:sz w:val="24"/>
              </w:rPr>
              <w:t>消耗一览表</w:t>
            </w:r>
          </w:p>
          <w:tbl>
            <w:tblPr>
              <w:tblStyle w:val="23"/>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534"/>
              <w:gridCol w:w="1018"/>
              <w:gridCol w:w="1107"/>
              <w:gridCol w:w="1108"/>
              <w:gridCol w:w="1103"/>
              <w:gridCol w:w="1103"/>
              <w:gridCol w:w="1268"/>
              <w:gridCol w:w="1252"/>
            </w:tblGrid>
            <w:tr w14:paraId="4C4332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14" w:type="pct"/>
                  <w:vAlign w:val="center"/>
                </w:tcPr>
                <w:p w14:paraId="36FE6EAF">
                  <w:pPr>
                    <w:jc w:val="center"/>
                    <w:rPr>
                      <w:color w:val="auto"/>
                      <w:szCs w:val="21"/>
                    </w:rPr>
                  </w:pPr>
                  <w:r>
                    <w:rPr>
                      <w:color w:val="auto"/>
                      <w:szCs w:val="21"/>
                    </w:rPr>
                    <w:t>序号</w:t>
                  </w:r>
                </w:p>
              </w:tc>
              <w:tc>
                <w:tcPr>
                  <w:tcW w:w="599" w:type="pct"/>
                  <w:vAlign w:val="center"/>
                </w:tcPr>
                <w:p w14:paraId="59E90C42">
                  <w:pPr>
                    <w:jc w:val="center"/>
                    <w:rPr>
                      <w:color w:val="auto"/>
                      <w:szCs w:val="21"/>
                    </w:rPr>
                  </w:pPr>
                  <w:r>
                    <w:rPr>
                      <w:color w:val="auto"/>
                      <w:szCs w:val="21"/>
                    </w:rPr>
                    <w:t>原料名称</w:t>
                  </w:r>
                </w:p>
              </w:tc>
              <w:tc>
                <w:tcPr>
                  <w:tcW w:w="651" w:type="pct"/>
                  <w:tcBorders>
                    <w:right w:val="single" w:color="auto" w:sz="4" w:space="0"/>
                  </w:tcBorders>
                  <w:vAlign w:val="center"/>
                </w:tcPr>
                <w:p w14:paraId="2875B93B">
                  <w:pPr>
                    <w:jc w:val="center"/>
                    <w:rPr>
                      <w:color w:val="auto"/>
                      <w:szCs w:val="21"/>
                    </w:rPr>
                  </w:pPr>
                  <w:r>
                    <w:rPr>
                      <w:rFonts w:hint="eastAsia"/>
                      <w:color w:val="auto"/>
                      <w:szCs w:val="21"/>
                    </w:rPr>
                    <w:t>改建前</w:t>
                  </w:r>
                  <w:r>
                    <w:rPr>
                      <w:color w:val="auto"/>
                      <w:szCs w:val="21"/>
                    </w:rPr>
                    <w:t>年用量t/a</w:t>
                  </w:r>
                </w:p>
              </w:tc>
              <w:tc>
                <w:tcPr>
                  <w:tcW w:w="652" w:type="pct"/>
                  <w:tcBorders>
                    <w:right w:val="single" w:color="auto" w:sz="4" w:space="0"/>
                  </w:tcBorders>
                  <w:vAlign w:val="center"/>
                </w:tcPr>
                <w:p w14:paraId="62CF5DE2">
                  <w:pPr>
                    <w:jc w:val="center"/>
                    <w:rPr>
                      <w:color w:val="auto"/>
                      <w:szCs w:val="21"/>
                    </w:rPr>
                  </w:pPr>
                  <w:r>
                    <w:rPr>
                      <w:rFonts w:hint="eastAsia"/>
                      <w:color w:val="auto"/>
                      <w:szCs w:val="21"/>
                    </w:rPr>
                    <w:t>本</w:t>
                  </w:r>
                  <w:r>
                    <w:rPr>
                      <w:color w:val="auto"/>
                      <w:szCs w:val="21"/>
                    </w:rPr>
                    <w:t>项目年用量t/a</w:t>
                  </w:r>
                </w:p>
              </w:tc>
              <w:tc>
                <w:tcPr>
                  <w:tcW w:w="649" w:type="pct"/>
                  <w:tcBorders>
                    <w:right w:val="single" w:color="auto" w:sz="4" w:space="0"/>
                  </w:tcBorders>
                  <w:vAlign w:val="center"/>
                </w:tcPr>
                <w:p w14:paraId="60FE13F1">
                  <w:pPr>
                    <w:jc w:val="center"/>
                    <w:rPr>
                      <w:color w:val="auto"/>
                      <w:szCs w:val="21"/>
                    </w:rPr>
                  </w:pPr>
                  <w:r>
                    <w:rPr>
                      <w:rFonts w:hint="eastAsia"/>
                      <w:color w:val="auto"/>
                      <w:szCs w:val="21"/>
                    </w:rPr>
                    <w:t>改建后全厂产量t/a</w:t>
                  </w:r>
                </w:p>
              </w:tc>
              <w:tc>
                <w:tcPr>
                  <w:tcW w:w="649" w:type="pct"/>
                  <w:tcBorders>
                    <w:right w:val="single" w:color="auto" w:sz="4" w:space="0"/>
                  </w:tcBorders>
                  <w:vAlign w:val="center"/>
                </w:tcPr>
                <w:p w14:paraId="7049EAF1">
                  <w:pPr>
                    <w:jc w:val="center"/>
                    <w:rPr>
                      <w:color w:val="auto"/>
                      <w:szCs w:val="21"/>
                    </w:rPr>
                  </w:pPr>
                  <w:r>
                    <w:rPr>
                      <w:color w:val="auto"/>
                      <w:szCs w:val="21"/>
                    </w:rPr>
                    <w:t>最大储存量t</w:t>
                  </w:r>
                </w:p>
              </w:tc>
              <w:tc>
                <w:tcPr>
                  <w:tcW w:w="746" w:type="pct"/>
                  <w:tcBorders>
                    <w:right w:val="single" w:color="auto" w:sz="4" w:space="0"/>
                  </w:tcBorders>
                  <w:vAlign w:val="center"/>
                </w:tcPr>
                <w:p w14:paraId="5EC72260">
                  <w:pPr>
                    <w:jc w:val="center"/>
                    <w:rPr>
                      <w:color w:val="auto"/>
                      <w:szCs w:val="21"/>
                    </w:rPr>
                  </w:pPr>
                  <w:r>
                    <w:rPr>
                      <w:rFonts w:hint="eastAsia"/>
                      <w:color w:val="auto"/>
                      <w:szCs w:val="21"/>
                    </w:rPr>
                    <w:t>储存方式/地点</w:t>
                  </w:r>
                </w:p>
              </w:tc>
              <w:tc>
                <w:tcPr>
                  <w:tcW w:w="736" w:type="pct"/>
                  <w:tcBorders>
                    <w:right w:val="single" w:color="auto" w:sz="4" w:space="0"/>
                  </w:tcBorders>
                  <w:vAlign w:val="center"/>
                </w:tcPr>
                <w:p w14:paraId="187E9C69">
                  <w:pPr>
                    <w:jc w:val="center"/>
                    <w:rPr>
                      <w:color w:val="auto"/>
                      <w:szCs w:val="21"/>
                    </w:rPr>
                  </w:pPr>
                  <w:r>
                    <w:rPr>
                      <w:rFonts w:hint="eastAsia"/>
                      <w:color w:val="auto"/>
                      <w:szCs w:val="21"/>
                    </w:rPr>
                    <w:t>备注</w:t>
                  </w:r>
                </w:p>
              </w:tc>
            </w:tr>
            <w:tr w14:paraId="72517E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14" w:type="pct"/>
                  <w:vAlign w:val="center"/>
                </w:tcPr>
                <w:p w14:paraId="48EE6D3F">
                  <w:pPr>
                    <w:jc w:val="center"/>
                    <w:rPr>
                      <w:color w:val="auto"/>
                      <w:szCs w:val="21"/>
                    </w:rPr>
                  </w:pPr>
                  <w:r>
                    <w:rPr>
                      <w:color w:val="auto"/>
                      <w:szCs w:val="21"/>
                    </w:rPr>
                    <w:t>1</w:t>
                  </w:r>
                </w:p>
              </w:tc>
              <w:tc>
                <w:tcPr>
                  <w:tcW w:w="599" w:type="pct"/>
                  <w:vAlign w:val="center"/>
                </w:tcPr>
                <w:p w14:paraId="7DE1F495">
                  <w:pPr>
                    <w:pStyle w:val="32"/>
                    <w:rPr>
                      <w:color w:val="auto"/>
                    </w:rPr>
                  </w:pPr>
                  <w:r>
                    <w:rPr>
                      <w:rFonts w:hint="eastAsia"/>
                      <w:color w:val="auto"/>
                    </w:rPr>
                    <w:t>优质小麦</w:t>
                  </w:r>
                </w:p>
              </w:tc>
              <w:tc>
                <w:tcPr>
                  <w:tcW w:w="651" w:type="pct"/>
                  <w:tcBorders>
                    <w:right w:val="single" w:color="auto" w:sz="4" w:space="0"/>
                  </w:tcBorders>
                  <w:vAlign w:val="center"/>
                </w:tcPr>
                <w:p w14:paraId="11675132">
                  <w:pPr>
                    <w:jc w:val="center"/>
                    <w:rPr>
                      <w:rFonts w:hint="default" w:eastAsia="宋体"/>
                      <w:color w:val="auto"/>
                      <w:szCs w:val="21"/>
                      <w:lang w:val="en-US" w:eastAsia="zh-CN"/>
                    </w:rPr>
                  </w:pPr>
                  <w:r>
                    <w:rPr>
                      <w:rFonts w:hint="eastAsia"/>
                      <w:color w:val="auto"/>
                      <w:szCs w:val="21"/>
                      <w:lang w:val="en-US" w:eastAsia="zh-CN"/>
                    </w:rPr>
                    <w:t>1146</w:t>
                  </w:r>
                </w:p>
              </w:tc>
              <w:tc>
                <w:tcPr>
                  <w:tcW w:w="652" w:type="pct"/>
                  <w:tcBorders>
                    <w:right w:val="single" w:color="auto" w:sz="4" w:space="0"/>
                  </w:tcBorders>
                  <w:vAlign w:val="center"/>
                </w:tcPr>
                <w:p w14:paraId="1ED2E970">
                  <w:pPr>
                    <w:jc w:val="center"/>
                    <w:rPr>
                      <w:rFonts w:hint="default" w:eastAsia="宋体"/>
                      <w:color w:val="auto"/>
                      <w:szCs w:val="21"/>
                      <w:lang w:val="en-US" w:eastAsia="zh-CN"/>
                    </w:rPr>
                  </w:pPr>
                  <w:r>
                    <w:rPr>
                      <w:rFonts w:hint="eastAsia"/>
                      <w:color w:val="auto"/>
                      <w:szCs w:val="21"/>
                      <w:lang w:val="en-US" w:eastAsia="zh-CN"/>
                    </w:rPr>
                    <w:t>3440</w:t>
                  </w:r>
                </w:p>
              </w:tc>
              <w:tc>
                <w:tcPr>
                  <w:tcW w:w="649" w:type="pct"/>
                  <w:tcBorders>
                    <w:right w:val="single" w:color="auto" w:sz="4" w:space="0"/>
                  </w:tcBorders>
                  <w:vAlign w:val="center"/>
                </w:tcPr>
                <w:p w14:paraId="422A95C9">
                  <w:pPr>
                    <w:jc w:val="center"/>
                    <w:rPr>
                      <w:rFonts w:hint="default" w:eastAsia="宋体"/>
                      <w:color w:val="auto"/>
                      <w:szCs w:val="21"/>
                      <w:lang w:val="en-US" w:eastAsia="zh-CN"/>
                    </w:rPr>
                  </w:pPr>
                  <w:r>
                    <w:rPr>
                      <w:rFonts w:hint="eastAsia"/>
                      <w:color w:val="auto"/>
                      <w:szCs w:val="21"/>
                      <w:lang w:val="en-US" w:eastAsia="zh-CN"/>
                    </w:rPr>
                    <w:t>4586</w:t>
                  </w:r>
                </w:p>
              </w:tc>
              <w:tc>
                <w:tcPr>
                  <w:tcW w:w="649" w:type="pct"/>
                  <w:tcBorders>
                    <w:right w:val="single" w:color="auto" w:sz="4" w:space="0"/>
                  </w:tcBorders>
                  <w:vAlign w:val="center"/>
                </w:tcPr>
                <w:p w14:paraId="66F9BD63">
                  <w:pPr>
                    <w:jc w:val="center"/>
                    <w:rPr>
                      <w:color w:val="auto"/>
                      <w:szCs w:val="21"/>
                    </w:rPr>
                  </w:pPr>
                  <w:r>
                    <w:rPr>
                      <w:rFonts w:hint="eastAsia"/>
                      <w:color w:val="auto"/>
                      <w:szCs w:val="21"/>
                    </w:rPr>
                    <w:t>1000</w:t>
                  </w:r>
                </w:p>
              </w:tc>
              <w:tc>
                <w:tcPr>
                  <w:tcW w:w="746" w:type="pct"/>
                  <w:tcBorders>
                    <w:right w:val="single" w:color="auto" w:sz="4" w:space="0"/>
                  </w:tcBorders>
                  <w:vAlign w:val="center"/>
                </w:tcPr>
                <w:p w14:paraId="15E35BBB">
                  <w:pPr>
                    <w:jc w:val="center"/>
                    <w:rPr>
                      <w:color w:val="auto"/>
                      <w:szCs w:val="21"/>
                    </w:rPr>
                  </w:pPr>
                  <w:r>
                    <w:rPr>
                      <w:rFonts w:hint="eastAsia"/>
                      <w:color w:val="auto"/>
                    </w:rPr>
                    <w:t>7#原料</w:t>
                  </w:r>
                  <w:r>
                    <w:rPr>
                      <w:color w:val="auto"/>
                    </w:rPr>
                    <w:t>仓库</w:t>
                  </w:r>
                </w:p>
              </w:tc>
              <w:tc>
                <w:tcPr>
                  <w:tcW w:w="736" w:type="pct"/>
                  <w:tcBorders>
                    <w:right w:val="single" w:color="auto" w:sz="4" w:space="0"/>
                  </w:tcBorders>
                  <w:vAlign w:val="center"/>
                </w:tcPr>
                <w:p w14:paraId="4E42C377">
                  <w:pPr>
                    <w:widowControl/>
                    <w:jc w:val="center"/>
                    <w:rPr>
                      <w:color w:val="auto"/>
                    </w:rPr>
                  </w:pPr>
                  <w:r>
                    <w:rPr>
                      <w:rFonts w:hint="eastAsia" w:ascii="宋体" w:hAnsi="宋体" w:cs="宋体"/>
                      <w:color w:val="auto"/>
                      <w:kern w:val="0"/>
                      <w:szCs w:val="21"/>
                      <w:lang w:bidi="ar"/>
                    </w:rPr>
                    <w:t>含水率</w:t>
                  </w:r>
                  <w:r>
                    <w:rPr>
                      <w:color w:val="auto"/>
                      <w:kern w:val="0"/>
                      <w:szCs w:val="21"/>
                      <w:lang w:bidi="ar"/>
                    </w:rPr>
                    <w:t>≤</w:t>
                  </w:r>
                  <w:r>
                    <w:rPr>
                      <w:rFonts w:hint="eastAsia"/>
                      <w:color w:val="auto"/>
                      <w:kern w:val="0"/>
                      <w:szCs w:val="21"/>
                      <w:lang w:val="en-US" w:eastAsia="zh-CN" w:bidi="ar"/>
                    </w:rPr>
                    <w:t>25</w:t>
                  </w:r>
                  <w:r>
                    <w:rPr>
                      <w:color w:val="auto"/>
                      <w:kern w:val="0"/>
                      <w:szCs w:val="21"/>
                      <w:lang w:bidi="ar"/>
                    </w:rPr>
                    <w:t>%</w:t>
                  </w:r>
                </w:p>
              </w:tc>
            </w:tr>
            <w:tr w14:paraId="631776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14" w:type="pct"/>
                  <w:vAlign w:val="center"/>
                </w:tcPr>
                <w:p w14:paraId="3B691F88">
                  <w:pPr>
                    <w:jc w:val="center"/>
                    <w:rPr>
                      <w:color w:val="auto"/>
                      <w:szCs w:val="21"/>
                    </w:rPr>
                  </w:pPr>
                  <w:r>
                    <w:rPr>
                      <w:color w:val="auto"/>
                      <w:szCs w:val="21"/>
                    </w:rPr>
                    <w:t>2</w:t>
                  </w:r>
                </w:p>
              </w:tc>
              <w:tc>
                <w:tcPr>
                  <w:tcW w:w="599" w:type="pct"/>
                  <w:vAlign w:val="center"/>
                </w:tcPr>
                <w:p w14:paraId="4AEB8058">
                  <w:pPr>
                    <w:pStyle w:val="32"/>
                    <w:rPr>
                      <w:color w:val="auto"/>
                    </w:rPr>
                  </w:pPr>
                  <w:r>
                    <w:rPr>
                      <w:rFonts w:hint="eastAsia"/>
                      <w:color w:val="auto"/>
                    </w:rPr>
                    <w:t>大豆</w:t>
                  </w:r>
                </w:p>
              </w:tc>
              <w:tc>
                <w:tcPr>
                  <w:tcW w:w="651" w:type="pct"/>
                  <w:tcBorders>
                    <w:right w:val="single" w:color="auto" w:sz="4" w:space="0"/>
                  </w:tcBorders>
                  <w:vAlign w:val="center"/>
                </w:tcPr>
                <w:p w14:paraId="528A2CF8">
                  <w:pPr>
                    <w:jc w:val="center"/>
                    <w:rPr>
                      <w:color w:val="auto"/>
                      <w:szCs w:val="21"/>
                    </w:rPr>
                  </w:pPr>
                  <w:r>
                    <w:rPr>
                      <w:rFonts w:hint="eastAsia"/>
                      <w:color w:val="auto"/>
                      <w:szCs w:val="21"/>
                    </w:rPr>
                    <w:t>200</w:t>
                  </w:r>
                </w:p>
              </w:tc>
              <w:tc>
                <w:tcPr>
                  <w:tcW w:w="652" w:type="pct"/>
                  <w:tcBorders>
                    <w:right w:val="single" w:color="auto" w:sz="4" w:space="0"/>
                  </w:tcBorders>
                  <w:vAlign w:val="center"/>
                </w:tcPr>
                <w:p w14:paraId="55B8500B">
                  <w:pPr>
                    <w:jc w:val="center"/>
                    <w:rPr>
                      <w:color w:val="auto"/>
                      <w:szCs w:val="21"/>
                    </w:rPr>
                  </w:pPr>
                  <w:r>
                    <w:rPr>
                      <w:rFonts w:hint="eastAsia"/>
                      <w:color w:val="auto"/>
                      <w:szCs w:val="21"/>
                    </w:rPr>
                    <w:t>500</w:t>
                  </w:r>
                </w:p>
              </w:tc>
              <w:tc>
                <w:tcPr>
                  <w:tcW w:w="649" w:type="pct"/>
                  <w:tcBorders>
                    <w:right w:val="single" w:color="auto" w:sz="4" w:space="0"/>
                  </w:tcBorders>
                  <w:vAlign w:val="center"/>
                </w:tcPr>
                <w:p w14:paraId="542507AB">
                  <w:pPr>
                    <w:jc w:val="center"/>
                    <w:rPr>
                      <w:color w:val="auto"/>
                      <w:szCs w:val="21"/>
                    </w:rPr>
                  </w:pPr>
                  <w:r>
                    <w:rPr>
                      <w:rFonts w:hint="eastAsia"/>
                      <w:color w:val="auto"/>
                      <w:szCs w:val="21"/>
                    </w:rPr>
                    <w:t>700</w:t>
                  </w:r>
                </w:p>
              </w:tc>
              <w:tc>
                <w:tcPr>
                  <w:tcW w:w="649" w:type="pct"/>
                  <w:tcBorders>
                    <w:right w:val="single" w:color="auto" w:sz="4" w:space="0"/>
                  </w:tcBorders>
                  <w:vAlign w:val="center"/>
                </w:tcPr>
                <w:p w14:paraId="00A3C448">
                  <w:pPr>
                    <w:jc w:val="center"/>
                    <w:rPr>
                      <w:color w:val="auto"/>
                      <w:szCs w:val="21"/>
                    </w:rPr>
                  </w:pPr>
                  <w:r>
                    <w:rPr>
                      <w:rFonts w:hint="eastAsia"/>
                      <w:color w:val="auto"/>
                      <w:szCs w:val="21"/>
                    </w:rPr>
                    <w:t>100</w:t>
                  </w:r>
                </w:p>
              </w:tc>
              <w:tc>
                <w:tcPr>
                  <w:tcW w:w="746" w:type="pct"/>
                  <w:tcBorders>
                    <w:right w:val="single" w:color="auto" w:sz="4" w:space="0"/>
                  </w:tcBorders>
                  <w:vAlign w:val="center"/>
                </w:tcPr>
                <w:p w14:paraId="25ADB083">
                  <w:pPr>
                    <w:jc w:val="center"/>
                    <w:rPr>
                      <w:color w:val="auto"/>
                      <w:szCs w:val="21"/>
                    </w:rPr>
                  </w:pPr>
                  <w:r>
                    <w:rPr>
                      <w:rFonts w:hint="eastAsia"/>
                      <w:color w:val="auto"/>
                    </w:rPr>
                    <w:t>7#原料</w:t>
                  </w:r>
                  <w:r>
                    <w:rPr>
                      <w:color w:val="auto"/>
                    </w:rPr>
                    <w:t>仓库</w:t>
                  </w:r>
                </w:p>
              </w:tc>
              <w:tc>
                <w:tcPr>
                  <w:tcW w:w="736" w:type="pct"/>
                  <w:tcBorders>
                    <w:right w:val="single" w:color="auto" w:sz="4" w:space="0"/>
                  </w:tcBorders>
                  <w:vAlign w:val="center"/>
                </w:tcPr>
                <w:p w14:paraId="13594778">
                  <w:pPr>
                    <w:pStyle w:val="32"/>
                    <w:rPr>
                      <w:color w:val="auto"/>
                    </w:rPr>
                  </w:pPr>
                  <w:r>
                    <w:rPr>
                      <w:rFonts w:hint="eastAsia" w:ascii="宋体" w:hAnsi="宋体" w:cs="宋体"/>
                      <w:color w:val="auto"/>
                      <w:kern w:val="0"/>
                      <w:lang w:bidi="ar"/>
                    </w:rPr>
                    <w:t>含水率</w:t>
                  </w:r>
                  <w:r>
                    <w:rPr>
                      <w:color w:val="auto"/>
                      <w:kern w:val="0"/>
                      <w:lang w:bidi="ar"/>
                    </w:rPr>
                    <w:t>≤</w:t>
                  </w:r>
                  <w:r>
                    <w:rPr>
                      <w:rFonts w:hint="eastAsia"/>
                      <w:color w:val="auto"/>
                      <w:kern w:val="0"/>
                      <w:lang w:bidi="ar"/>
                    </w:rPr>
                    <w:t>14</w:t>
                  </w:r>
                  <w:r>
                    <w:rPr>
                      <w:color w:val="auto"/>
                      <w:kern w:val="0"/>
                      <w:lang w:bidi="ar"/>
                    </w:rPr>
                    <w:t>%</w:t>
                  </w:r>
                </w:p>
              </w:tc>
            </w:tr>
            <w:tr w14:paraId="6F1496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14" w:type="pct"/>
                  <w:vAlign w:val="center"/>
                </w:tcPr>
                <w:p w14:paraId="161ECCE0">
                  <w:pPr>
                    <w:jc w:val="center"/>
                    <w:rPr>
                      <w:color w:val="auto"/>
                      <w:szCs w:val="21"/>
                    </w:rPr>
                  </w:pPr>
                  <w:r>
                    <w:rPr>
                      <w:color w:val="auto"/>
                      <w:szCs w:val="21"/>
                    </w:rPr>
                    <w:t>3</w:t>
                  </w:r>
                </w:p>
              </w:tc>
              <w:tc>
                <w:tcPr>
                  <w:tcW w:w="599" w:type="pct"/>
                  <w:vAlign w:val="center"/>
                </w:tcPr>
                <w:p w14:paraId="36A661AD">
                  <w:pPr>
                    <w:pStyle w:val="32"/>
                    <w:rPr>
                      <w:color w:val="auto"/>
                    </w:rPr>
                  </w:pPr>
                  <w:r>
                    <w:rPr>
                      <w:rFonts w:hint="eastAsia"/>
                      <w:color w:val="auto"/>
                    </w:rPr>
                    <w:t>玉米</w:t>
                  </w:r>
                </w:p>
              </w:tc>
              <w:tc>
                <w:tcPr>
                  <w:tcW w:w="651" w:type="pct"/>
                  <w:tcBorders>
                    <w:right w:val="single" w:color="auto" w:sz="4" w:space="0"/>
                  </w:tcBorders>
                  <w:vAlign w:val="center"/>
                </w:tcPr>
                <w:p w14:paraId="359873D6">
                  <w:pPr>
                    <w:jc w:val="center"/>
                    <w:rPr>
                      <w:rFonts w:hint="default" w:eastAsia="宋体"/>
                      <w:color w:val="auto"/>
                      <w:szCs w:val="21"/>
                      <w:lang w:val="en-US" w:eastAsia="zh-CN"/>
                    </w:rPr>
                  </w:pPr>
                  <w:r>
                    <w:rPr>
                      <w:rFonts w:hint="eastAsia"/>
                      <w:color w:val="auto"/>
                      <w:szCs w:val="21"/>
                      <w:lang w:val="en-US" w:eastAsia="zh-CN"/>
                    </w:rPr>
                    <w:t>1146</w:t>
                  </w:r>
                </w:p>
              </w:tc>
              <w:tc>
                <w:tcPr>
                  <w:tcW w:w="652" w:type="pct"/>
                  <w:tcBorders>
                    <w:right w:val="single" w:color="auto" w:sz="4" w:space="0"/>
                  </w:tcBorders>
                  <w:vAlign w:val="center"/>
                </w:tcPr>
                <w:p w14:paraId="536F3763">
                  <w:pPr>
                    <w:jc w:val="center"/>
                    <w:rPr>
                      <w:rFonts w:hint="default" w:eastAsia="宋体"/>
                      <w:color w:val="auto"/>
                      <w:szCs w:val="21"/>
                      <w:lang w:val="en-US" w:eastAsia="zh-CN"/>
                    </w:rPr>
                  </w:pPr>
                  <w:r>
                    <w:rPr>
                      <w:rFonts w:hint="eastAsia"/>
                      <w:color w:val="auto"/>
                      <w:szCs w:val="21"/>
                      <w:lang w:val="en-US" w:eastAsia="zh-CN"/>
                    </w:rPr>
                    <w:t>3440</w:t>
                  </w:r>
                </w:p>
              </w:tc>
              <w:tc>
                <w:tcPr>
                  <w:tcW w:w="649" w:type="pct"/>
                  <w:tcBorders>
                    <w:right w:val="single" w:color="auto" w:sz="4" w:space="0"/>
                  </w:tcBorders>
                  <w:vAlign w:val="center"/>
                </w:tcPr>
                <w:p w14:paraId="2EDD54E7">
                  <w:pPr>
                    <w:jc w:val="center"/>
                    <w:rPr>
                      <w:rFonts w:hint="default"/>
                      <w:color w:val="auto"/>
                      <w:szCs w:val="21"/>
                      <w:lang w:val="en-US" w:eastAsia="zh-CN"/>
                    </w:rPr>
                  </w:pPr>
                  <w:r>
                    <w:rPr>
                      <w:rFonts w:hint="eastAsia"/>
                      <w:color w:val="auto"/>
                      <w:szCs w:val="21"/>
                      <w:lang w:val="en-US" w:eastAsia="zh-CN"/>
                    </w:rPr>
                    <w:t>4586</w:t>
                  </w:r>
                </w:p>
              </w:tc>
              <w:tc>
                <w:tcPr>
                  <w:tcW w:w="649" w:type="pct"/>
                  <w:tcBorders>
                    <w:right w:val="single" w:color="auto" w:sz="4" w:space="0"/>
                  </w:tcBorders>
                  <w:vAlign w:val="center"/>
                </w:tcPr>
                <w:p w14:paraId="55A416D6">
                  <w:pPr>
                    <w:jc w:val="center"/>
                    <w:rPr>
                      <w:color w:val="auto"/>
                      <w:szCs w:val="21"/>
                    </w:rPr>
                  </w:pPr>
                  <w:r>
                    <w:rPr>
                      <w:rFonts w:hint="eastAsia"/>
                      <w:color w:val="auto"/>
                      <w:szCs w:val="21"/>
                    </w:rPr>
                    <w:t>1000</w:t>
                  </w:r>
                </w:p>
              </w:tc>
              <w:tc>
                <w:tcPr>
                  <w:tcW w:w="746" w:type="pct"/>
                  <w:tcBorders>
                    <w:right w:val="single" w:color="auto" w:sz="4" w:space="0"/>
                  </w:tcBorders>
                  <w:vAlign w:val="center"/>
                </w:tcPr>
                <w:p w14:paraId="130CE217">
                  <w:pPr>
                    <w:jc w:val="center"/>
                    <w:rPr>
                      <w:color w:val="auto"/>
                      <w:szCs w:val="21"/>
                    </w:rPr>
                  </w:pPr>
                  <w:r>
                    <w:rPr>
                      <w:rFonts w:hint="eastAsia"/>
                      <w:color w:val="auto"/>
                    </w:rPr>
                    <w:t>7#原料</w:t>
                  </w:r>
                  <w:r>
                    <w:rPr>
                      <w:color w:val="auto"/>
                    </w:rPr>
                    <w:t>仓库</w:t>
                  </w:r>
                </w:p>
              </w:tc>
              <w:tc>
                <w:tcPr>
                  <w:tcW w:w="736" w:type="pct"/>
                  <w:tcBorders>
                    <w:right w:val="single" w:color="auto" w:sz="4" w:space="0"/>
                  </w:tcBorders>
                  <w:vAlign w:val="center"/>
                </w:tcPr>
                <w:p w14:paraId="704A57BB">
                  <w:pPr>
                    <w:pStyle w:val="32"/>
                    <w:rPr>
                      <w:color w:val="auto"/>
                    </w:rPr>
                  </w:pPr>
                  <w:r>
                    <w:rPr>
                      <w:rFonts w:hint="eastAsia" w:ascii="宋体" w:hAnsi="宋体" w:cs="宋体"/>
                      <w:color w:val="auto"/>
                      <w:kern w:val="0"/>
                      <w:lang w:bidi="ar"/>
                    </w:rPr>
                    <w:t>含水率</w:t>
                  </w:r>
                  <w:r>
                    <w:rPr>
                      <w:color w:val="auto"/>
                      <w:kern w:val="0"/>
                      <w:lang w:bidi="ar"/>
                    </w:rPr>
                    <w:t>≤</w:t>
                  </w:r>
                  <w:r>
                    <w:rPr>
                      <w:rFonts w:hint="eastAsia"/>
                      <w:color w:val="auto"/>
                      <w:kern w:val="0"/>
                      <w:lang w:val="en-US" w:eastAsia="zh-CN" w:bidi="ar"/>
                    </w:rPr>
                    <w:t>25</w:t>
                  </w:r>
                  <w:r>
                    <w:rPr>
                      <w:color w:val="auto"/>
                      <w:kern w:val="0"/>
                      <w:lang w:bidi="ar"/>
                    </w:rPr>
                    <w:t>%</w:t>
                  </w:r>
                </w:p>
              </w:tc>
            </w:tr>
            <w:tr w14:paraId="4DE8BD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14" w:type="pct"/>
                  <w:vAlign w:val="center"/>
                </w:tcPr>
                <w:p w14:paraId="03E9DF50">
                  <w:pPr>
                    <w:jc w:val="center"/>
                    <w:rPr>
                      <w:color w:val="auto"/>
                      <w:szCs w:val="21"/>
                    </w:rPr>
                  </w:pPr>
                  <w:r>
                    <w:rPr>
                      <w:color w:val="auto"/>
                      <w:szCs w:val="21"/>
                    </w:rPr>
                    <w:t>4</w:t>
                  </w:r>
                </w:p>
              </w:tc>
              <w:tc>
                <w:tcPr>
                  <w:tcW w:w="599" w:type="pct"/>
                  <w:vAlign w:val="center"/>
                </w:tcPr>
                <w:p w14:paraId="3E28B364">
                  <w:pPr>
                    <w:pStyle w:val="35"/>
                    <w:adjustRightInd/>
                    <w:snapToGrid/>
                    <w:rPr>
                      <w:rFonts w:hint="eastAsia" w:eastAsia="宋体" w:cs="Times New Roman"/>
                      <w:color w:val="auto"/>
                      <w:lang w:val="en-US" w:eastAsia="zh-CN"/>
                    </w:rPr>
                  </w:pPr>
                  <w:r>
                    <w:rPr>
                      <w:rFonts w:cs="Times New Roman"/>
                      <w:color w:val="auto"/>
                    </w:rPr>
                    <w:t>生物质</w:t>
                  </w:r>
                  <w:r>
                    <w:rPr>
                      <w:rFonts w:hint="eastAsia" w:cs="Times New Roman"/>
                      <w:color w:val="auto"/>
                      <w:lang w:val="en-US" w:eastAsia="zh-CN"/>
                    </w:rPr>
                    <w:t>颗粒</w:t>
                  </w:r>
                </w:p>
              </w:tc>
              <w:tc>
                <w:tcPr>
                  <w:tcW w:w="651" w:type="pct"/>
                  <w:tcBorders>
                    <w:right w:val="single" w:color="auto" w:sz="4" w:space="0"/>
                  </w:tcBorders>
                  <w:vAlign w:val="center"/>
                </w:tcPr>
                <w:p w14:paraId="7CF55D0C">
                  <w:pPr>
                    <w:jc w:val="center"/>
                    <w:rPr>
                      <w:color w:val="auto"/>
                      <w:szCs w:val="21"/>
                    </w:rPr>
                  </w:pPr>
                  <w:r>
                    <w:rPr>
                      <w:rFonts w:hint="eastAsia"/>
                      <w:color w:val="auto"/>
                      <w:szCs w:val="21"/>
                    </w:rPr>
                    <w:t>0</w:t>
                  </w:r>
                </w:p>
              </w:tc>
              <w:tc>
                <w:tcPr>
                  <w:tcW w:w="652" w:type="pct"/>
                  <w:tcBorders>
                    <w:right w:val="single" w:color="auto" w:sz="4" w:space="0"/>
                  </w:tcBorders>
                  <w:vAlign w:val="center"/>
                </w:tcPr>
                <w:p w14:paraId="2E2C408E">
                  <w:pPr>
                    <w:jc w:val="center"/>
                    <w:rPr>
                      <w:rFonts w:hint="default" w:eastAsia="宋体"/>
                      <w:color w:val="auto"/>
                      <w:szCs w:val="21"/>
                      <w:lang w:val="en-US" w:eastAsia="zh-CN"/>
                    </w:rPr>
                  </w:pPr>
                  <w:r>
                    <w:rPr>
                      <w:rFonts w:hint="eastAsia"/>
                      <w:color w:val="auto"/>
                      <w:szCs w:val="21"/>
                      <w:lang w:val="en-US" w:eastAsia="zh-CN"/>
                    </w:rPr>
                    <w:t>558</w:t>
                  </w:r>
                </w:p>
              </w:tc>
              <w:tc>
                <w:tcPr>
                  <w:tcW w:w="649" w:type="pct"/>
                  <w:tcBorders>
                    <w:right w:val="single" w:color="auto" w:sz="4" w:space="0"/>
                  </w:tcBorders>
                  <w:vAlign w:val="center"/>
                </w:tcPr>
                <w:p w14:paraId="2C6AB34E">
                  <w:pPr>
                    <w:jc w:val="center"/>
                    <w:rPr>
                      <w:rFonts w:hint="default" w:eastAsia="宋体"/>
                      <w:color w:val="auto"/>
                      <w:szCs w:val="21"/>
                      <w:lang w:val="en-US" w:eastAsia="zh-CN"/>
                    </w:rPr>
                  </w:pPr>
                  <w:r>
                    <w:rPr>
                      <w:rFonts w:hint="eastAsia"/>
                      <w:color w:val="auto"/>
                      <w:szCs w:val="21"/>
                      <w:lang w:val="en-US" w:eastAsia="zh-CN"/>
                    </w:rPr>
                    <w:t>558</w:t>
                  </w:r>
                </w:p>
              </w:tc>
              <w:tc>
                <w:tcPr>
                  <w:tcW w:w="649" w:type="pct"/>
                  <w:tcBorders>
                    <w:right w:val="single" w:color="auto" w:sz="4" w:space="0"/>
                  </w:tcBorders>
                  <w:vAlign w:val="center"/>
                </w:tcPr>
                <w:p w14:paraId="79BF9271">
                  <w:pPr>
                    <w:jc w:val="center"/>
                    <w:rPr>
                      <w:color w:val="auto"/>
                      <w:szCs w:val="21"/>
                    </w:rPr>
                  </w:pPr>
                  <w:r>
                    <w:rPr>
                      <w:rFonts w:hint="eastAsia"/>
                      <w:color w:val="auto"/>
                      <w:szCs w:val="21"/>
                    </w:rPr>
                    <w:t>3</w:t>
                  </w:r>
                </w:p>
              </w:tc>
              <w:tc>
                <w:tcPr>
                  <w:tcW w:w="746" w:type="pct"/>
                  <w:tcBorders>
                    <w:right w:val="single" w:color="auto" w:sz="4" w:space="0"/>
                  </w:tcBorders>
                  <w:vAlign w:val="center"/>
                </w:tcPr>
                <w:p w14:paraId="4561ECE4">
                  <w:pPr>
                    <w:jc w:val="center"/>
                    <w:rPr>
                      <w:color w:val="auto"/>
                      <w:szCs w:val="21"/>
                    </w:rPr>
                  </w:pPr>
                  <w:r>
                    <w:rPr>
                      <w:rFonts w:hint="eastAsia"/>
                      <w:color w:val="auto"/>
                      <w:szCs w:val="21"/>
                    </w:rPr>
                    <w:t>3#锅炉房</w:t>
                  </w:r>
                </w:p>
              </w:tc>
              <w:tc>
                <w:tcPr>
                  <w:tcW w:w="736" w:type="pct"/>
                  <w:tcBorders>
                    <w:right w:val="single" w:color="auto" w:sz="4" w:space="0"/>
                  </w:tcBorders>
                  <w:vAlign w:val="center"/>
                </w:tcPr>
                <w:p w14:paraId="58C9B9C6">
                  <w:pPr>
                    <w:jc w:val="center"/>
                    <w:rPr>
                      <w:color w:val="auto"/>
                      <w:szCs w:val="21"/>
                    </w:rPr>
                  </w:pPr>
                  <w:r>
                    <w:rPr>
                      <w:rFonts w:hint="eastAsia"/>
                      <w:color w:val="auto"/>
                      <w:szCs w:val="21"/>
                    </w:rPr>
                    <w:t>/</w:t>
                  </w:r>
                </w:p>
              </w:tc>
            </w:tr>
          </w:tbl>
          <w:p w14:paraId="74C20431">
            <w:pPr>
              <w:spacing w:line="360" w:lineRule="auto"/>
              <w:ind w:firstLine="482" w:firstLineChars="200"/>
              <w:rPr>
                <w:b/>
                <w:bCs/>
                <w:color w:val="auto"/>
                <w:sz w:val="24"/>
                <w:lang w:bidi="ar"/>
              </w:rPr>
            </w:pPr>
            <w:r>
              <w:rPr>
                <w:rFonts w:hint="eastAsia"/>
                <w:b/>
                <w:bCs/>
                <w:color w:val="auto"/>
                <w:sz w:val="24"/>
                <w:lang w:bidi="ar"/>
              </w:rPr>
              <w:t>燃料成分：</w:t>
            </w:r>
          </w:p>
          <w:p w14:paraId="5227C449">
            <w:pPr>
              <w:spacing w:line="360" w:lineRule="auto"/>
              <w:ind w:firstLine="480" w:firstLineChars="200"/>
              <w:rPr>
                <w:bCs/>
                <w:color w:val="auto"/>
                <w:sz w:val="24"/>
              </w:rPr>
            </w:pPr>
            <w:r>
              <w:rPr>
                <w:rFonts w:hint="eastAsia"/>
                <w:bCs/>
                <w:color w:val="auto"/>
                <w:sz w:val="24"/>
              </w:rPr>
              <w:t>本项目购买含硫量为0.0</w:t>
            </w:r>
            <w:r>
              <w:rPr>
                <w:rFonts w:hint="eastAsia"/>
                <w:bCs/>
                <w:color w:val="auto"/>
                <w:sz w:val="24"/>
                <w:lang w:val="en-US" w:eastAsia="zh-CN"/>
              </w:rPr>
              <w:t>2</w:t>
            </w:r>
            <w:r>
              <w:rPr>
                <w:rFonts w:hint="eastAsia"/>
                <w:bCs/>
                <w:color w:val="auto"/>
                <w:sz w:val="24"/>
              </w:rPr>
              <w:t>%的低含硫生物质颗粒，生物质燃料成分见下表：</w:t>
            </w:r>
          </w:p>
          <w:p w14:paraId="5AA2015B">
            <w:pPr>
              <w:jc w:val="center"/>
              <w:rPr>
                <w:b/>
                <w:bCs/>
                <w:color w:val="auto"/>
                <w:sz w:val="24"/>
              </w:rPr>
            </w:pPr>
            <w:r>
              <w:rPr>
                <w:b/>
                <w:bCs/>
                <w:color w:val="auto"/>
                <w:sz w:val="24"/>
              </w:rPr>
              <w:t>表2-</w:t>
            </w:r>
            <w:r>
              <w:rPr>
                <w:rFonts w:hint="eastAsia"/>
                <w:b/>
                <w:bCs/>
                <w:color w:val="auto"/>
                <w:sz w:val="24"/>
              </w:rPr>
              <w:t>4</w:t>
            </w:r>
            <w:r>
              <w:rPr>
                <w:b/>
                <w:bCs/>
                <w:color w:val="auto"/>
                <w:sz w:val="24"/>
              </w:rPr>
              <w:t xml:space="preserve">  原辅材料</w:t>
            </w:r>
            <w:r>
              <w:rPr>
                <w:rFonts w:hint="eastAsia"/>
                <w:b/>
                <w:bCs/>
                <w:color w:val="auto"/>
                <w:sz w:val="24"/>
              </w:rPr>
              <w:t>及能源</w:t>
            </w:r>
            <w:r>
              <w:rPr>
                <w:b/>
                <w:bCs/>
                <w:color w:val="auto"/>
                <w:sz w:val="24"/>
              </w:rPr>
              <w:t>消耗一览表</w:t>
            </w:r>
          </w:p>
          <w:tbl>
            <w:tblPr>
              <w:tblStyle w:val="23"/>
              <w:tblW w:w="4981"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732"/>
              <w:gridCol w:w="1192"/>
              <w:gridCol w:w="1641"/>
              <w:gridCol w:w="1492"/>
              <w:gridCol w:w="1716"/>
              <w:gridCol w:w="1691"/>
            </w:tblGrid>
            <w:tr w14:paraId="6B3133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32" w:type="pct"/>
                  <w:vAlign w:val="center"/>
                </w:tcPr>
                <w:p w14:paraId="141ADBEC">
                  <w:pPr>
                    <w:jc w:val="center"/>
                    <w:rPr>
                      <w:color w:val="auto"/>
                      <w:szCs w:val="21"/>
                    </w:rPr>
                  </w:pPr>
                  <w:r>
                    <w:rPr>
                      <w:rFonts w:hint="eastAsia"/>
                      <w:color w:val="auto"/>
                      <w:szCs w:val="21"/>
                    </w:rPr>
                    <w:t>成分名称</w:t>
                  </w:r>
                </w:p>
              </w:tc>
              <w:tc>
                <w:tcPr>
                  <w:tcW w:w="704" w:type="pct"/>
                  <w:vAlign w:val="center"/>
                </w:tcPr>
                <w:p w14:paraId="6573BABC">
                  <w:pPr>
                    <w:jc w:val="center"/>
                    <w:rPr>
                      <w:color w:val="auto"/>
                      <w:szCs w:val="21"/>
                    </w:rPr>
                  </w:pPr>
                  <w:r>
                    <w:rPr>
                      <w:rFonts w:hint="eastAsia"/>
                      <w:color w:val="auto"/>
                      <w:szCs w:val="21"/>
                    </w:rPr>
                    <w:t>干基灰份Ad%</w:t>
                  </w:r>
                </w:p>
              </w:tc>
              <w:tc>
                <w:tcPr>
                  <w:tcW w:w="969" w:type="pct"/>
                  <w:vAlign w:val="center"/>
                </w:tcPr>
                <w:p w14:paraId="23CF9B82">
                  <w:pPr>
                    <w:jc w:val="center"/>
                    <w:rPr>
                      <w:color w:val="auto"/>
                      <w:szCs w:val="21"/>
                    </w:rPr>
                  </w:pPr>
                  <w:r>
                    <w:rPr>
                      <w:rFonts w:hint="eastAsia"/>
                      <w:color w:val="auto"/>
                      <w:szCs w:val="21"/>
                      <w:lang w:val="en-US" w:eastAsia="zh-CN"/>
                    </w:rPr>
                    <w:t>干</w:t>
                  </w:r>
                  <w:r>
                    <w:rPr>
                      <w:rFonts w:hint="eastAsia"/>
                      <w:color w:val="auto"/>
                      <w:szCs w:val="21"/>
                    </w:rPr>
                    <w:t>基挥发Var%</w:t>
                  </w:r>
                </w:p>
              </w:tc>
              <w:tc>
                <w:tcPr>
                  <w:tcW w:w="881" w:type="pct"/>
                  <w:tcBorders>
                    <w:right w:val="single" w:color="auto" w:sz="4" w:space="0"/>
                  </w:tcBorders>
                  <w:vAlign w:val="center"/>
                </w:tcPr>
                <w:p w14:paraId="6E8DA291">
                  <w:pPr>
                    <w:jc w:val="center"/>
                    <w:rPr>
                      <w:color w:val="auto"/>
                      <w:szCs w:val="21"/>
                    </w:rPr>
                  </w:pPr>
                  <w:r>
                    <w:rPr>
                      <w:rFonts w:hint="eastAsia"/>
                      <w:color w:val="auto"/>
                      <w:szCs w:val="21"/>
                    </w:rPr>
                    <w:t>硫份St.ad%</w:t>
                  </w:r>
                </w:p>
              </w:tc>
              <w:tc>
                <w:tcPr>
                  <w:tcW w:w="1013" w:type="pct"/>
                  <w:tcBorders>
                    <w:right w:val="single" w:color="auto" w:sz="4" w:space="0"/>
                  </w:tcBorders>
                  <w:vAlign w:val="center"/>
                </w:tcPr>
                <w:p w14:paraId="4AA2746F">
                  <w:pPr>
                    <w:jc w:val="center"/>
                    <w:rPr>
                      <w:color w:val="auto"/>
                      <w:szCs w:val="21"/>
                    </w:rPr>
                  </w:pPr>
                  <w:r>
                    <w:rPr>
                      <w:color w:val="auto"/>
                      <w:szCs w:val="21"/>
                    </w:rPr>
                    <w:t>高位发热量Qgr</w:t>
                  </w:r>
                  <w:r>
                    <w:rPr>
                      <w:rFonts w:hint="eastAsia"/>
                      <w:color w:val="auto"/>
                      <w:szCs w:val="21"/>
                    </w:rPr>
                    <w:t>,</w:t>
                  </w:r>
                  <w:r>
                    <w:rPr>
                      <w:color w:val="auto"/>
                      <w:szCs w:val="21"/>
                    </w:rPr>
                    <w:t>ad卡/克</w:t>
                  </w:r>
                </w:p>
              </w:tc>
              <w:tc>
                <w:tcPr>
                  <w:tcW w:w="998" w:type="pct"/>
                  <w:tcBorders>
                    <w:right w:val="single" w:color="auto" w:sz="4" w:space="0"/>
                  </w:tcBorders>
                  <w:vAlign w:val="center"/>
                </w:tcPr>
                <w:p w14:paraId="5559A58F">
                  <w:pPr>
                    <w:jc w:val="center"/>
                    <w:rPr>
                      <w:color w:val="auto"/>
                      <w:szCs w:val="21"/>
                    </w:rPr>
                  </w:pPr>
                  <w:r>
                    <w:rPr>
                      <w:color w:val="auto"/>
                      <w:szCs w:val="21"/>
                    </w:rPr>
                    <w:t>低位发热量Q</w:t>
                  </w:r>
                  <w:r>
                    <w:rPr>
                      <w:rFonts w:hint="eastAsia"/>
                      <w:color w:val="auto"/>
                      <w:szCs w:val="21"/>
                    </w:rPr>
                    <w:t>ner,</w:t>
                  </w:r>
                  <w:r>
                    <w:rPr>
                      <w:color w:val="auto"/>
                      <w:szCs w:val="21"/>
                    </w:rPr>
                    <w:t>ad卡/克</w:t>
                  </w:r>
                </w:p>
              </w:tc>
            </w:tr>
            <w:tr w14:paraId="21ACD3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32" w:type="pct"/>
                  <w:vAlign w:val="center"/>
                </w:tcPr>
                <w:p w14:paraId="599617FA">
                  <w:pPr>
                    <w:jc w:val="center"/>
                    <w:rPr>
                      <w:color w:val="auto"/>
                      <w:szCs w:val="21"/>
                    </w:rPr>
                  </w:pPr>
                  <w:r>
                    <w:rPr>
                      <w:rFonts w:hint="eastAsia"/>
                      <w:color w:val="auto"/>
                      <w:szCs w:val="21"/>
                    </w:rPr>
                    <w:t>数据</w:t>
                  </w:r>
                </w:p>
              </w:tc>
              <w:tc>
                <w:tcPr>
                  <w:tcW w:w="704" w:type="pct"/>
                  <w:vAlign w:val="center"/>
                </w:tcPr>
                <w:p w14:paraId="6E22BB18">
                  <w:pPr>
                    <w:pStyle w:val="32"/>
                    <w:rPr>
                      <w:rFonts w:hint="default" w:eastAsia="宋体"/>
                      <w:color w:val="auto"/>
                      <w:lang w:val="en-US" w:eastAsia="zh-CN"/>
                    </w:rPr>
                  </w:pPr>
                  <w:r>
                    <w:rPr>
                      <w:rFonts w:hint="eastAsia"/>
                      <w:color w:val="auto"/>
                      <w:lang w:val="en-US" w:eastAsia="zh-CN"/>
                    </w:rPr>
                    <w:t>1.36</w:t>
                  </w:r>
                </w:p>
              </w:tc>
              <w:tc>
                <w:tcPr>
                  <w:tcW w:w="969" w:type="pct"/>
                  <w:vAlign w:val="center"/>
                </w:tcPr>
                <w:p w14:paraId="4570696D">
                  <w:pPr>
                    <w:jc w:val="center"/>
                    <w:rPr>
                      <w:rFonts w:hint="default" w:eastAsia="宋体"/>
                      <w:color w:val="auto"/>
                      <w:szCs w:val="21"/>
                      <w:lang w:val="en-US" w:eastAsia="zh-CN"/>
                    </w:rPr>
                  </w:pPr>
                  <w:r>
                    <w:rPr>
                      <w:rFonts w:hint="eastAsia"/>
                      <w:color w:val="auto"/>
                      <w:szCs w:val="21"/>
                      <w:lang w:val="en-US" w:eastAsia="zh-CN"/>
                    </w:rPr>
                    <w:t>81.97</w:t>
                  </w:r>
                </w:p>
              </w:tc>
              <w:tc>
                <w:tcPr>
                  <w:tcW w:w="881" w:type="pct"/>
                  <w:tcBorders>
                    <w:right w:val="single" w:color="auto" w:sz="4" w:space="0"/>
                  </w:tcBorders>
                  <w:vAlign w:val="center"/>
                </w:tcPr>
                <w:p w14:paraId="04894F0C">
                  <w:pPr>
                    <w:jc w:val="center"/>
                    <w:rPr>
                      <w:rFonts w:hint="default" w:eastAsia="宋体"/>
                      <w:color w:val="auto"/>
                      <w:szCs w:val="21"/>
                      <w:lang w:val="en-US" w:eastAsia="zh-CN"/>
                    </w:rPr>
                  </w:pPr>
                  <w:r>
                    <w:rPr>
                      <w:rFonts w:hint="eastAsia"/>
                      <w:color w:val="auto"/>
                      <w:szCs w:val="21"/>
                      <w:lang w:val="en-US" w:eastAsia="zh-CN"/>
                    </w:rPr>
                    <w:t>0.02</w:t>
                  </w:r>
                </w:p>
              </w:tc>
              <w:tc>
                <w:tcPr>
                  <w:tcW w:w="1013" w:type="pct"/>
                  <w:tcBorders>
                    <w:right w:val="single" w:color="auto" w:sz="4" w:space="0"/>
                  </w:tcBorders>
                  <w:vAlign w:val="center"/>
                </w:tcPr>
                <w:p w14:paraId="22AA27AC">
                  <w:pPr>
                    <w:jc w:val="center"/>
                    <w:rPr>
                      <w:rFonts w:hint="default" w:eastAsia="宋体"/>
                      <w:color w:val="auto"/>
                      <w:szCs w:val="21"/>
                      <w:lang w:val="en-US" w:eastAsia="zh-CN"/>
                    </w:rPr>
                  </w:pPr>
                  <w:r>
                    <w:rPr>
                      <w:rFonts w:hint="eastAsia"/>
                      <w:color w:val="auto"/>
                      <w:szCs w:val="21"/>
                      <w:lang w:val="en-US" w:eastAsia="zh-CN"/>
                    </w:rPr>
                    <w:t>4733</w:t>
                  </w:r>
                </w:p>
              </w:tc>
              <w:tc>
                <w:tcPr>
                  <w:tcW w:w="998" w:type="pct"/>
                  <w:tcBorders>
                    <w:right w:val="single" w:color="auto" w:sz="4" w:space="0"/>
                  </w:tcBorders>
                  <w:vAlign w:val="center"/>
                </w:tcPr>
                <w:p w14:paraId="74C0C0AE">
                  <w:pPr>
                    <w:widowControl/>
                    <w:jc w:val="center"/>
                    <w:rPr>
                      <w:rFonts w:hint="default" w:eastAsia="宋体"/>
                      <w:color w:val="auto"/>
                      <w:lang w:val="en-US" w:eastAsia="zh-CN"/>
                    </w:rPr>
                  </w:pPr>
                  <w:r>
                    <w:rPr>
                      <w:rFonts w:hint="eastAsia"/>
                      <w:color w:val="auto"/>
                      <w:lang w:val="en-US" w:eastAsia="zh-CN"/>
                    </w:rPr>
                    <w:t>4062</w:t>
                  </w:r>
                </w:p>
              </w:tc>
            </w:tr>
          </w:tbl>
          <w:p w14:paraId="7E2EBB90">
            <w:pPr>
              <w:spacing w:line="360" w:lineRule="auto"/>
              <w:ind w:firstLine="482" w:firstLineChars="200"/>
              <w:rPr>
                <w:b/>
                <w:color w:val="auto"/>
              </w:rPr>
            </w:pPr>
            <w:r>
              <w:rPr>
                <w:rFonts w:hint="eastAsia"/>
                <w:b/>
                <w:color w:val="auto"/>
                <w:sz w:val="24"/>
              </w:rPr>
              <w:t>生物质燃料消耗量核算：</w:t>
            </w:r>
          </w:p>
          <w:p w14:paraId="7E500DCC">
            <w:pPr>
              <w:spacing w:line="360" w:lineRule="auto"/>
              <w:ind w:firstLine="472"/>
              <w:rPr>
                <w:rFonts w:hint="default" w:ascii="Times New Roman" w:hAnsi="Times New Roman" w:cs="Times New Roman"/>
                <w:b w:val="0"/>
                <w:bCs w:val="0"/>
                <w:color w:val="auto"/>
                <w:sz w:val="24"/>
                <w:lang w:val="en-US" w:eastAsia="zh-CN"/>
              </w:rPr>
            </w:pPr>
            <w:r>
              <w:rPr>
                <w:rFonts w:hint="default" w:ascii="Times New Roman" w:hAnsi="Times New Roman" w:cs="Times New Roman"/>
                <w:b w:val="0"/>
                <w:bCs w:val="0"/>
                <w:color w:val="auto"/>
                <w:sz w:val="24"/>
                <w:lang w:val="en-US" w:eastAsia="zh-CN"/>
              </w:rPr>
              <w:t>项目设置一台5.6MW的生物质热风炉，</w:t>
            </w:r>
            <w:r>
              <w:rPr>
                <w:rFonts w:hint="default" w:ascii="Times New Roman" w:hAnsi="Times New Roman" w:cs="Times New Roman"/>
                <w:b w:val="0"/>
                <w:bCs w:val="0"/>
                <w:color w:val="auto"/>
                <w:sz w:val="24"/>
                <w:u w:val="none"/>
              </w:rPr>
              <w:t>根据提供资料，</w:t>
            </w:r>
            <w:r>
              <w:rPr>
                <w:rFonts w:hint="default" w:ascii="Times New Roman" w:hAnsi="Times New Roman" w:cs="Times New Roman"/>
                <w:b w:val="0"/>
                <w:bCs w:val="0"/>
                <w:color w:val="auto"/>
                <w:kern w:val="0"/>
                <w:sz w:val="24"/>
                <w:u w:val="none"/>
                <w:lang w:bidi="ar"/>
              </w:rPr>
              <w:t>项目运行时间为农忙期间，约50天（农忙时间主要在6月份和9月中旬-10月份之间），锅炉日运行8小时，年运行时间约400h</w:t>
            </w:r>
            <w:r>
              <w:rPr>
                <w:rFonts w:hint="default" w:ascii="Times New Roman" w:hAnsi="Times New Roman" w:cs="Times New Roman"/>
                <w:b w:val="0"/>
                <w:bCs w:val="0"/>
                <w:color w:val="auto"/>
                <w:sz w:val="24"/>
                <w:u w:val="none"/>
              </w:rPr>
              <w:t>。</w:t>
            </w:r>
            <w:r>
              <w:rPr>
                <w:rFonts w:hint="default" w:ascii="Times New Roman" w:hAnsi="Times New Roman" w:cs="Times New Roman"/>
                <w:b w:val="0"/>
                <w:bCs w:val="0"/>
                <w:color w:val="auto"/>
                <w:sz w:val="24"/>
                <w:lang w:val="en-US" w:eastAsia="zh-CN"/>
              </w:rPr>
              <w:t>则年输出热量为5600kW×400h=2240000kW</w:t>
            </w:r>
            <w:r>
              <w:rPr>
                <w:rFonts w:hint="default" w:ascii="Times New Roman" w:hAnsi="Times New Roman" w:eastAsia="微软雅黑" w:cs="Times New Roman"/>
                <w:b w:val="0"/>
                <w:bCs w:val="0"/>
                <w:color w:val="auto"/>
                <w:sz w:val="24"/>
                <w:lang w:val="en-US" w:eastAsia="zh-CN"/>
              </w:rPr>
              <w:t>•</w:t>
            </w:r>
            <w:r>
              <w:rPr>
                <w:rFonts w:hint="default" w:ascii="Times New Roman" w:hAnsi="Times New Roman" w:cs="Times New Roman"/>
                <w:b w:val="0"/>
                <w:bCs w:val="0"/>
                <w:color w:val="auto"/>
                <w:sz w:val="24"/>
                <w:lang w:val="en-US" w:eastAsia="zh-CN"/>
              </w:rPr>
              <w:t>h，根据建设单位提供的生物质颗粒物检测报告可知，生物质颗粒低位发热量为4062kcal/kg，因此发热量为4062kcal/h÷860kcal/kW</w:t>
            </w:r>
            <w:r>
              <w:rPr>
                <w:rFonts w:hint="default" w:ascii="Times New Roman" w:hAnsi="Times New Roman" w:eastAsia="微软雅黑" w:cs="Times New Roman"/>
                <w:b w:val="0"/>
                <w:bCs w:val="0"/>
                <w:color w:val="auto"/>
                <w:sz w:val="24"/>
                <w:lang w:val="en-US" w:eastAsia="zh-CN"/>
              </w:rPr>
              <w:t>•</w:t>
            </w:r>
            <w:r>
              <w:rPr>
                <w:rFonts w:hint="default" w:ascii="Times New Roman" w:hAnsi="Times New Roman" w:cs="Times New Roman"/>
                <w:b w:val="0"/>
                <w:bCs w:val="0"/>
                <w:color w:val="auto"/>
                <w:sz w:val="24"/>
                <w:lang w:val="en-US" w:eastAsia="zh-CN"/>
              </w:rPr>
              <w:t>h≈4.723kW</w:t>
            </w:r>
            <w:r>
              <w:rPr>
                <w:rFonts w:hint="default" w:ascii="Times New Roman" w:hAnsi="Times New Roman" w:eastAsia="微软雅黑" w:cs="Times New Roman"/>
                <w:b w:val="0"/>
                <w:bCs w:val="0"/>
                <w:color w:val="auto"/>
                <w:sz w:val="24"/>
                <w:lang w:val="en-US" w:eastAsia="zh-CN"/>
              </w:rPr>
              <w:t>•</w:t>
            </w:r>
            <w:r>
              <w:rPr>
                <w:rFonts w:hint="default" w:ascii="Times New Roman" w:hAnsi="Times New Roman" w:cs="Times New Roman"/>
                <w:b w:val="0"/>
                <w:bCs w:val="0"/>
                <w:color w:val="auto"/>
                <w:sz w:val="24"/>
                <w:lang w:val="en-US" w:eastAsia="zh-CN"/>
              </w:rPr>
              <w:t>h/kg。</w:t>
            </w:r>
          </w:p>
          <w:p w14:paraId="3EB13A28">
            <w:pPr>
              <w:spacing w:line="360" w:lineRule="auto"/>
              <w:ind w:firstLine="472"/>
              <w:rPr>
                <w:rFonts w:hint="default" w:ascii="Times New Roman" w:hAnsi="Times New Roman" w:cs="Times New Roman"/>
                <w:b w:val="0"/>
                <w:bCs w:val="0"/>
                <w:color w:val="auto"/>
                <w:sz w:val="24"/>
                <w:lang w:val="en-US" w:eastAsia="zh-CN"/>
              </w:rPr>
            </w:pPr>
            <w:r>
              <w:rPr>
                <w:rFonts w:hint="default" w:ascii="Times New Roman" w:hAnsi="Times New Roman" w:cs="Times New Roman"/>
                <w:b w:val="0"/>
                <w:bCs w:val="0"/>
                <w:color w:val="auto"/>
                <w:sz w:val="24"/>
                <w:lang w:val="en-US" w:eastAsia="zh-CN"/>
              </w:rPr>
              <w:t>本项目使用的热风炉效率约为85%，则实际燃料输入能量为224000÷0.85=2635294kW</w:t>
            </w:r>
            <w:r>
              <w:rPr>
                <w:rFonts w:hint="default" w:ascii="Times New Roman" w:hAnsi="Times New Roman" w:eastAsia="微软雅黑" w:cs="Times New Roman"/>
                <w:b w:val="0"/>
                <w:bCs w:val="0"/>
                <w:color w:val="auto"/>
                <w:sz w:val="24"/>
                <w:lang w:val="en-US" w:eastAsia="zh-CN"/>
              </w:rPr>
              <w:t>•</w:t>
            </w:r>
            <w:r>
              <w:rPr>
                <w:rFonts w:hint="default" w:ascii="Times New Roman" w:hAnsi="Times New Roman" w:cs="Times New Roman"/>
                <w:b w:val="0"/>
                <w:bCs w:val="0"/>
                <w:color w:val="auto"/>
                <w:sz w:val="24"/>
                <w:lang w:val="en-US" w:eastAsia="zh-CN"/>
              </w:rPr>
              <w:t>h；则年消耗量为2635294kW</w:t>
            </w:r>
            <w:r>
              <w:rPr>
                <w:rFonts w:hint="default" w:ascii="Times New Roman" w:hAnsi="Times New Roman" w:eastAsia="微软雅黑" w:cs="Times New Roman"/>
                <w:b w:val="0"/>
                <w:bCs w:val="0"/>
                <w:color w:val="auto"/>
                <w:sz w:val="24"/>
                <w:lang w:val="en-US" w:eastAsia="zh-CN"/>
              </w:rPr>
              <w:t>•</w:t>
            </w:r>
            <w:r>
              <w:rPr>
                <w:rFonts w:hint="default" w:ascii="Times New Roman" w:hAnsi="Times New Roman" w:cs="Times New Roman"/>
                <w:b w:val="0"/>
                <w:bCs w:val="0"/>
                <w:color w:val="auto"/>
                <w:sz w:val="24"/>
                <w:lang w:val="en-US" w:eastAsia="zh-CN"/>
              </w:rPr>
              <w:t>h÷4.723kW</w:t>
            </w:r>
            <w:r>
              <w:rPr>
                <w:rFonts w:hint="default" w:ascii="Times New Roman" w:hAnsi="Times New Roman" w:eastAsia="微软雅黑" w:cs="Times New Roman"/>
                <w:b w:val="0"/>
                <w:bCs w:val="0"/>
                <w:color w:val="auto"/>
                <w:sz w:val="24"/>
                <w:lang w:val="en-US" w:eastAsia="zh-CN"/>
              </w:rPr>
              <w:t>•</w:t>
            </w:r>
            <w:r>
              <w:rPr>
                <w:rFonts w:hint="default" w:ascii="Times New Roman" w:hAnsi="Times New Roman" w:cs="Times New Roman"/>
                <w:b w:val="0"/>
                <w:bCs w:val="0"/>
                <w:color w:val="auto"/>
                <w:sz w:val="24"/>
                <w:lang w:val="en-US" w:eastAsia="zh-CN"/>
              </w:rPr>
              <w:t>h/kg÷1000≈558t</w:t>
            </w:r>
          </w:p>
          <w:p w14:paraId="45FA54E3">
            <w:pPr>
              <w:spacing w:line="360" w:lineRule="auto"/>
              <w:ind w:firstLine="472"/>
              <w:rPr>
                <w:rFonts w:hint="default" w:ascii="Times New Roman" w:hAnsi="Times New Roman" w:cs="Times New Roman"/>
                <w:b w:val="0"/>
                <w:bCs w:val="0"/>
                <w:color w:val="auto"/>
                <w:kern w:val="0"/>
                <w:sz w:val="24"/>
                <w:lang w:bidi="ar"/>
              </w:rPr>
            </w:pPr>
            <w:r>
              <w:rPr>
                <w:rFonts w:hint="default" w:ascii="Times New Roman" w:hAnsi="Times New Roman" w:cs="Times New Roman"/>
                <w:b w:val="0"/>
                <w:bCs w:val="0"/>
                <w:color w:val="auto"/>
                <w:sz w:val="24"/>
                <w:lang w:val="en-US" w:eastAsia="zh-CN"/>
              </w:rPr>
              <w:t>综上本项目生物质颗粒年使用量约为558t/a。</w:t>
            </w:r>
          </w:p>
          <w:p w14:paraId="2F9762AE">
            <w:pPr>
              <w:spacing w:line="360" w:lineRule="auto"/>
              <w:ind w:firstLine="480" w:firstLineChars="200"/>
              <w:rPr>
                <w:bCs/>
                <w:color w:val="auto"/>
                <w:sz w:val="24"/>
              </w:rPr>
            </w:pPr>
            <w:r>
              <w:rPr>
                <w:rFonts w:hint="eastAsia"/>
                <w:bCs/>
                <w:color w:val="auto"/>
                <w:sz w:val="24"/>
              </w:rPr>
              <w:t>4</w:t>
            </w:r>
            <w:r>
              <w:rPr>
                <w:bCs/>
                <w:color w:val="auto"/>
                <w:sz w:val="24"/>
              </w:rPr>
              <w:t>、主要生产设备</w:t>
            </w:r>
          </w:p>
          <w:p w14:paraId="5DB17B5C">
            <w:pPr>
              <w:jc w:val="center"/>
              <w:rPr>
                <w:b/>
                <w:bCs/>
                <w:color w:val="auto"/>
                <w:sz w:val="24"/>
              </w:rPr>
            </w:pPr>
            <w:r>
              <w:rPr>
                <w:b/>
                <w:bCs/>
                <w:color w:val="auto"/>
                <w:sz w:val="24"/>
              </w:rPr>
              <w:t>表2-</w:t>
            </w:r>
            <w:r>
              <w:rPr>
                <w:rFonts w:hint="eastAsia"/>
                <w:b/>
                <w:bCs/>
                <w:color w:val="auto"/>
                <w:sz w:val="24"/>
              </w:rPr>
              <w:t>4</w:t>
            </w:r>
            <w:r>
              <w:rPr>
                <w:b/>
                <w:bCs/>
                <w:color w:val="auto"/>
                <w:sz w:val="24"/>
              </w:rPr>
              <w:t xml:space="preserve">  主要装置和设施名称、型号、数量一览表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83"/>
              <w:gridCol w:w="866"/>
              <w:gridCol w:w="1991"/>
              <w:gridCol w:w="1310"/>
              <w:gridCol w:w="1172"/>
              <w:gridCol w:w="1344"/>
              <w:gridCol w:w="1322"/>
            </w:tblGrid>
            <w:tr w14:paraId="155E6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14:paraId="7CD66391">
                  <w:pPr>
                    <w:jc w:val="center"/>
                    <w:rPr>
                      <w:color w:val="auto"/>
                      <w:kern w:val="21"/>
                      <w:szCs w:val="21"/>
                    </w:rPr>
                  </w:pPr>
                  <w:r>
                    <w:rPr>
                      <w:rFonts w:hint="eastAsia"/>
                      <w:color w:val="auto"/>
                      <w:kern w:val="21"/>
                      <w:szCs w:val="21"/>
                    </w:rPr>
                    <w:t>序号</w:t>
                  </w:r>
                </w:p>
              </w:tc>
              <w:tc>
                <w:tcPr>
                  <w:tcW w:w="510" w:type="pct"/>
                  <w:tcBorders>
                    <w:top w:val="single" w:color="auto" w:sz="4" w:space="0"/>
                    <w:left w:val="single" w:color="auto" w:sz="4" w:space="0"/>
                    <w:bottom w:val="single" w:color="auto" w:sz="4" w:space="0"/>
                    <w:right w:val="single" w:color="auto" w:sz="4" w:space="0"/>
                  </w:tcBorders>
                  <w:vAlign w:val="center"/>
                </w:tcPr>
                <w:p w14:paraId="47B6A823">
                  <w:pPr>
                    <w:jc w:val="center"/>
                    <w:rPr>
                      <w:color w:val="auto"/>
                      <w:kern w:val="21"/>
                      <w:szCs w:val="21"/>
                    </w:rPr>
                  </w:pPr>
                  <w:r>
                    <w:rPr>
                      <w:rFonts w:hint="eastAsia"/>
                      <w:color w:val="auto"/>
                      <w:kern w:val="21"/>
                      <w:szCs w:val="21"/>
                    </w:rPr>
                    <w:t>对应工段</w:t>
                  </w:r>
                </w:p>
              </w:tc>
              <w:tc>
                <w:tcPr>
                  <w:tcW w:w="1172" w:type="pct"/>
                  <w:tcBorders>
                    <w:top w:val="single" w:color="auto" w:sz="4" w:space="0"/>
                    <w:left w:val="single" w:color="auto" w:sz="4" w:space="0"/>
                    <w:bottom w:val="single" w:color="auto" w:sz="4" w:space="0"/>
                    <w:right w:val="single" w:color="auto" w:sz="4" w:space="0"/>
                  </w:tcBorders>
                  <w:vAlign w:val="center"/>
                </w:tcPr>
                <w:p w14:paraId="455D274C">
                  <w:pPr>
                    <w:jc w:val="center"/>
                    <w:rPr>
                      <w:color w:val="auto"/>
                      <w:kern w:val="21"/>
                      <w:szCs w:val="21"/>
                    </w:rPr>
                  </w:pPr>
                  <w:r>
                    <w:rPr>
                      <w:rFonts w:hint="eastAsia"/>
                      <w:color w:val="auto"/>
                      <w:kern w:val="21"/>
                      <w:szCs w:val="21"/>
                    </w:rPr>
                    <w:t>设备名称</w:t>
                  </w:r>
                </w:p>
              </w:tc>
              <w:tc>
                <w:tcPr>
                  <w:tcW w:w="771" w:type="pct"/>
                  <w:tcBorders>
                    <w:top w:val="single" w:color="auto" w:sz="4" w:space="0"/>
                    <w:left w:val="single" w:color="auto" w:sz="4" w:space="0"/>
                    <w:bottom w:val="single" w:color="auto" w:sz="4" w:space="0"/>
                    <w:right w:val="single" w:color="auto" w:sz="4" w:space="0"/>
                  </w:tcBorders>
                  <w:vAlign w:val="center"/>
                </w:tcPr>
                <w:p w14:paraId="4635106E">
                  <w:pPr>
                    <w:jc w:val="center"/>
                    <w:rPr>
                      <w:color w:val="auto"/>
                      <w:kern w:val="21"/>
                      <w:szCs w:val="21"/>
                    </w:rPr>
                  </w:pPr>
                  <w:r>
                    <w:rPr>
                      <w:rFonts w:hint="eastAsia"/>
                      <w:color w:val="auto"/>
                      <w:kern w:val="21"/>
                      <w:szCs w:val="21"/>
                    </w:rPr>
                    <w:t>规格型号</w:t>
                  </w:r>
                </w:p>
              </w:tc>
              <w:tc>
                <w:tcPr>
                  <w:tcW w:w="690" w:type="pct"/>
                  <w:tcBorders>
                    <w:top w:val="single" w:color="auto" w:sz="4" w:space="0"/>
                    <w:left w:val="single" w:color="auto" w:sz="4" w:space="0"/>
                    <w:bottom w:val="single" w:color="auto" w:sz="4" w:space="0"/>
                    <w:right w:val="single" w:color="auto" w:sz="4" w:space="0"/>
                  </w:tcBorders>
                  <w:vAlign w:val="center"/>
                </w:tcPr>
                <w:p w14:paraId="4B68D29E">
                  <w:pPr>
                    <w:jc w:val="center"/>
                    <w:rPr>
                      <w:color w:val="auto"/>
                      <w:kern w:val="21"/>
                      <w:szCs w:val="21"/>
                    </w:rPr>
                  </w:pPr>
                  <w:r>
                    <w:rPr>
                      <w:rFonts w:hint="eastAsia"/>
                      <w:color w:val="auto"/>
                      <w:kern w:val="21"/>
                      <w:szCs w:val="21"/>
                    </w:rPr>
                    <w:t>改建前设备数量（台</w:t>
                  </w:r>
                  <w:r>
                    <w:rPr>
                      <w:color w:val="auto"/>
                      <w:kern w:val="21"/>
                      <w:szCs w:val="21"/>
                    </w:rPr>
                    <w:t>/</w:t>
                  </w:r>
                  <w:r>
                    <w:rPr>
                      <w:rFonts w:hint="eastAsia"/>
                      <w:color w:val="auto"/>
                      <w:kern w:val="21"/>
                      <w:szCs w:val="21"/>
                    </w:rPr>
                    <w:t>套）</w:t>
                  </w:r>
                </w:p>
              </w:tc>
              <w:tc>
                <w:tcPr>
                  <w:tcW w:w="791" w:type="pct"/>
                  <w:tcBorders>
                    <w:top w:val="single" w:color="auto" w:sz="4" w:space="0"/>
                    <w:left w:val="single" w:color="auto" w:sz="4" w:space="0"/>
                    <w:bottom w:val="single" w:color="auto" w:sz="4" w:space="0"/>
                    <w:right w:val="single" w:color="auto" w:sz="4" w:space="0"/>
                  </w:tcBorders>
                  <w:vAlign w:val="center"/>
                </w:tcPr>
                <w:p w14:paraId="61AF2C86">
                  <w:pPr>
                    <w:jc w:val="center"/>
                    <w:rPr>
                      <w:color w:val="auto"/>
                      <w:kern w:val="21"/>
                      <w:szCs w:val="21"/>
                    </w:rPr>
                  </w:pPr>
                  <w:r>
                    <w:rPr>
                      <w:rFonts w:hint="eastAsia"/>
                      <w:color w:val="auto"/>
                      <w:kern w:val="21"/>
                      <w:szCs w:val="21"/>
                    </w:rPr>
                    <w:t>改建项目设备数量（台</w:t>
                  </w:r>
                  <w:r>
                    <w:rPr>
                      <w:color w:val="auto"/>
                      <w:kern w:val="21"/>
                      <w:szCs w:val="21"/>
                    </w:rPr>
                    <w:t>/</w:t>
                  </w:r>
                  <w:r>
                    <w:rPr>
                      <w:rFonts w:hint="eastAsia"/>
                      <w:color w:val="auto"/>
                      <w:kern w:val="21"/>
                      <w:szCs w:val="21"/>
                    </w:rPr>
                    <w:t>套）</w:t>
                  </w:r>
                </w:p>
              </w:tc>
              <w:tc>
                <w:tcPr>
                  <w:tcW w:w="778" w:type="pct"/>
                  <w:tcBorders>
                    <w:top w:val="single" w:color="auto" w:sz="4" w:space="0"/>
                    <w:left w:val="single" w:color="auto" w:sz="4" w:space="0"/>
                    <w:bottom w:val="single" w:color="auto" w:sz="4" w:space="0"/>
                    <w:right w:val="single" w:color="auto" w:sz="4" w:space="0"/>
                  </w:tcBorders>
                  <w:vAlign w:val="center"/>
                </w:tcPr>
                <w:p w14:paraId="0A61D44C">
                  <w:pPr>
                    <w:jc w:val="center"/>
                    <w:rPr>
                      <w:color w:val="auto"/>
                      <w:kern w:val="21"/>
                      <w:szCs w:val="21"/>
                    </w:rPr>
                  </w:pPr>
                  <w:r>
                    <w:rPr>
                      <w:rFonts w:hint="eastAsia"/>
                      <w:color w:val="auto"/>
                      <w:kern w:val="21"/>
                      <w:szCs w:val="21"/>
                    </w:rPr>
                    <w:t>改建后全厂设备数量（台</w:t>
                  </w:r>
                  <w:r>
                    <w:rPr>
                      <w:color w:val="auto"/>
                      <w:kern w:val="21"/>
                      <w:szCs w:val="21"/>
                    </w:rPr>
                    <w:t>/</w:t>
                  </w:r>
                  <w:r>
                    <w:rPr>
                      <w:rFonts w:hint="eastAsia"/>
                      <w:color w:val="auto"/>
                      <w:kern w:val="21"/>
                      <w:szCs w:val="21"/>
                    </w:rPr>
                    <w:t>套）</w:t>
                  </w:r>
                </w:p>
              </w:tc>
            </w:tr>
            <w:tr w14:paraId="01CB2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14:paraId="36C0BBD7">
                  <w:pPr>
                    <w:jc w:val="center"/>
                    <w:rPr>
                      <w:color w:val="auto"/>
                      <w:kern w:val="21"/>
                      <w:szCs w:val="21"/>
                    </w:rPr>
                  </w:pPr>
                  <w:r>
                    <w:rPr>
                      <w:color w:val="auto"/>
                      <w:kern w:val="21"/>
                      <w:szCs w:val="21"/>
                    </w:rPr>
                    <w:t>1</w:t>
                  </w:r>
                </w:p>
              </w:tc>
              <w:tc>
                <w:tcPr>
                  <w:tcW w:w="510" w:type="pct"/>
                  <w:tcBorders>
                    <w:top w:val="single" w:color="auto" w:sz="4" w:space="0"/>
                    <w:left w:val="single" w:color="auto" w:sz="4" w:space="0"/>
                    <w:bottom w:val="single" w:color="auto" w:sz="4" w:space="0"/>
                    <w:right w:val="single" w:color="auto" w:sz="4" w:space="0"/>
                  </w:tcBorders>
                  <w:vAlign w:val="center"/>
                </w:tcPr>
                <w:p w14:paraId="1AF2E60C">
                  <w:pPr>
                    <w:pStyle w:val="35"/>
                    <w:adjustRightInd/>
                    <w:snapToGrid/>
                    <w:rPr>
                      <w:rFonts w:hint="default" w:cs="Times New Roman"/>
                      <w:color w:val="auto"/>
                      <w:kern w:val="21"/>
                    </w:rPr>
                  </w:pPr>
                  <w:r>
                    <w:rPr>
                      <w:rFonts w:cs="Times New Roman"/>
                      <w:color w:val="auto"/>
                      <w:kern w:val="21"/>
                    </w:rPr>
                    <w:t>计量检验</w:t>
                  </w:r>
                </w:p>
              </w:tc>
              <w:tc>
                <w:tcPr>
                  <w:tcW w:w="1172" w:type="pct"/>
                  <w:tcBorders>
                    <w:top w:val="single" w:color="auto" w:sz="4" w:space="0"/>
                    <w:left w:val="single" w:color="auto" w:sz="4" w:space="0"/>
                    <w:bottom w:val="single" w:color="auto" w:sz="4" w:space="0"/>
                    <w:right w:val="single" w:color="auto" w:sz="4" w:space="0"/>
                  </w:tcBorders>
                  <w:vAlign w:val="center"/>
                </w:tcPr>
                <w:p w14:paraId="73702403">
                  <w:pPr>
                    <w:pStyle w:val="35"/>
                    <w:adjustRightInd/>
                    <w:snapToGrid/>
                    <w:rPr>
                      <w:rFonts w:hint="default" w:cs="Times New Roman"/>
                      <w:color w:val="auto"/>
                      <w:kern w:val="21"/>
                    </w:rPr>
                  </w:pPr>
                  <w:r>
                    <w:rPr>
                      <w:rFonts w:cs="Times New Roman"/>
                      <w:color w:val="auto"/>
                      <w:kern w:val="21"/>
                    </w:rPr>
                    <w:t>地磅</w:t>
                  </w:r>
                </w:p>
              </w:tc>
              <w:tc>
                <w:tcPr>
                  <w:tcW w:w="771" w:type="pct"/>
                  <w:tcBorders>
                    <w:top w:val="single" w:color="auto" w:sz="4" w:space="0"/>
                    <w:left w:val="single" w:color="auto" w:sz="4" w:space="0"/>
                    <w:bottom w:val="single" w:color="auto" w:sz="4" w:space="0"/>
                    <w:right w:val="single" w:color="auto" w:sz="4" w:space="0"/>
                  </w:tcBorders>
                  <w:vAlign w:val="center"/>
                </w:tcPr>
                <w:p w14:paraId="788DB8E0">
                  <w:pPr>
                    <w:pStyle w:val="35"/>
                    <w:adjustRightInd/>
                    <w:snapToGrid/>
                    <w:rPr>
                      <w:rFonts w:hint="default" w:cs="Times New Roman"/>
                      <w:color w:val="auto"/>
                      <w:kern w:val="21"/>
                    </w:rPr>
                  </w:pPr>
                  <w:r>
                    <w:rPr>
                      <w:rFonts w:cs="Times New Roman"/>
                      <w:color w:val="auto"/>
                      <w:kern w:val="21"/>
                    </w:rPr>
                    <w:t>/</w:t>
                  </w:r>
                </w:p>
              </w:tc>
              <w:tc>
                <w:tcPr>
                  <w:tcW w:w="690" w:type="pct"/>
                  <w:tcBorders>
                    <w:top w:val="single" w:color="auto" w:sz="4" w:space="0"/>
                    <w:left w:val="single" w:color="auto" w:sz="4" w:space="0"/>
                    <w:bottom w:val="single" w:color="auto" w:sz="4" w:space="0"/>
                    <w:right w:val="single" w:color="auto" w:sz="4" w:space="0"/>
                  </w:tcBorders>
                  <w:vAlign w:val="center"/>
                </w:tcPr>
                <w:p w14:paraId="2A3297E9">
                  <w:pPr>
                    <w:jc w:val="center"/>
                    <w:rPr>
                      <w:color w:val="auto"/>
                      <w:kern w:val="21"/>
                    </w:rPr>
                  </w:pPr>
                  <w:r>
                    <w:rPr>
                      <w:rFonts w:hint="eastAsia"/>
                      <w:color w:val="auto"/>
                      <w:kern w:val="21"/>
                      <w:szCs w:val="21"/>
                    </w:rPr>
                    <w:t>1</w:t>
                  </w:r>
                </w:p>
              </w:tc>
              <w:tc>
                <w:tcPr>
                  <w:tcW w:w="791" w:type="pct"/>
                  <w:tcBorders>
                    <w:top w:val="single" w:color="auto" w:sz="4" w:space="0"/>
                    <w:left w:val="single" w:color="auto" w:sz="4" w:space="0"/>
                    <w:bottom w:val="single" w:color="auto" w:sz="4" w:space="0"/>
                    <w:right w:val="single" w:color="auto" w:sz="4" w:space="0"/>
                  </w:tcBorders>
                  <w:vAlign w:val="center"/>
                </w:tcPr>
                <w:p w14:paraId="351AD7AF">
                  <w:pPr>
                    <w:jc w:val="center"/>
                    <w:rPr>
                      <w:color w:val="auto"/>
                      <w:kern w:val="21"/>
                      <w:szCs w:val="21"/>
                    </w:rPr>
                  </w:pPr>
                  <w:r>
                    <w:rPr>
                      <w:rFonts w:hint="eastAsia"/>
                      <w:color w:val="auto"/>
                      <w:kern w:val="21"/>
                      <w:szCs w:val="21"/>
                    </w:rPr>
                    <w:t>0</w:t>
                  </w:r>
                </w:p>
              </w:tc>
              <w:tc>
                <w:tcPr>
                  <w:tcW w:w="778" w:type="pct"/>
                  <w:tcBorders>
                    <w:top w:val="single" w:color="auto" w:sz="4" w:space="0"/>
                    <w:left w:val="single" w:color="auto" w:sz="4" w:space="0"/>
                    <w:bottom w:val="single" w:color="auto" w:sz="4" w:space="0"/>
                    <w:right w:val="single" w:color="auto" w:sz="4" w:space="0"/>
                  </w:tcBorders>
                  <w:vAlign w:val="center"/>
                </w:tcPr>
                <w:p w14:paraId="7C041BD0">
                  <w:pPr>
                    <w:jc w:val="center"/>
                    <w:rPr>
                      <w:color w:val="auto"/>
                      <w:kern w:val="21"/>
                      <w:szCs w:val="21"/>
                    </w:rPr>
                  </w:pPr>
                  <w:r>
                    <w:rPr>
                      <w:rFonts w:hint="eastAsia"/>
                      <w:color w:val="auto"/>
                      <w:kern w:val="21"/>
                      <w:szCs w:val="21"/>
                    </w:rPr>
                    <w:t>1</w:t>
                  </w:r>
                </w:p>
              </w:tc>
            </w:tr>
            <w:tr w14:paraId="48EC5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14:paraId="30A68D6A">
                  <w:pPr>
                    <w:jc w:val="center"/>
                    <w:rPr>
                      <w:color w:val="auto"/>
                      <w:kern w:val="21"/>
                      <w:szCs w:val="21"/>
                    </w:rPr>
                  </w:pPr>
                  <w:r>
                    <w:rPr>
                      <w:color w:val="auto"/>
                      <w:kern w:val="21"/>
                      <w:szCs w:val="21"/>
                    </w:rPr>
                    <w:t>2</w:t>
                  </w:r>
                </w:p>
              </w:tc>
              <w:tc>
                <w:tcPr>
                  <w:tcW w:w="510" w:type="pct"/>
                  <w:tcBorders>
                    <w:top w:val="single" w:color="auto" w:sz="4" w:space="0"/>
                    <w:left w:val="single" w:color="auto" w:sz="4" w:space="0"/>
                    <w:bottom w:val="single" w:color="auto" w:sz="4" w:space="0"/>
                    <w:right w:val="single" w:color="auto" w:sz="4" w:space="0"/>
                  </w:tcBorders>
                  <w:vAlign w:val="center"/>
                </w:tcPr>
                <w:p w14:paraId="008BE8D7">
                  <w:pPr>
                    <w:pStyle w:val="35"/>
                    <w:adjustRightInd/>
                    <w:snapToGrid/>
                    <w:rPr>
                      <w:rFonts w:hint="default" w:cs="Times New Roman"/>
                      <w:color w:val="auto"/>
                      <w:kern w:val="21"/>
                    </w:rPr>
                  </w:pPr>
                  <w:r>
                    <w:rPr>
                      <w:rFonts w:cs="Times New Roman"/>
                      <w:color w:val="auto"/>
                      <w:kern w:val="21"/>
                    </w:rPr>
                    <w:t>上料</w:t>
                  </w:r>
                </w:p>
              </w:tc>
              <w:tc>
                <w:tcPr>
                  <w:tcW w:w="1172" w:type="pct"/>
                  <w:tcBorders>
                    <w:top w:val="single" w:color="auto" w:sz="4" w:space="0"/>
                    <w:left w:val="single" w:color="auto" w:sz="4" w:space="0"/>
                    <w:bottom w:val="single" w:color="auto" w:sz="4" w:space="0"/>
                    <w:right w:val="single" w:color="auto" w:sz="4" w:space="0"/>
                  </w:tcBorders>
                  <w:vAlign w:val="center"/>
                </w:tcPr>
                <w:p w14:paraId="12701E9B">
                  <w:pPr>
                    <w:pStyle w:val="35"/>
                    <w:adjustRightInd/>
                    <w:snapToGrid/>
                    <w:rPr>
                      <w:rFonts w:hint="default" w:cs="Times New Roman"/>
                      <w:color w:val="auto"/>
                      <w:kern w:val="21"/>
                    </w:rPr>
                  </w:pPr>
                  <w:r>
                    <w:rPr>
                      <w:rFonts w:cs="Times New Roman"/>
                      <w:color w:val="auto"/>
                      <w:kern w:val="21"/>
                    </w:rPr>
                    <w:t>平板输送带</w:t>
                  </w:r>
                </w:p>
              </w:tc>
              <w:tc>
                <w:tcPr>
                  <w:tcW w:w="771" w:type="pct"/>
                  <w:tcBorders>
                    <w:top w:val="single" w:color="auto" w:sz="4" w:space="0"/>
                    <w:left w:val="single" w:color="auto" w:sz="4" w:space="0"/>
                    <w:bottom w:val="single" w:color="auto" w:sz="4" w:space="0"/>
                    <w:right w:val="single" w:color="auto" w:sz="4" w:space="0"/>
                  </w:tcBorders>
                  <w:vAlign w:val="center"/>
                </w:tcPr>
                <w:p w14:paraId="469E115F">
                  <w:pPr>
                    <w:pStyle w:val="35"/>
                    <w:adjustRightInd/>
                    <w:snapToGrid/>
                    <w:rPr>
                      <w:rFonts w:hint="default" w:cs="Times New Roman"/>
                      <w:color w:val="auto"/>
                      <w:kern w:val="21"/>
                    </w:rPr>
                  </w:pPr>
                  <w:r>
                    <w:rPr>
                      <w:rFonts w:cs="Times New Roman"/>
                      <w:color w:val="auto"/>
                      <w:kern w:val="21"/>
                    </w:rPr>
                    <w:t>/</w:t>
                  </w:r>
                </w:p>
              </w:tc>
              <w:tc>
                <w:tcPr>
                  <w:tcW w:w="690" w:type="pct"/>
                  <w:tcBorders>
                    <w:top w:val="single" w:color="auto" w:sz="4" w:space="0"/>
                    <w:left w:val="single" w:color="auto" w:sz="4" w:space="0"/>
                    <w:bottom w:val="single" w:color="auto" w:sz="4" w:space="0"/>
                    <w:right w:val="single" w:color="auto" w:sz="4" w:space="0"/>
                  </w:tcBorders>
                  <w:vAlign w:val="center"/>
                </w:tcPr>
                <w:p w14:paraId="6B92DCDE">
                  <w:pPr>
                    <w:jc w:val="center"/>
                    <w:rPr>
                      <w:color w:val="auto"/>
                      <w:kern w:val="21"/>
                    </w:rPr>
                  </w:pPr>
                  <w:r>
                    <w:rPr>
                      <w:rFonts w:hint="eastAsia"/>
                      <w:color w:val="auto"/>
                      <w:kern w:val="21"/>
                      <w:szCs w:val="21"/>
                    </w:rPr>
                    <w:t>20</w:t>
                  </w:r>
                </w:p>
              </w:tc>
              <w:tc>
                <w:tcPr>
                  <w:tcW w:w="791" w:type="pct"/>
                  <w:tcBorders>
                    <w:top w:val="single" w:color="auto" w:sz="4" w:space="0"/>
                    <w:left w:val="single" w:color="auto" w:sz="4" w:space="0"/>
                    <w:bottom w:val="single" w:color="auto" w:sz="4" w:space="0"/>
                    <w:right w:val="single" w:color="auto" w:sz="4" w:space="0"/>
                  </w:tcBorders>
                  <w:vAlign w:val="center"/>
                </w:tcPr>
                <w:p w14:paraId="6E2947FA">
                  <w:pPr>
                    <w:jc w:val="center"/>
                    <w:rPr>
                      <w:color w:val="auto"/>
                      <w:kern w:val="21"/>
                      <w:szCs w:val="21"/>
                    </w:rPr>
                  </w:pPr>
                  <w:r>
                    <w:rPr>
                      <w:rFonts w:hint="eastAsia"/>
                      <w:color w:val="auto"/>
                      <w:kern w:val="21"/>
                      <w:szCs w:val="21"/>
                    </w:rPr>
                    <w:t>0</w:t>
                  </w:r>
                </w:p>
              </w:tc>
              <w:tc>
                <w:tcPr>
                  <w:tcW w:w="778" w:type="pct"/>
                  <w:tcBorders>
                    <w:top w:val="single" w:color="auto" w:sz="4" w:space="0"/>
                    <w:left w:val="single" w:color="auto" w:sz="4" w:space="0"/>
                    <w:bottom w:val="single" w:color="auto" w:sz="4" w:space="0"/>
                    <w:right w:val="single" w:color="auto" w:sz="4" w:space="0"/>
                  </w:tcBorders>
                  <w:vAlign w:val="center"/>
                </w:tcPr>
                <w:p w14:paraId="0A117CAB">
                  <w:pPr>
                    <w:jc w:val="center"/>
                    <w:rPr>
                      <w:color w:val="auto"/>
                      <w:kern w:val="21"/>
                      <w:szCs w:val="21"/>
                    </w:rPr>
                  </w:pPr>
                  <w:r>
                    <w:rPr>
                      <w:rFonts w:hint="eastAsia"/>
                      <w:color w:val="auto"/>
                      <w:kern w:val="21"/>
                      <w:szCs w:val="21"/>
                    </w:rPr>
                    <w:t>20</w:t>
                  </w:r>
                </w:p>
              </w:tc>
            </w:tr>
            <w:tr w14:paraId="37561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14:paraId="67209D1F">
                  <w:pPr>
                    <w:jc w:val="center"/>
                    <w:rPr>
                      <w:color w:val="auto"/>
                      <w:kern w:val="21"/>
                      <w:szCs w:val="21"/>
                    </w:rPr>
                  </w:pPr>
                  <w:r>
                    <w:rPr>
                      <w:color w:val="auto"/>
                      <w:kern w:val="21"/>
                      <w:szCs w:val="21"/>
                    </w:rPr>
                    <w:t>3</w:t>
                  </w:r>
                </w:p>
              </w:tc>
              <w:tc>
                <w:tcPr>
                  <w:tcW w:w="510" w:type="pct"/>
                  <w:tcBorders>
                    <w:top w:val="single" w:color="auto" w:sz="4" w:space="0"/>
                    <w:left w:val="single" w:color="auto" w:sz="4" w:space="0"/>
                    <w:bottom w:val="single" w:color="auto" w:sz="4" w:space="0"/>
                    <w:right w:val="single" w:color="auto" w:sz="4" w:space="0"/>
                  </w:tcBorders>
                  <w:vAlign w:val="center"/>
                </w:tcPr>
                <w:p w14:paraId="693889F9">
                  <w:pPr>
                    <w:pStyle w:val="35"/>
                    <w:adjustRightInd/>
                    <w:snapToGrid/>
                    <w:rPr>
                      <w:rFonts w:hint="default" w:cs="Times New Roman"/>
                      <w:color w:val="auto"/>
                      <w:kern w:val="21"/>
                    </w:rPr>
                  </w:pPr>
                  <w:r>
                    <w:rPr>
                      <w:rFonts w:cs="Times New Roman"/>
                      <w:color w:val="auto"/>
                      <w:kern w:val="21"/>
                    </w:rPr>
                    <w:t>筛分</w:t>
                  </w:r>
                </w:p>
              </w:tc>
              <w:tc>
                <w:tcPr>
                  <w:tcW w:w="1172" w:type="pct"/>
                  <w:tcBorders>
                    <w:top w:val="single" w:color="auto" w:sz="4" w:space="0"/>
                    <w:left w:val="single" w:color="auto" w:sz="4" w:space="0"/>
                    <w:bottom w:val="single" w:color="auto" w:sz="4" w:space="0"/>
                    <w:right w:val="single" w:color="auto" w:sz="4" w:space="0"/>
                  </w:tcBorders>
                  <w:vAlign w:val="center"/>
                </w:tcPr>
                <w:p w14:paraId="3911FBE2">
                  <w:pPr>
                    <w:pStyle w:val="35"/>
                    <w:adjustRightInd/>
                    <w:snapToGrid/>
                    <w:rPr>
                      <w:rFonts w:hint="default" w:cs="Times New Roman"/>
                      <w:color w:val="auto"/>
                      <w:kern w:val="21"/>
                    </w:rPr>
                  </w:pPr>
                  <w:r>
                    <w:rPr>
                      <w:rFonts w:cs="Times New Roman"/>
                      <w:color w:val="auto"/>
                      <w:kern w:val="21"/>
                    </w:rPr>
                    <w:t>筛选机</w:t>
                  </w:r>
                </w:p>
              </w:tc>
              <w:tc>
                <w:tcPr>
                  <w:tcW w:w="771" w:type="pct"/>
                  <w:tcBorders>
                    <w:top w:val="single" w:color="auto" w:sz="4" w:space="0"/>
                    <w:left w:val="single" w:color="auto" w:sz="4" w:space="0"/>
                    <w:bottom w:val="single" w:color="auto" w:sz="4" w:space="0"/>
                    <w:right w:val="single" w:color="auto" w:sz="4" w:space="0"/>
                  </w:tcBorders>
                  <w:vAlign w:val="center"/>
                </w:tcPr>
                <w:p w14:paraId="151F31D8">
                  <w:pPr>
                    <w:pStyle w:val="35"/>
                    <w:adjustRightInd/>
                    <w:snapToGrid/>
                    <w:rPr>
                      <w:rFonts w:hint="default" w:cs="Times New Roman"/>
                      <w:color w:val="auto"/>
                      <w:kern w:val="21"/>
                    </w:rPr>
                  </w:pPr>
                  <w:r>
                    <w:rPr>
                      <w:rFonts w:cs="Times New Roman"/>
                      <w:color w:val="auto"/>
                      <w:kern w:val="21"/>
                    </w:rPr>
                    <w:t>/</w:t>
                  </w:r>
                </w:p>
              </w:tc>
              <w:tc>
                <w:tcPr>
                  <w:tcW w:w="690" w:type="pct"/>
                  <w:tcBorders>
                    <w:top w:val="single" w:color="auto" w:sz="4" w:space="0"/>
                    <w:left w:val="single" w:color="auto" w:sz="4" w:space="0"/>
                    <w:bottom w:val="single" w:color="auto" w:sz="4" w:space="0"/>
                    <w:right w:val="single" w:color="auto" w:sz="4" w:space="0"/>
                  </w:tcBorders>
                  <w:vAlign w:val="center"/>
                </w:tcPr>
                <w:p w14:paraId="01849C95">
                  <w:pPr>
                    <w:jc w:val="center"/>
                    <w:rPr>
                      <w:color w:val="auto"/>
                      <w:kern w:val="21"/>
                    </w:rPr>
                  </w:pPr>
                  <w:r>
                    <w:rPr>
                      <w:rFonts w:hint="eastAsia"/>
                      <w:color w:val="auto"/>
                      <w:kern w:val="21"/>
                      <w:szCs w:val="21"/>
                    </w:rPr>
                    <w:t>0</w:t>
                  </w:r>
                </w:p>
              </w:tc>
              <w:tc>
                <w:tcPr>
                  <w:tcW w:w="791" w:type="pct"/>
                  <w:tcBorders>
                    <w:top w:val="single" w:color="auto" w:sz="4" w:space="0"/>
                    <w:left w:val="single" w:color="auto" w:sz="4" w:space="0"/>
                    <w:bottom w:val="single" w:color="auto" w:sz="4" w:space="0"/>
                    <w:right w:val="single" w:color="auto" w:sz="4" w:space="0"/>
                  </w:tcBorders>
                  <w:vAlign w:val="center"/>
                </w:tcPr>
                <w:p w14:paraId="467E092D">
                  <w:pPr>
                    <w:jc w:val="center"/>
                    <w:rPr>
                      <w:color w:val="auto"/>
                      <w:kern w:val="21"/>
                      <w:szCs w:val="21"/>
                    </w:rPr>
                  </w:pPr>
                  <w:r>
                    <w:rPr>
                      <w:rFonts w:hint="eastAsia"/>
                      <w:color w:val="auto"/>
                      <w:kern w:val="21"/>
                      <w:szCs w:val="21"/>
                    </w:rPr>
                    <w:t>2</w:t>
                  </w:r>
                </w:p>
              </w:tc>
              <w:tc>
                <w:tcPr>
                  <w:tcW w:w="778" w:type="pct"/>
                  <w:tcBorders>
                    <w:top w:val="single" w:color="auto" w:sz="4" w:space="0"/>
                    <w:left w:val="single" w:color="auto" w:sz="4" w:space="0"/>
                    <w:bottom w:val="single" w:color="auto" w:sz="4" w:space="0"/>
                    <w:right w:val="single" w:color="auto" w:sz="4" w:space="0"/>
                  </w:tcBorders>
                  <w:vAlign w:val="center"/>
                </w:tcPr>
                <w:p w14:paraId="2CB6E2A5">
                  <w:pPr>
                    <w:jc w:val="center"/>
                    <w:rPr>
                      <w:color w:val="auto"/>
                      <w:kern w:val="21"/>
                      <w:szCs w:val="21"/>
                    </w:rPr>
                  </w:pPr>
                  <w:r>
                    <w:rPr>
                      <w:rFonts w:hint="eastAsia"/>
                      <w:color w:val="auto"/>
                      <w:kern w:val="21"/>
                      <w:szCs w:val="21"/>
                    </w:rPr>
                    <w:t>2</w:t>
                  </w:r>
                </w:p>
              </w:tc>
            </w:tr>
            <w:tr w14:paraId="69810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14:paraId="784DACBC">
                  <w:pPr>
                    <w:jc w:val="center"/>
                    <w:rPr>
                      <w:color w:val="auto"/>
                      <w:kern w:val="21"/>
                      <w:szCs w:val="21"/>
                    </w:rPr>
                  </w:pPr>
                  <w:r>
                    <w:rPr>
                      <w:color w:val="auto"/>
                      <w:kern w:val="21"/>
                      <w:szCs w:val="21"/>
                    </w:rPr>
                    <w:t>4</w:t>
                  </w:r>
                </w:p>
              </w:tc>
              <w:tc>
                <w:tcPr>
                  <w:tcW w:w="510" w:type="pct"/>
                  <w:vMerge w:val="restart"/>
                  <w:tcBorders>
                    <w:top w:val="single" w:color="auto" w:sz="4" w:space="0"/>
                    <w:left w:val="single" w:color="auto" w:sz="4" w:space="0"/>
                    <w:right w:val="single" w:color="auto" w:sz="4" w:space="0"/>
                  </w:tcBorders>
                  <w:vAlign w:val="center"/>
                </w:tcPr>
                <w:p w14:paraId="56E8AF18">
                  <w:pPr>
                    <w:pStyle w:val="35"/>
                    <w:adjustRightInd/>
                    <w:snapToGrid/>
                    <w:rPr>
                      <w:rFonts w:hint="default" w:cs="Times New Roman"/>
                      <w:color w:val="auto"/>
                      <w:kern w:val="21"/>
                    </w:rPr>
                  </w:pPr>
                  <w:r>
                    <w:rPr>
                      <w:rFonts w:cs="Times New Roman"/>
                      <w:color w:val="auto"/>
                      <w:kern w:val="21"/>
                    </w:rPr>
                    <w:t>烘干</w:t>
                  </w:r>
                </w:p>
              </w:tc>
              <w:tc>
                <w:tcPr>
                  <w:tcW w:w="1172" w:type="pct"/>
                  <w:tcBorders>
                    <w:top w:val="single" w:color="auto" w:sz="4" w:space="0"/>
                    <w:left w:val="single" w:color="auto" w:sz="4" w:space="0"/>
                    <w:bottom w:val="single" w:color="auto" w:sz="4" w:space="0"/>
                    <w:right w:val="single" w:color="auto" w:sz="4" w:space="0"/>
                  </w:tcBorders>
                  <w:vAlign w:val="center"/>
                </w:tcPr>
                <w:p w14:paraId="3791FCDE">
                  <w:pPr>
                    <w:widowControl/>
                    <w:jc w:val="center"/>
                    <w:rPr>
                      <w:color w:val="auto"/>
                      <w:kern w:val="21"/>
                      <w:szCs w:val="21"/>
                    </w:rPr>
                  </w:pPr>
                  <w:r>
                    <w:rPr>
                      <w:rFonts w:hint="eastAsia"/>
                      <w:color w:val="auto"/>
                      <w:kern w:val="21"/>
                      <w:szCs w:val="21"/>
                    </w:rPr>
                    <w:t>烘干塔</w:t>
                  </w:r>
                </w:p>
              </w:tc>
              <w:tc>
                <w:tcPr>
                  <w:tcW w:w="771" w:type="pct"/>
                  <w:tcBorders>
                    <w:top w:val="single" w:color="auto" w:sz="4" w:space="0"/>
                    <w:left w:val="single" w:color="auto" w:sz="4" w:space="0"/>
                    <w:bottom w:val="single" w:color="auto" w:sz="4" w:space="0"/>
                    <w:right w:val="single" w:color="auto" w:sz="4" w:space="0"/>
                  </w:tcBorders>
                  <w:vAlign w:val="center"/>
                </w:tcPr>
                <w:p w14:paraId="31F63229">
                  <w:pPr>
                    <w:jc w:val="center"/>
                    <w:rPr>
                      <w:color w:val="auto"/>
                      <w:kern w:val="21"/>
                      <w:szCs w:val="21"/>
                    </w:rPr>
                  </w:pPr>
                  <w:r>
                    <w:rPr>
                      <w:color w:val="auto"/>
                      <w:kern w:val="21"/>
                      <w:szCs w:val="21"/>
                    </w:rPr>
                    <w:t>容积500m³</w:t>
                  </w:r>
                  <w:r>
                    <w:rPr>
                      <w:rFonts w:hint="eastAsia"/>
                      <w:color w:val="auto"/>
                      <w:kern w:val="21"/>
                      <w:szCs w:val="21"/>
                    </w:rPr>
                    <w:t>，H30m</w:t>
                  </w:r>
                </w:p>
              </w:tc>
              <w:tc>
                <w:tcPr>
                  <w:tcW w:w="690" w:type="pct"/>
                  <w:tcBorders>
                    <w:top w:val="single" w:color="auto" w:sz="4" w:space="0"/>
                    <w:left w:val="single" w:color="auto" w:sz="4" w:space="0"/>
                    <w:bottom w:val="single" w:color="auto" w:sz="4" w:space="0"/>
                    <w:right w:val="single" w:color="auto" w:sz="4" w:space="0"/>
                  </w:tcBorders>
                  <w:vAlign w:val="center"/>
                </w:tcPr>
                <w:p w14:paraId="76166DC8">
                  <w:pPr>
                    <w:jc w:val="center"/>
                    <w:rPr>
                      <w:color w:val="auto"/>
                      <w:kern w:val="21"/>
                      <w:szCs w:val="21"/>
                    </w:rPr>
                  </w:pPr>
                  <w:r>
                    <w:rPr>
                      <w:rFonts w:hint="eastAsia"/>
                      <w:color w:val="auto"/>
                      <w:kern w:val="21"/>
                      <w:szCs w:val="21"/>
                    </w:rPr>
                    <w:t>0</w:t>
                  </w:r>
                </w:p>
              </w:tc>
              <w:tc>
                <w:tcPr>
                  <w:tcW w:w="791" w:type="pct"/>
                  <w:tcBorders>
                    <w:top w:val="single" w:color="auto" w:sz="4" w:space="0"/>
                    <w:left w:val="single" w:color="auto" w:sz="4" w:space="0"/>
                    <w:bottom w:val="single" w:color="auto" w:sz="4" w:space="0"/>
                    <w:right w:val="single" w:color="auto" w:sz="4" w:space="0"/>
                  </w:tcBorders>
                  <w:vAlign w:val="center"/>
                </w:tcPr>
                <w:p w14:paraId="3E5E81D6">
                  <w:pPr>
                    <w:jc w:val="center"/>
                    <w:rPr>
                      <w:color w:val="auto"/>
                      <w:kern w:val="21"/>
                      <w:szCs w:val="21"/>
                    </w:rPr>
                  </w:pPr>
                  <w:r>
                    <w:rPr>
                      <w:rFonts w:hint="eastAsia"/>
                      <w:color w:val="auto"/>
                      <w:kern w:val="21"/>
                      <w:szCs w:val="21"/>
                    </w:rPr>
                    <w:t>1</w:t>
                  </w:r>
                </w:p>
              </w:tc>
              <w:tc>
                <w:tcPr>
                  <w:tcW w:w="778" w:type="pct"/>
                  <w:tcBorders>
                    <w:top w:val="single" w:color="auto" w:sz="4" w:space="0"/>
                    <w:left w:val="single" w:color="auto" w:sz="4" w:space="0"/>
                    <w:bottom w:val="single" w:color="auto" w:sz="4" w:space="0"/>
                    <w:right w:val="single" w:color="auto" w:sz="4" w:space="0"/>
                  </w:tcBorders>
                  <w:vAlign w:val="center"/>
                </w:tcPr>
                <w:p w14:paraId="29307032">
                  <w:pPr>
                    <w:jc w:val="center"/>
                    <w:rPr>
                      <w:color w:val="auto"/>
                      <w:kern w:val="21"/>
                      <w:szCs w:val="21"/>
                    </w:rPr>
                  </w:pPr>
                  <w:r>
                    <w:rPr>
                      <w:rFonts w:hint="eastAsia"/>
                      <w:color w:val="auto"/>
                      <w:kern w:val="21"/>
                      <w:szCs w:val="21"/>
                    </w:rPr>
                    <w:t>1</w:t>
                  </w:r>
                </w:p>
              </w:tc>
            </w:tr>
            <w:tr w14:paraId="323BA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14:paraId="1F48AA83">
                  <w:pPr>
                    <w:jc w:val="center"/>
                    <w:rPr>
                      <w:color w:val="auto"/>
                      <w:kern w:val="21"/>
                      <w:szCs w:val="21"/>
                    </w:rPr>
                  </w:pPr>
                  <w:r>
                    <w:rPr>
                      <w:color w:val="auto"/>
                      <w:kern w:val="21"/>
                      <w:szCs w:val="21"/>
                    </w:rPr>
                    <w:t>5</w:t>
                  </w:r>
                </w:p>
              </w:tc>
              <w:tc>
                <w:tcPr>
                  <w:tcW w:w="510" w:type="pct"/>
                  <w:vMerge w:val="continue"/>
                  <w:tcBorders>
                    <w:left w:val="single" w:color="auto" w:sz="4" w:space="0"/>
                    <w:right w:val="single" w:color="auto" w:sz="4" w:space="0"/>
                  </w:tcBorders>
                  <w:vAlign w:val="center"/>
                </w:tcPr>
                <w:p w14:paraId="41C23723">
                  <w:pPr>
                    <w:pStyle w:val="35"/>
                    <w:adjustRightInd/>
                    <w:snapToGrid/>
                    <w:rPr>
                      <w:rFonts w:hint="default" w:cs="Times New Roman"/>
                      <w:color w:val="auto"/>
                      <w:kern w:val="21"/>
                    </w:rPr>
                  </w:pPr>
                </w:p>
              </w:tc>
              <w:tc>
                <w:tcPr>
                  <w:tcW w:w="1172" w:type="pct"/>
                  <w:tcBorders>
                    <w:top w:val="single" w:color="auto" w:sz="4" w:space="0"/>
                    <w:left w:val="single" w:color="auto" w:sz="4" w:space="0"/>
                    <w:bottom w:val="single" w:color="auto" w:sz="4" w:space="0"/>
                    <w:right w:val="single" w:color="auto" w:sz="4" w:space="0"/>
                  </w:tcBorders>
                  <w:vAlign w:val="center"/>
                </w:tcPr>
                <w:p w14:paraId="52CA017F">
                  <w:pPr>
                    <w:widowControl/>
                    <w:jc w:val="center"/>
                    <w:rPr>
                      <w:color w:val="auto"/>
                      <w:kern w:val="21"/>
                      <w:szCs w:val="21"/>
                    </w:rPr>
                  </w:pPr>
                  <w:r>
                    <w:rPr>
                      <w:rFonts w:hint="eastAsia"/>
                      <w:color w:val="auto"/>
                      <w:kern w:val="21"/>
                      <w:szCs w:val="21"/>
                    </w:rPr>
                    <w:t>热风炉（</w:t>
                  </w:r>
                  <w:r>
                    <w:rPr>
                      <w:rFonts w:hint="eastAsia"/>
                      <w:color w:val="auto"/>
                      <w:kern w:val="21"/>
                      <w:szCs w:val="21"/>
                      <w:lang w:val="en-US" w:eastAsia="zh-CN"/>
                    </w:rPr>
                    <w:t>卧式生物质锅炉</w:t>
                  </w:r>
                  <w:r>
                    <w:rPr>
                      <w:rFonts w:hint="eastAsia"/>
                      <w:color w:val="auto"/>
                      <w:kern w:val="21"/>
                      <w:szCs w:val="21"/>
                    </w:rPr>
                    <w:t>）</w:t>
                  </w:r>
                </w:p>
              </w:tc>
              <w:tc>
                <w:tcPr>
                  <w:tcW w:w="771" w:type="pct"/>
                  <w:tcBorders>
                    <w:top w:val="single" w:color="auto" w:sz="4" w:space="0"/>
                    <w:left w:val="single" w:color="auto" w:sz="4" w:space="0"/>
                    <w:bottom w:val="single" w:color="auto" w:sz="4" w:space="0"/>
                    <w:right w:val="single" w:color="auto" w:sz="4" w:space="0"/>
                  </w:tcBorders>
                  <w:vAlign w:val="center"/>
                </w:tcPr>
                <w:p w14:paraId="6CD5CC1C">
                  <w:pPr>
                    <w:jc w:val="center"/>
                    <w:rPr>
                      <w:color w:val="auto"/>
                      <w:kern w:val="21"/>
                      <w:szCs w:val="21"/>
                    </w:rPr>
                  </w:pPr>
                  <w:r>
                    <w:rPr>
                      <w:rFonts w:hint="eastAsia"/>
                      <w:color w:val="auto"/>
                      <w:kern w:val="21"/>
                      <w:szCs w:val="21"/>
                    </w:rPr>
                    <w:t>RFL-10（</w:t>
                  </w:r>
                  <w:r>
                    <w:rPr>
                      <w:rFonts w:hint="eastAsia"/>
                      <w:color w:val="auto"/>
                      <w:kern w:val="21"/>
                      <w:szCs w:val="21"/>
                      <w:lang w:val="en-US" w:eastAsia="zh-CN"/>
                    </w:rPr>
                    <w:t>5.6MW</w:t>
                  </w:r>
                  <w:r>
                    <w:rPr>
                      <w:rFonts w:hint="eastAsia"/>
                      <w:color w:val="auto"/>
                      <w:kern w:val="21"/>
                      <w:szCs w:val="21"/>
                    </w:rPr>
                    <w:t>）</w:t>
                  </w:r>
                </w:p>
              </w:tc>
              <w:tc>
                <w:tcPr>
                  <w:tcW w:w="690" w:type="pct"/>
                  <w:tcBorders>
                    <w:top w:val="single" w:color="auto" w:sz="4" w:space="0"/>
                    <w:left w:val="single" w:color="auto" w:sz="4" w:space="0"/>
                    <w:bottom w:val="single" w:color="auto" w:sz="4" w:space="0"/>
                    <w:right w:val="single" w:color="auto" w:sz="4" w:space="0"/>
                  </w:tcBorders>
                  <w:vAlign w:val="center"/>
                </w:tcPr>
                <w:p w14:paraId="5362EFFE">
                  <w:pPr>
                    <w:jc w:val="center"/>
                    <w:rPr>
                      <w:color w:val="auto"/>
                      <w:kern w:val="21"/>
                      <w:szCs w:val="21"/>
                    </w:rPr>
                  </w:pPr>
                  <w:r>
                    <w:rPr>
                      <w:rFonts w:hint="eastAsia"/>
                      <w:color w:val="auto"/>
                      <w:kern w:val="21"/>
                      <w:szCs w:val="21"/>
                    </w:rPr>
                    <w:t>0</w:t>
                  </w:r>
                </w:p>
              </w:tc>
              <w:tc>
                <w:tcPr>
                  <w:tcW w:w="791" w:type="pct"/>
                  <w:tcBorders>
                    <w:top w:val="single" w:color="auto" w:sz="4" w:space="0"/>
                    <w:left w:val="single" w:color="auto" w:sz="4" w:space="0"/>
                    <w:bottom w:val="single" w:color="auto" w:sz="4" w:space="0"/>
                    <w:right w:val="single" w:color="auto" w:sz="4" w:space="0"/>
                  </w:tcBorders>
                  <w:vAlign w:val="center"/>
                </w:tcPr>
                <w:p w14:paraId="13960DB8">
                  <w:pPr>
                    <w:jc w:val="center"/>
                    <w:rPr>
                      <w:color w:val="auto"/>
                      <w:kern w:val="21"/>
                      <w:szCs w:val="21"/>
                    </w:rPr>
                  </w:pPr>
                  <w:r>
                    <w:rPr>
                      <w:rFonts w:hint="eastAsia"/>
                      <w:color w:val="auto"/>
                      <w:kern w:val="21"/>
                      <w:szCs w:val="21"/>
                    </w:rPr>
                    <w:t>1</w:t>
                  </w:r>
                </w:p>
              </w:tc>
              <w:tc>
                <w:tcPr>
                  <w:tcW w:w="778" w:type="pct"/>
                  <w:tcBorders>
                    <w:top w:val="single" w:color="auto" w:sz="4" w:space="0"/>
                    <w:left w:val="single" w:color="auto" w:sz="4" w:space="0"/>
                    <w:bottom w:val="single" w:color="auto" w:sz="4" w:space="0"/>
                    <w:right w:val="single" w:color="auto" w:sz="4" w:space="0"/>
                  </w:tcBorders>
                  <w:vAlign w:val="center"/>
                </w:tcPr>
                <w:p w14:paraId="4EC1F54D">
                  <w:pPr>
                    <w:jc w:val="center"/>
                    <w:rPr>
                      <w:color w:val="auto"/>
                      <w:kern w:val="21"/>
                      <w:szCs w:val="21"/>
                    </w:rPr>
                  </w:pPr>
                  <w:r>
                    <w:rPr>
                      <w:rFonts w:hint="eastAsia"/>
                      <w:color w:val="auto"/>
                      <w:kern w:val="21"/>
                      <w:szCs w:val="21"/>
                    </w:rPr>
                    <w:t>1</w:t>
                  </w:r>
                </w:p>
              </w:tc>
            </w:tr>
            <w:tr w14:paraId="42D2F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14:paraId="5081A7B3">
                  <w:pPr>
                    <w:jc w:val="center"/>
                    <w:rPr>
                      <w:color w:val="auto"/>
                      <w:kern w:val="21"/>
                      <w:szCs w:val="21"/>
                    </w:rPr>
                  </w:pPr>
                  <w:r>
                    <w:rPr>
                      <w:rFonts w:hint="eastAsia"/>
                      <w:color w:val="auto"/>
                      <w:kern w:val="21"/>
                      <w:szCs w:val="21"/>
                    </w:rPr>
                    <w:t>6</w:t>
                  </w:r>
                </w:p>
              </w:tc>
              <w:tc>
                <w:tcPr>
                  <w:tcW w:w="510" w:type="pct"/>
                  <w:tcBorders>
                    <w:top w:val="single" w:color="auto" w:sz="4" w:space="0"/>
                    <w:left w:val="single" w:color="auto" w:sz="4" w:space="0"/>
                    <w:bottom w:val="single" w:color="auto" w:sz="4" w:space="0"/>
                    <w:right w:val="single" w:color="auto" w:sz="4" w:space="0"/>
                  </w:tcBorders>
                  <w:vAlign w:val="center"/>
                </w:tcPr>
                <w:p w14:paraId="190B5B2A">
                  <w:pPr>
                    <w:pStyle w:val="35"/>
                    <w:adjustRightInd/>
                    <w:snapToGrid/>
                    <w:rPr>
                      <w:rFonts w:hint="default" w:cs="Times New Roman"/>
                      <w:color w:val="auto"/>
                      <w:kern w:val="21"/>
                    </w:rPr>
                  </w:pPr>
                  <w:r>
                    <w:rPr>
                      <w:rFonts w:cs="Times New Roman"/>
                      <w:color w:val="auto"/>
                      <w:kern w:val="21"/>
                    </w:rPr>
                    <w:t>包装</w:t>
                  </w:r>
                </w:p>
              </w:tc>
              <w:tc>
                <w:tcPr>
                  <w:tcW w:w="1172" w:type="pct"/>
                  <w:tcBorders>
                    <w:top w:val="single" w:color="auto" w:sz="4" w:space="0"/>
                    <w:left w:val="single" w:color="auto" w:sz="4" w:space="0"/>
                    <w:bottom w:val="single" w:color="auto" w:sz="4" w:space="0"/>
                    <w:right w:val="single" w:color="auto" w:sz="4" w:space="0"/>
                  </w:tcBorders>
                  <w:vAlign w:val="center"/>
                </w:tcPr>
                <w:p w14:paraId="63B52BA1">
                  <w:pPr>
                    <w:widowControl/>
                    <w:jc w:val="center"/>
                    <w:rPr>
                      <w:color w:val="auto"/>
                      <w:kern w:val="21"/>
                      <w:szCs w:val="21"/>
                    </w:rPr>
                  </w:pPr>
                  <w:r>
                    <w:rPr>
                      <w:rFonts w:hint="eastAsia"/>
                      <w:color w:val="auto"/>
                      <w:kern w:val="21"/>
                      <w:szCs w:val="21"/>
                    </w:rPr>
                    <w:t>电子包装秤</w:t>
                  </w:r>
                </w:p>
              </w:tc>
              <w:tc>
                <w:tcPr>
                  <w:tcW w:w="771" w:type="pct"/>
                  <w:tcBorders>
                    <w:top w:val="single" w:color="auto" w:sz="4" w:space="0"/>
                    <w:left w:val="single" w:color="auto" w:sz="4" w:space="0"/>
                    <w:bottom w:val="single" w:color="auto" w:sz="4" w:space="0"/>
                    <w:right w:val="single" w:color="auto" w:sz="4" w:space="0"/>
                  </w:tcBorders>
                  <w:vAlign w:val="center"/>
                </w:tcPr>
                <w:p w14:paraId="3B52EFF5">
                  <w:pPr>
                    <w:jc w:val="center"/>
                    <w:rPr>
                      <w:color w:val="auto"/>
                      <w:kern w:val="21"/>
                      <w:szCs w:val="21"/>
                    </w:rPr>
                  </w:pPr>
                  <w:r>
                    <w:rPr>
                      <w:rFonts w:hint="eastAsia"/>
                      <w:color w:val="auto"/>
                      <w:kern w:val="21"/>
                      <w:szCs w:val="21"/>
                    </w:rPr>
                    <w:t>/</w:t>
                  </w:r>
                </w:p>
              </w:tc>
              <w:tc>
                <w:tcPr>
                  <w:tcW w:w="690" w:type="pct"/>
                  <w:tcBorders>
                    <w:top w:val="single" w:color="auto" w:sz="4" w:space="0"/>
                    <w:left w:val="single" w:color="auto" w:sz="4" w:space="0"/>
                    <w:bottom w:val="single" w:color="auto" w:sz="4" w:space="0"/>
                    <w:right w:val="single" w:color="auto" w:sz="4" w:space="0"/>
                  </w:tcBorders>
                  <w:vAlign w:val="center"/>
                </w:tcPr>
                <w:p w14:paraId="29D3DB27">
                  <w:pPr>
                    <w:jc w:val="center"/>
                    <w:rPr>
                      <w:color w:val="auto"/>
                      <w:kern w:val="21"/>
                      <w:szCs w:val="21"/>
                    </w:rPr>
                  </w:pPr>
                  <w:r>
                    <w:rPr>
                      <w:rFonts w:hint="eastAsia"/>
                      <w:color w:val="auto"/>
                      <w:kern w:val="21"/>
                      <w:szCs w:val="21"/>
                    </w:rPr>
                    <w:t>3</w:t>
                  </w:r>
                </w:p>
              </w:tc>
              <w:tc>
                <w:tcPr>
                  <w:tcW w:w="791" w:type="pct"/>
                  <w:tcBorders>
                    <w:top w:val="single" w:color="auto" w:sz="4" w:space="0"/>
                    <w:left w:val="single" w:color="auto" w:sz="4" w:space="0"/>
                    <w:bottom w:val="single" w:color="auto" w:sz="4" w:space="0"/>
                    <w:right w:val="single" w:color="auto" w:sz="4" w:space="0"/>
                  </w:tcBorders>
                  <w:vAlign w:val="center"/>
                </w:tcPr>
                <w:p w14:paraId="15232BDC">
                  <w:pPr>
                    <w:jc w:val="center"/>
                    <w:rPr>
                      <w:color w:val="auto"/>
                      <w:kern w:val="21"/>
                      <w:szCs w:val="21"/>
                    </w:rPr>
                  </w:pPr>
                  <w:r>
                    <w:rPr>
                      <w:rFonts w:hint="eastAsia"/>
                      <w:color w:val="auto"/>
                      <w:kern w:val="21"/>
                      <w:szCs w:val="21"/>
                    </w:rPr>
                    <w:t>0</w:t>
                  </w:r>
                </w:p>
              </w:tc>
              <w:tc>
                <w:tcPr>
                  <w:tcW w:w="778" w:type="pct"/>
                  <w:tcBorders>
                    <w:top w:val="single" w:color="auto" w:sz="4" w:space="0"/>
                    <w:left w:val="single" w:color="auto" w:sz="4" w:space="0"/>
                    <w:bottom w:val="single" w:color="auto" w:sz="4" w:space="0"/>
                    <w:right w:val="single" w:color="auto" w:sz="4" w:space="0"/>
                  </w:tcBorders>
                  <w:vAlign w:val="center"/>
                </w:tcPr>
                <w:p w14:paraId="541A9BF4">
                  <w:pPr>
                    <w:jc w:val="center"/>
                    <w:rPr>
                      <w:color w:val="auto"/>
                      <w:kern w:val="21"/>
                      <w:szCs w:val="21"/>
                    </w:rPr>
                  </w:pPr>
                  <w:r>
                    <w:rPr>
                      <w:rFonts w:hint="eastAsia"/>
                      <w:color w:val="auto"/>
                      <w:kern w:val="21"/>
                      <w:szCs w:val="21"/>
                    </w:rPr>
                    <w:t>3</w:t>
                  </w:r>
                </w:p>
              </w:tc>
            </w:tr>
            <w:tr w14:paraId="44DAE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14:paraId="69DAD569">
                  <w:pPr>
                    <w:jc w:val="center"/>
                    <w:rPr>
                      <w:color w:val="auto"/>
                      <w:kern w:val="21"/>
                      <w:szCs w:val="21"/>
                    </w:rPr>
                  </w:pPr>
                  <w:r>
                    <w:rPr>
                      <w:color w:val="auto"/>
                      <w:kern w:val="21"/>
                      <w:szCs w:val="21"/>
                    </w:rPr>
                    <w:t>7</w:t>
                  </w:r>
                </w:p>
              </w:tc>
              <w:tc>
                <w:tcPr>
                  <w:tcW w:w="510" w:type="pct"/>
                  <w:tcBorders>
                    <w:top w:val="single" w:color="auto" w:sz="4" w:space="0"/>
                    <w:left w:val="single" w:color="auto" w:sz="4" w:space="0"/>
                    <w:right w:val="single" w:color="auto" w:sz="4" w:space="0"/>
                  </w:tcBorders>
                  <w:vAlign w:val="center"/>
                </w:tcPr>
                <w:p w14:paraId="0B3A03BA">
                  <w:pPr>
                    <w:pStyle w:val="35"/>
                    <w:adjustRightInd/>
                    <w:snapToGrid/>
                    <w:rPr>
                      <w:rFonts w:hint="default" w:cs="Times New Roman"/>
                      <w:color w:val="auto"/>
                      <w:kern w:val="21"/>
                    </w:rPr>
                  </w:pPr>
                  <w:r>
                    <w:rPr>
                      <w:rFonts w:cs="Times New Roman"/>
                      <w:color w:val="auto"/>
                      <w:kern w:val="21"/>
                    </w:rPr>
                    <w:t>仓储</w:t>
                  </w:r>
                </w:p>
              </w:tc>
              <w:tc>
                <w:tcPr>
                  <w:tcW w:w="1172" w:type="pct"/>
                  <w:tcBorders>
                    <w:top w:val="single" w:color="auto" w:sz="4" w:space="0"/>
                    <w:left w:val="single" w:color="auto" w:sz="4" w:space="0"/>
                    <w:bottom w:val="single" w:color="auto" w:sz="4" w:space="0"/>
                    <w:right w:val="single" w:color="auto" w:sz="4" w:space="0"/>
                  </w:tcBorders>
                  <w:vAlign w:val="center"/>
                </w:tcPr>
                <w:p w14:paraId="4BADA8B2">
                  <w:pPr>
                    <w:widowControl/>
                    <w:jc w:val="center"/>
                    <w:rPr>
                      <w:color w:val="auto"/>
                      <w:kern w:val="21"/>
                      <w:szCs w:val="21"/>
                    </w:rPr>
                  </w:pPr>
                  <w:r>
                    <w:rPr>
                      <w:rFonts w:hint="eastAsia"/>
                      <w:color w:val="auto"/>
                      <w:kern w:val="21"/>
                      <w:szCs w:val="21"/>
                    </w:rPr>
                    <w:t>金属仓</w:t>
                  </w:r>
                </w:p>
              </w:tc>
              <w:tc>
                <w:tcPr>
                  <w:tcW w:w="771" w:type="pct"/>
                  <w:tcBorders>
                    <w:top w:val="single" w:color="auto" w:sz="4" w:space="0"/>
                    <w:left w:val="single" w:color="auto" w:sz="4" w:space="0"/>
                    <w:bottom w:val="single" w:color="auto" w:sz="4" w:space="0"/>
                    <w:right w:val="single" w:color="auto" w:sz="4" w:space="0"/>
                  </w:tcBorders>
                  <w:vAlign w:val="center"/>
                </w:tcPr>
                <w:p w14:paraId="08B5FC4E">
                  <w:pPr>
                    <w:jc w:val="center"/>
                    <w:rPr>
                      <w:color w:val="auto"/>
                      <w:kern w:val="21"/>
                      <w:szCs w:val="21"/>
                    </w:rPr>
                  </w:pPr>
                  <w:r>
                    <w:rPr>
                      <w:color w:val="auto"/>
                      <w:kern w:val="21"/>
                      <w:szCs w:val="21"/>
                    </w:rPr>
                    <w:t>Φ</w:t>
                  </w:r>
                  <w:r>
                    <w:rPr>
                      <w:rFonts w:hint="eastAsia"/>
                      <w:color w:val="auto"/>
                      <w:kern w:val="21"/>
                      <w:szCs w:val="21"/>
                    </w:rPr>
                    <w:t>8.5m，H10m</w:t>
                  </w:r>
                </w:p>
              </w:tc>
              <w:tc>
                <w:tcPr>
                  <w:tcW w:w="690" w:type="pct"/>
                  <w:tcBorders>
                    <w:top w:val="single" w:color="auto" w:sz="4" w:space="0"/>
                    <w:left w:val="single" w:color="auto" w:sz="4" w:space="0"/>
                    <w:bottom w:val="single" w:color="auto" w:sz="4" w:space="0"/>
                    <w:right w:val="single" w:color="auto" w:sz="4" w:space="0"/>
                  </w:tcBorders>
                  <w:vAlign w:val="center"/>
                </w:tcPr>
                <w:p w14:paraId="1038D9BD">
                  <w:pPr>
                    <w:jc w:val="center"/>
                    <w:rPr>
                      <w:color w:val="auto"/>
                      <w:kern w:val="21"/>
                      <w:szCs w:val="21"/>
                    </w:rPr>
                  </w:pPr>
                  <w:r>
                    <w:rPr>
                      <w:rFonts w:hint="eastAsia"/>
                      <w:color w:val="auto"/>
                      <w:kern w:val="21"/>
                      <w:szCs w:val="21"/>
                    </w:rPr>
                    <w:t>12</w:t>
                  </w:r>
                </w:p>
              </w:tc>
              <w:tc>
                <w:tcPr>
                  <w:tcW w:w="791" w:type="pct"/>
                  <w:tcBorders>
                    <w:top w:val="single" w:color="auto" w:sz="4" w:space="0"/>
                    <w:left w:val="single" w:color="auto" w:sz="4" w:space="0"/>
                    <w:bottom w:val="single" w:color="auto" w:sz="4" w:space="0"/>
                    <w:right w:val="single" w:color="auto" w:sz="4" w:space="0"/>
                  </w:tcBorders>
                  <w:vAlign w:val="center"/>
                </w:tcPr>
                <w:p w14:paraId="51BA7A43">
                  <w:pPr>
                    <w:jc w:val="center"/>
                    <w:rPr>
                      <w:color w:val="auto"/>
                      <w:kern w:val="21"/>
                      <w:szCs w:val="21"/>
                    </w:rPr>
                  </w:pPr>
                  <w:r>
                    <w:rPr>
                      <w:rFonts w:hint="eastAsia"/>
                      <w:color w:val="auto"/>
                      <w:kern w:val="21"/>
                      <w:szCs w:val="21"/>
                    </w:rPr>
                    <w:t>0</w:t>
                  </w:r>
                </w:p>
              </w:tc>
              <w:tc>
                <w:tcPr>
                  <w:tcW w:w="778" w:type="pct"/>
                  <w:tcBorders>
                    <w:top w:val="single" w:color="auto" w:sz="4" w:space="0"/>
                    <w:left w:val="single" w:color="auto" w:sz="4" w:space="0"/>
                    <w:bottom w:val="single" w:color="auto" w:sz="4" w:space="0"/>
                    <w:right w:val="single" w:color="auto" w:sz="4" w:space="0"/>
                  </w:tcBorders>
                  <w:vAlign w:val="center"/>
                </w:tcPr>
                <w:p w14:paraId="471AFE22">
                  <w:pPr>
                    <w:jc w:val="center"/>
                    <w:rPr>
                      <w:color w:val="auto"/>
                      <w:kern w:val="21"/>
                      <w:szCs w:val="21"/>
                    </w:rPr>
                  </w:pPr>
                  <w:r>
                    <w:rPr>
                      <w:rFonts w:hint="eastAsia"/>
                      <w:color w:val="auto"/>
                      <w:kern w:val="21"/>
                      <w:szCs w:val="21"/>
                    </w:rPr>
                    <w:t>12</w:t>
                  </w:r>
                </w:p>
              </w:tc>
            </w:tr>
            <w:tr w14:paraId="73959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4" w:type="pct"/>
                  <w:tcBorders>
                    <w:top w:val="single" w:color="auto" w:sz="4" w:space="0"/>
                    <w:left w:val="single" w:color="auto" w:sz="4" w:space="0"/>
                    <w:bottom w:val="single" w:color="auto" w:sz="4" w:space="0"/>
                    <w:right w:val="single" w:color="auto" w:sz="4" w:space="0"/>
                  </w:tcBorders>
                  <w:vAlign w:val="center"/>
                </w:tcPr>
                <w:p w14:paraId="78662A35">
                  <w:pPr>
                    <w:jc w:val="center"/>
                    <w:rPr>
                      <w:rFonts w:hint="eastAsia" w:eastAsia="宋体"/>
                      <w:color w:val="auto"/>
                      <w:kern w:val="21"/>
                      <w:szCs w:val="21"/>
                      <w:lang w:val="en-US" w:eastAsia="zh-CN"/>
                    </w:rPr>
                  </w:pPr>
                  <w:r>
                    <w:rPr>
                      <w:rFonts w:hint="eastAsia"/>
                      <w:color w:val="auto"/>
                      <w:kern w:val="21"/>
                      <w:szCs w:val="21"/>
                      <w:lang w:val="en-US" w:eastAsia="zh-CN"/>
                    </w:rPr>
                    <w:t>8</w:t>
                  </w:r>
                </w:p>
              </w:tc>
              <w:tc>
                <w:tcPr>
                  <w:tcW w:w="510" w:type="pct"/>
                  <w:tcBorders>
                    <w:top w:val="single" w:color="auto" w:sz="4" w:space="0"/>
                    <w:left w:val="single" w:color="auto" w:sz="4" w:space="0"/>
                    <w:right w:val="single" w:color="auto" w:sz="4" w:space="0"/>
                  </w:tcBorders>
                  <w:vAlign w:val="center"/>
                </w:tcPr>
                <w:p w14:paraId="026E3E06">
                  <w:pPr>
                    <w:jc w:val="center"/>
                    <w:rPr>
                      <w:color w:val="auto"/>
                      <w:kern w:val="21"/>
                      <w:szCs w:val="21"/>
                    </w:rPr>
                  </w:pPr>
                  <w:r>
                    <w:rPr>
                      <w:rFonts w:hint="eastAsia"/>
                      <w:color w:val="auto"/>
                      <w:kern w:val="21"/>
                      <w:szCs w:val="21"/>
                    </w:rPr>
                    <w:t>检验设备</w:t>
                  </w:r>
                </w:p>
              </w:tc>
              <w:tc>
                <w:tcPr>
                  <w:tcW w:w="1172" w:type="pct"/>
                  <w:tcBorders>
                    <w:top w:val="single" w:color="auto" w:sz="4" w:space="0"/>
                    <w:left w:val="single" w:color="auto" w:sz="4" w:space="0"/>
                    <w:bottom w:val="single" w:color="auto" w:sz="4" w:space="0"/>
                    <w:right w:val="single" w:color="auto" w:sz="4" w:space="0"/>
                  </w:tcBorders>
                  <w:vAlign w:val="center"/>
                </w:tcPr>
                <w:p w14:paraId="5A4E2EF1">
                  <w:pPr>
                    <w:jc w:val="center"/>
                    <w:rPr>
                      <w:color w:val="auto"/>
                      <w:kern w:val="21"/>
                      <w:szCs w:val="21"/>
                    </w:rPr>
                  </w:pPr>
                  <w:r>
                    <w:rPr>
                      <w:rFonts w:hint="eastAsia"/>
                      <w:color w:val="auto"/>
                      <w:kern w:val="21"/>
                      <w:szCs w:val="21"/>
                    </w:rPr>
                    <w:t xml:space="preserve">水分快速测定仪 </w:t>
                  </w:r>
                </w:p>
              </w:tc>
              <w:tc>
                <w:tcPr>
                  <w:tcW w:w="771" w:type="pct"/>
                  <w:tcBorders>
                    <w:top w:val="single" w:color="auto" w:sz="4" w:space="0"/>
                    <w:left w:val="single" w:color="auto" w:sz="4" w:space="0"/>
                    <w:bottom w:val="single" w:color="auto" w:sz="4" w:space="0"/>
                    <w:right w:val="single" w:color="auto" w:sz="4" w:space="0"/>
                  </w:tcBorders>
                  <w:vAlign w:val="center"/>
                </w:tcPr>
                <w:p w14:paraId="6AC329DC">
                  <w:pPr>
                    <w:jc w:val="center"/>
                    <w:rPr>
                      <w:color w:val="auto"/>
                      <w:kern w:val="21"/>
                      <w:szCs w:val="21"/>
                    </w:rPr>
                  </w:pPr>
                  <w:r>
                    <w:rPr>
                      <w:rFonts w:hint="eastAsia"/>
                      <w:color w:val="auto"/>
                      <w:kern w:val="21"/>
                      <w:szCs w:val="21"/>
                    </w:rPr>
                    <w:t>/</w:t>
                  </w:r>
                </w:p>
              </w:tc>
              <w:tc>
                <w:tcPr>
                  <w:tcW w:w="690" w:type="pct"/>
                  <w:tcBorders>
                    <w:top w:val="single" w:color="auto" w:sz="4" w:space="0"/>
                    <w:left w:val="single" w:color="auto" w:sz="4" w:space="0"/>
                    <w:bottom w:val="single" w:color="auto" w:sz="4" w:space="0"/>
                    <w:right w:val="single" w:color="auto" w:sz="4" w:space="0"/>
                  </w:tcBorders>
                  <w:vAlign w:val="center"/>
                </w:tcPr>
                <w:p w14:paraId="0A9973B6">
                  <w:pPr>
                    <w:jc w:val="center"/>
                    <w:rPr>
                      <w:color w:val="auto"/>
                      <w:kern w:val="21"/>
                      <w:szCs w:val="21"/>
                    </w:rPr>
                  </w:pPr>
                  <w:r>
                    <w:rPr>
                      <w:rFonts w:hint="eastAsia"/>
                      <w:color w:val="auto"/>
                      <w:kern w:val="21"/>
                      <w:szCs w:val="21"/>
                    </w:rPr>
                    <w:t>1</w:t>
                  </w:r>
                </w:p>
              </w:tc>
              <w:tc>
                <w:tcPr>
                  <w:tcW w:w="791" w:type="pct"/>
                  <w:tcBorders>
                    <w:top w:val="single" w:color="auto" w:sz="4" w:space="0"/>
                    <w:left w:val="single" w:color="auto" w:sz="4" w:space="0"/>
                    <w:bottom w:val="single" w:color="auto" w:sz="4" w:space="0"/>
                    <w:right w:val="single" w:color="auto" w:sz="4" w:space="0"/>
                  </w:tcBorders>
                  <w:vAlign w:val="center"/>
                </w:tcPr>
                <w:p w14:paraId="30FEE87B">
                  <w:pPr>
                    <w:jc w:val="center"/>
                    <w:rPr>
                      <w:color w:val="auto"/>
                      <w:kern w:val="21"/>
                      <w:szCs w:val="21"/>
                    </w:rPr>
                  </w:pPr>
                  <w:r>
                    <w:rPr>
                      <w:rFonts w:hint="eastAsia"/>
                      <w:color w:val="auto"/>
                      <w:kern w:val="21"/>
                      <w:szCs w:val="21"/>
                    </w:rPr>
                    <w:t>0</w:t>
                  </w:r>
                </w:p>
              </w:tc>
              <w:tc>
                <w:tcPr>
                  <w:tcW w:w="778" w:type="pct"/>
                  <w:tcBorders>
                    <w:top w:val="single" w:color="auto" w:sz="4" w:space="0"/>
                    <w:left w:val="single" w:color="auto" w:sz="4" w:space="0"/>
                    <w:bottom w:val="single" w:color="auto" w:sz="4" w:space="0"/>
                    <w:right w:val="single" w:color="auto" w:sz="4" w:space="0"/>
                  </w:tcBorders>
                  <w:vAlign w:val="center"/>
                </w:tcPr>
                <w:p w14:paraId="07B4104C">
                  <w:pPr>
                    <w:jc w:val="center"/>
                    <w:rPr>
                      <w:color w:val="auto"/>
                      <w:kern w:val="21"/>
                      <w:szCs w:val="21"/>
                    </w:rPr>
                  </w:pPr>
                  <w:r>
                    <w:rPr>
                      <w:rFonts w:hint="eastAsia"/>
                      <w:color w:val="auto"/>
                      <w:kern w:val="21"/>
                      <w:szCs w:val="21"/>
                    </w:rPr>
                    <w:t>1</w:t>
                  </w:r>
                </w:p>
              </w:tc>
            </w:tr>
          </w:tbl>
          <w:p w14:paraId="58755A90">
            <w:pPr>
              <w:spacing w:line="360" w:lineRule="auto"/>
              <w:ind w:firstLine="480" w:firstLineChars="200"/>
              <w:rPr>
                <w:bCs/>
                <w:color w:val="auto"/>
                <w:sz w:val="24"/>
              </w:rPr>
            </w:pPr>
            <w:r>
              <w:rPr>
                <w:rFonts w:hint="eastAsia"/>
                <w:bCs/>
                <w:color w:val="auto"/>
                <w:sz w:val="24"/>
              </w:rPr>
              <w:t>5</w:t>
            </w:r>
            <w:r>
              <w:rPr>
                <w:bCs/>
                <w:color w:val="auto"/>
                <w:sz w:val="24"/>
              </w:rPr>
              <w:t>、职工人数及工作制度</w:t>
            </w:r>
          </w:p>
          <w:p w14:paraId="292022B3">
            <w:pPr>
              <w:spacing w:line="360" w:lineRule="auto"/>
              <w:ind w:firstLine="480" w:firstLineChars="200"/>
              <w:rPr>
                <w:color w:val="auto"/>
                <w:sz w:val="24"/>
              </w:rPr>
            </w:pPr>
            <w:r>
              <w:rPr>
                <w:rFonts w:hint="eastAsia"/>
                <w:color w:val="auto"/>
                <w:sz w:val="24"/>
              </w:rPr>
              <w:t>本项目新增劳动人员3人，运营期全厂劳动人员10人</w:t>
            </w:r>
            <w:r>
              <w:rPr>
                <w:color w:val="auto"/>
                <w:sz w:val="24"/>
              </w:rPr>
              <w:t>，实行</w:t>
            </w:r>
            <w:r>
              <w:rPr>
                <w:rFonts w:hint="eastAsia"/>
                <w:color w:val="auto"/>
                <w:sz w:val="24"/>
              </w:rPr>
              <w:t>单班制</w:t>
            </w:r>
            <w:r>
              <w:rPr>
                <w:color w:val="auto"/>
                <w:sz w:val="24"/>
              </w:rPr>
              <w:t>生产，年工作300</w:t>
            </w:r>
            <w:r>
              <w:rPr>
                <w:rFonts w:hint="eastAsia"/>
                <w:color w:val="auto"/>
                <w:sz w:val="24"/>
              </w:rPr>
              <w:t>d</w:t>
            </w:r>
            <w:r>
              <w:rPr>
                <w:color w:val="auto"/>
                <w:sz w:val="24"/>
              </w:rPr>
              <w:t>，年工作时间</w:t>
            </w:r>
            <w:r>
              <w:rPr>
                <w:rFonts w:hint="eastAsia"/>
                <w:color w:val="auto"/>
                <w:sz w:val="24"/>
              </w:rPr>
              <w:t>2400</w:t>
            </w:r>
            <w:r>
              <w:rPr>
                <w:color w:val="auto"/>
                <w:sz w:val="24"/>
              </w:rPr>
              <w:t>h。</w:t>
            </w:r>
            <w:r>
              <w:rPr>
                <w:rFonts w:hint="eastAsia"/>
                <w:color w:val="auto"/>
                <w:sz w:val="24"/>
              </w:rPr>
              <w:t>其中烘干中心年运行时间为50d，每天工作8</w:t>
            </w:r>
            <w:r>
              <w:rPr>
                <w:rFonts w:hint="eastAsia"/>
                <w:color w:val="auto"/>
                <w:sz w:val="24"/>
                <w:lang w:val="en-US" w:eastAsia="zh-CN"/>
              </w:rPr>
              <w:t>h</w:t>
            </w:r>
            <w:r>
              <w:rPr>
                <w:rFonts w:hint="eastAsia"/>
                <w:color w:val="auto"/>
                <w:sz w:val="24"/>
              </w:rPr>
              <w:t xml:space="preserve">，年生产小时数400小时。 </w:t>
            </w:r>
          </w:p>
          <w:p w14:paraId="50E00571">
            <w:pPr>
              <w:spacing w:line="360" w:lineRule="auto"/>
              <w:ind w:firstLine="480" w:firstLineChars="200"/>
              <w:rPr>
                <w:color w:val="auto"/>
                <w:sz w:val="24"/>
              </w:rPr>
            </w:pPr>
            <w:r>
              <w:rPr>
                <w:rFonts w:hint="eastAsia"/>
                <w:color w:val="auto"/>
                <w:sz w:val="24"/>
              </w:rPr>
              <w:t>6</w:t>
            </w:r>
            <w:r>
              <w:rPr>
                <w:color w:val="auto"/>
                <w:sz w:val="24"/>
              </w:rPr>
              <w:t>、项目平面布置</w:t>
            </w:r>
          </w:p>
          <w:p w14:paraId="3D3DA6C7">
            <w:pPr>
              <w:spacing w:line="360" w:lineRule="auto"/>
              <w:ind w:firstLine="480" w:firstLineChars="200"/>
              <w:rPr>
                <w:color w:val="auto"/>
                <w:sz w:val="24"/>
              </w:rPr>
            </w:pPr>
            <w:r>
              <w:rPr>
                <w:rFonts w:hint="eastAsia"/>
                <w:color w:val="auto"/>
                <w:sz w:val="24"/>
              </w:rPr>
              <w:t>厂区共分为两个功能区，分别为生产、仓储区。其中卸粮棚及锅炉房位于厂区最西侧；原料车间、清选车间及成品车间位于厂区东侧；厂区南侧为仓储区。</w:t>
            </w:r>
            <w:r>
              <w:rPr>
                <w:color w:val="auto"/>
                <w:sz w:val="24"/>
              </w:rPr>
              <w:t>具体详见附图。</w:t>
            </w:r>
          </w:p>
          <w:p w14:paraId="0133FB43">
            <w:pPr>
              <w:spacing w:line="360" w:lineRule="auto"/>
              <w:ind w:firstLine="480" w:firstLineChars="200"/>
              <w:rPr>
                <w:color w:val="auto"/>
                <w:sz w:val="24"/>
              </w:rPr>
            </w:pPr>
            <w:r>
              <w:rPr>
                <w:rFonts w:hint="eastAsia"/>
                <w:color w:val="auto"/>
                <w:sz w:val="24"/>
              </w:rPr>
              <w:t>7</w:t>
            </w:r>
            <w:r>
              <w:rPr>
                <w:color w:val="auto"/>
                <w:sz w:val="24"/>
              </w:rPr>
              <w:t>、水量平衡</w:t>
            </w:r>
          </w:p>
          <w:p w14:paraId="423ADA15">
            <w:pPr>
              <w:spacing w:line="360" w:lineRule="auto"/>
              <w:ind w:firstLine="482"/>
              <w:rPr>
                <w:color w:val="auto"/>
                <w:sz w:val="24"/>
              </w:rPr>
            </w:pPr>
            <w:r>
              <w:rPr>
                <w:color w:val="auto"/>
                <w:sz w:val="24"/>
              </w:rPr>
              <w:t>（1）用水情况</w:t>
            </w:r>
          </w:p>
          <w:p w14:paraId="66CD3FEE">
            <w:pPr>
              <w:spacing w:line="360" w:lineRule="auto"/>
              <w:ind w:firstLine="480"/>
              <w:rPr>
                <w:color w:val="auto"/>
                <w:sz w:val="24"/>
              </w:rPr>
            </w:pPr>
            <w:r>
              <w:rPr>
                <w:rFonts w:hint="eastAsia"/>
                <w:color w:val="auto"/>
                <w:sz w:val="24"/>
              </w:rPr>
              <w:t>本项目</w:t>
            </w:r>
            <w:r>
              <w:rPr>
                <w:color w:val="auto"/>
                <w:sz w:val="24"/>
              </w:rPr>
              <w:t>用水主要为生活用水</w:t>
            </w:r>
            <w:r>
              <w:rPr>
                <w:rFonts w:hint="eastAsia"/>
                <w:color w:val="auto"/>
                <w:sz w:val="24"/>
              </w:rPr>
              <w:t>、厂区绿化用水</w:t>
            </w:r>
            <w:r>
              <w:rPr>
                <w:color w:val="auto"/>
                <w:sz w:val="24"/>
              </w:rPr>
              <w:t>等。</w:t>
            </w:r>
          </w:p>
          <w:p w14:paraId="6B1A6CC4">
            <w:pPr>
              <w:spacing w:line="360" w:lineRule="auto"/>
              <w:ind w:firstLine="482"/>
              <w:rPr>
                <w:color w:val="auto"/>
                <w:sz w:val="24"/>
              </w:rPr>
            </w:pPr>
            <w:r>
              <w:rPr>
                <w:rFonts w:hint="eastAsia"/>
                <w:color w:val="auto"/>
                <w:sz w:val="24"/>
              </w:rPr>
              <w:t>①</w:t>
            </w:r>
            <w:r>
              <w:rPr>
                <w:color w:val="auto"/>
                <w:sz w:val="24"/>
              </w:rPr>
              <w:t>生活用水：</w:t>
            </w:r>
            <w:r>
              <w:rPr>
                <w:rFonts w:hint="eastAsia"/>
                <w:color w:val="auto"/>
                <w:sz w:val="24"/>
              </w:rPr>
              <w:t>本项目新增劳动人员3人</w:t>
            </w:r>
            <w:r>
              <w:rPr>
                <w:color w:val="auto"/>
                <w:sz w:val="24"/>
              </w:rPr>
              <w:t>，</w:t>
            </w:r>
            <w:r>
              <w:rPr>
                <w:rFonts w:hint="eastAsia"/>
                <w:color w:val="auto"/>
                <w:sz w:val="24"/>
              </w:rPr>
              <w:t>均不在厂内食宿，</w:t>
            </w:r>
            <w:r>
              <w:rPr>
                <w:color w:val="auto"/>
                <w:sz w:val="24"/>
              </w:rPr>
              <w:t>根据《安徽省行业用水定额》（DB34/T679-2025）用水定额，按38m³/(人·</w:t>
            </w:r>
            <w:r>
              <w:rPr>
                <w:rFonts w:hint="eastAsia"/>
                <w:color w:val="auto"/>
                <w:sz w:val="24"/>
              </w:rPr>
              <w:t>a</w:t>
            </w:r>
            <w:r>
              <w:rPr>
                <w:color w:val="auto"/>
                <w:sz w:val="24"/>
              </w:rPr>
              <w:t>)计，项目年工作日300天</w:t>
            </w:r>
            <w:r>
              <w:rPr>
                <w:rFonts w:hint="eastAsia"/>
                <w:color w:val="auto"/>
                <w:sz w:val="24"/>
              </w:rPr>
              <w:t>。则用水量为0.38m</w:t>
            </w:r>
            <w:r>
              <w:rPr>
                <w:rFonts w:hint="eastAsia"/>
                <w:color w:val="auto"/>
                <w:sz w:val="24"/>
                <w:vertAlign w:val="superscript"/>
              </w:rPr>
              <w:t>3</w:t>
            </w:r>
            <w:r>
              <w:rPr>
                <w:rFonts w:hint="eastAsia"/>
                <w:color w:val="auto"/>
                <w:sz w:val="24"/>
              </w:rPr>
              <w:t>/d，114m</w:t>
            </w:r>
            <w:r>
              <w:rPr>
                <w:rFonts w:hint="eastAsia"/>
                <w:color w:val="auto"/>
                <w:sz w:val="24"/>
                <w:vertAlign w:val="superscript"/>
              </w:rPr>
              <w:t>3</w:t>
            </w:r>
            <w:r>
              <w:rPr>
                <w:rFonts w:hint="eastAsia"/>
                <w:color w:val="auto"/>
                <w:sz w:val="24"/>
              </w:rPr>
              <w:t>/a。</w:t>
            </w:r>
          </w:p>
          <w:p w14:paraId="715AB36C">
            <w:pPr>
              <w:spacing w:line="360" w:lineRule="auto"/>
              <w:ind w:firstLine="482"/>
              <w:rPr>
                <w:color w:val="auto"/>
              </w:rPr>
            </w:pPr>
            <w:r>
              <w:rPr>
                <w:rFonts w:hint="eastAsia"/>
                <w:color w:val="auto"/>
                <w:sz w:val="24"/>
              </w:rPr>
              <w:t>②绿化用水：厂区绿化面积为1452m</w:t>
            </w:r>
            <w:r>
              <w:rPr>
                <w:rFonts w:hint="eastAsia"/>
                <w:color w:val="auto"/>
                <w:sz w:val="24"/>
                <w:vertAlign w:val="superscript"/>
              </w:rPr>
              <w:t>2</w:t>
            </w:r>
            <w:r>
              <w:rPr>
                <w:rFonts w:hint="eastAsia"/>
                <w:color w:val="auto"/>
                <w:sz w:val="24"/>
              </w:rPr>
              <w:t>，绿化用水量按照1L/ m</w:t>
            </w:r>
            <w:r>
              <w:rPr>
                <w:rFonts w:hint="eastAsia"/>
                <w:color w:val="auto"/>
                <w:sz w:val="24"/>
                <w:vertAlign w:val="superscript"/>
              </w:rPr>
              <w:t>2</w:t>
            </w:r>
            <w:r>
              <w:rPr>
                <w:rFonts w:hint="eastAsia"/>
                <w:color w:val="auto"/>
                <w:sz w:val="24"/>
              </w:rPr>
              <w:t>·次计算，100次/a，则绿化用水量为145.2m</w:t>
            </w:r>
            <w:r>
              <w:rPr>
                <w:rFonts w:hint="eastAsia"/>
                <w:color w:val="auto"/>
                <w:sz w:val="24"/>
                <w:vertAlign w:val="superscript"/>
              </w:rPr>
              <w:t>3</w:t>
            </w:r>
            <w:r>
              <w:rPr>
                <w:rFonts w:hint="eastAsia"/>
                <w:color w:val="auto"/>
                <w:sz w:val="24"/>
              </w:rPr>
              <w:t>/a（0.484m</w:t>
            </w:r>
            <w:r>
              <w:rPr>
                <w:rFonts w:hint="eastAsia"/>
                <w:color w:val="auto"/>
                <w:sz w:val="24"/>
                <w:vertAlign w:val="superscript"/>
              </w:rPr>
              <w:t>3</w:t>
            </w:r>
            <w:r>
              <w:rPr>
                <w:rFonts w:hint="eastAsia"/>
                <w:color w:val="auto"/>
                <w:sz w:val="24"/>
              </w:rPr>
              <w:t>/d），全部蒸发。</w:t>
            </w:r>
          </w:p>
          <w:p w14:paraId="3FA226DA">
            <w:pPr>
              <w:spacing w:line="360" w:lineRule="auto"/>
              <w:ind w:firstLine="482"/>
              <w:rPr>
                <w:color w:val="auto"/>
                <w:sz w:val="24"/>
              </w:rPr>
            </w:pPr>
            <w:r>
              <w:rPr>
                <w:color w:val="auto"/>
                <w:sz w:val="24"/>
              </w:rPr>
              <w:t>（2）废水</w:t>
            </w:r>
            <w:r>
              <w:rPr>
                <w:rFonts w:hint="eastAsia"/>
                <w:color w:val="auto"/>
                <w:sz w:val="24"/>
              </w:rPr>
              <w:t>排放</w:t>
            </w:r>
          </w:p>
          <w:p w14:paraId="4AB95355">
            <w:pPr>
              <w:spacing w:line="360" w:lineRule="auto"/>
              <w:ind w:firstLine="480" w:firstLineChars="200"/>
              <w:rPr>
                <w:color w:val="auto"/>
                <w:sz w:val="24"/>
              </w:rPr>
            </w:pPr>
            <w:r>
              <w:rPr>
                <w:rFonts w:hint="eastAsia"/>
                <w:color w:val="auto"/>
                <w:sz w:val="24"/>
              </w:rPr>
              <w:t>本项目</w:t>
            </w:r>
            <w:r>
              <w:rPr>
                <w:color w:val="auto"/>
                <w:sz w:val="24"/>
              </w:rPr>
              <w:t>废水主要为生活污水。</w:t>
            </w:r>
          </w:p>
          <w:p w14:paraId="7C9D4F66">
            <w:pPr>
              <w:spacing w:line="360" w:lineRule="auto"/>
              <w:ind w:firstLine="480" w:firstLineChars="200"/>
              <w:rPr>
                <w:color w:val="auto"/>
                <w:sz w:val="24"/>
              </w:rPr>
            </w:pPr>
            <w:r>
              <w:rPr>
                <w:color w:val="auto"/>
                <w:sz w:val="24"/>
              </w:rPr>
              <w:t>①生活污水：本项目生活用水量为</w:t>
            </w:r>
            <w:r>
              <w:rPr>
                <w:rFonts w:hint="eastAsia"/>
                <w:color w:val="auto"/>
                <w:sz w:val="24"/>
              </w:rPr>
              <w:t>114</w:t>
            </w:r>
            <w:r>
              <w:rPr>
                <w:color w:val="auto"/>
                <w:sz w:val="24"/>
              </w:rPr>
              <w:t>m</w:t>
            </w:r>
            <w:r>
              <w:rPr>
                <w:color w:val="auto"/>
                <w:sz w:val="24"/>
                <w:vertAlign w:val="superscript"/>
              </w:rPr>
              <w:t>3</w:t>
            </w:r>
            <w:r>
              <w:rPr>
                <w:color w:val="auto"/>
                <w:sz w:val="24"/>
              </w:rPr>
              <w:t>/a。废水产生系数按80%计，则废水产生量为</w:t>
            </w:r>
            <w:r>
              <w:rPr>
                <w:rFonts w:hint="eastAsia"/>
                <w:color w:val="auto"/>
                <w:sz w:val="24"/>
              </w:rPr>
              <w:t>0.304</w:t>
            </w:r>
            <w:r>
              <w:rPr>
                <w:color w:val="auto"/>
                <w:sz w:val="24"/>
              </w:rPr>
              <w:t>m</w:t>
            </w:r>
            <w:r>
              <w:rPr>
                <w:color w:val="auto"/>
                <w:sz w:val="24"/>
                <w:vertAlign w:val="superscript"/>
              </w:rPr>
              <w:t>3</w:t>
            </w:r>
            <w:r>
              <w:rPr>
                <w:color w:val="auto"/>
                <w:sz w:val="24"/>
              </w:rPr>
              <w:t>/d，</w:t>
            </w:r>
            <w:r>
              <w:rPr>
                <w:rFonts w:hint="eastAsia"/>
                <w:color w:val="auto"/>
                <w:sz w:val="24"/>
              </w:rPr>
              <w:t>91.2</w:t>
            </w:r>
            <w:r>
              <w:rPr>
                <w:color w:val="auto"/>
                <w:sz w:val="24"/>
              </w:rPr>
              <w:t>m</w:t>
            </w:r>
            <w:r>
              <w:rPr>
                <w:color w:val="auto"/>
                <w:sz w:val="24"/>
                <w:vertAlign w:val="superscript"/>
              </w:rPr>
              <w:t>3</w:t>
            </w:r>
            <w:r>
              <w:rPr>
                <w:color w:val="auto"/>
                <w:sz w:val="24"/>
              </w:rPr>
              <w:t>/a，经化粪池预处理后近期定期清掏，不外排；待污水处理厂建成接管后排入污水处理厂处置。</w:t>
            </w:r>
          </w:p>
          <w:p w14:paraId="149C2BDE">
            <w:pPr>
              <w:jc w:val="center"/>
              <w:rPr>
                <w:color w:val="auto"/>
              </w:rPr>
            </w:pPr>
            <w:r>
              <w:rPr>
                <w:rFonts w:hint="eastAsia"/>
                <w:color w:val="auto"/>
                <w:sz w:val="24"/>
              </w:rPr>
              <w:drawing>
                <wp:inline distT="0" distB="0" distL="114300" distR="114300">
                  <wp:extent cx="5315585" cy="1999615"/>
                  <wp:effectExtent l="0" t="0" r="3175" b="12065"/>
                  <wp:docPr id="10" name="F360BE8B-6686-4F3D-AEAF-501FE73E4058-1" descr="C:/Users/Administrator/AppData/Local/Temp/绘图1(22).png绘图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360BE8B-6686-4F3D-AEAF-501FE73E4058-1" descr="C:/Users/Administrator/AppData/Local/Temp/绘图1(22).png绘图1(22)"/>
                          <pic:cNvPicPr>
                            <a:picLocks noChangeAspect="1"/>
                          </pic:cNvPicPr>
                        </pic:nvPicPr>
                        <pic:blipFill>
                          <a:blip r:embed="rId6"/>
                          <a:stretch>
                            <a:fillRect/>
                          </a:stretch>
                        </pic:blipFill>
                        <pic:spPr>
                          <a:xfrm>
                            <a:off x="0" y="0"/>
                            <a:ext cx="5315712" cy="1999488"/>
                          </a:xfrm>
                          <a:prstGeom prst="rect">
                            <a:avLst/>
                          </a:prstGeom>
                        </pic:spPr>
                      </pic:pic>
                    </a:graphicData>
                  </a:graphic>
                </wp:inline>
              </w:drawing>
            </w:r>
          </w:p>
          <w:p w14:paraId="464BA2D0">
            <w:pPr>
              <w:rPr>
                <w:color w:val="auto"/>
              </w:rPr>
            </w:pPr>
          </w:p>
          <w:p w14:paraId="6A632308">
            <w:pPr>
              <w:jc w:val="center"/>
              <w:rPr>
                <w:bCs/>
                <w:color w:val="auto"/>
                <w:sz w:val="24"/>
              </w:rPr>
            </w:pPr>
            <w:r>
              <w:rPr>
                <w:b/>
                <w:bCs/>
                <w:color w:val="auto"/>
                <w:sz w:val="24"/>
              </w:rPr>
              <w:t xml:space="preserve">图2-1  </w:t>
            </w:r>
            <w:r>
              <w:rPr>
                <w:rFonts w:hint="eastAsia"/>
                <w:b/>
                <w:bCs/>
                <w:color w:val="auto"/>
                <w:sz w:val="24"/>
              </w:rPr>
              <w:t>本项目</w:t>
            </w:r>
            <w:r>
              <w:rPr>
                <w:b/>
                <w:bCs/>
                <w:color w:val="auto"/>
                <w:sz w:val="24"/>
              </w:rPr>
              <w:t>水平衡图  单位：m</w:t>
            </w:r>
            <w:r>
              <w:rPr>
                <w:b/>
                <w:bCs/>
                <w:color w:val="auto"/>
                <w:sz w:val="24"/>
                <w:vertAlign w:val="superscript"/>
              </w:rPr>
              <w:t>3</w:t>
            </w:r>
            <w:r>
              <w:rPr>
                <w:b/>
                <w:bCs/>
                <w:color w:val="auto"/>
                <w:sz w:val="24"/>
              </w:rPr>
              <w:t>/</w:t>
            </w:r>
            <w:r>
              <w:rPr>
                <w:rFonts w:hint="eastAsia"/>
                <w:b/>
                <w:bCs/>
                <w:color w:val="auto"/>
                <w:sz w:val="24"/>
              </w:rPr>
              <w:t>d</w:t>
            </w:r>
          </w:p>
          <w:p w14:paraId="7843E29D">
            <w:pPr>
              <w:rPr>
                <w:bCs/>
                <w:color w:val="auto"/>
                <w:sz w:val="24"/>
              </w:rPr>
            </w:pPr>
          </w:p>
          <w:p w14:paraId="5F5992C6">
            <w:pPr>
              <w:jc w:val="center"/>
              <w:rPr>
                <w:bCs/>
                <w:color w:val="auto"/>
                <w:sz w:val="24"/>
              </w:rPr>
            </w:pPr>
            <w:r>
              <w:rPr>
                <w:rFonts w:hint="eastAsia"/>
                <w:color w:val="auto"/>
                <w:sz w:val="24"/>
              </w:rPr>
              <w:drawing>
                <wp:inline distT="0" distB="0" distL="114300" distR="114300">
                  <wp:extent cx="5315585" cy="1999615"/>
                  <wp:effectExtent l="0" t="0" r="3175" b="12065"/>
                  <wp:docPr id="14" name="F360BE8B-6686-4F3D-AEAF-501FE73E4058-2" descr="C:/Users/Administrator/AppData/Local/Temp/绘图1(23).png绘图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360BE8B-6686-4F3D-AEAF-501FE73E4058-2" descr="C:/Users/Administrator/AppData/Local/Temp/绘图1(23).png绘图1(23)"/>
                          <pic:cNvPicPr>
                            <a:picLocks noChangeAspect="1"/>
                          </pic:cNvPicPr>
                        </pic:nvPicPr>
                        <pic:blipFill>
                          <a:blip r:embed="rId7"/>
                          <a:stretch>
                            <a:fillRect/>
                          </a:stretch>
                        </pic:blipFill>
                        <pic:spPr>
                          <a:xfrm>
                            <a:off x="0" y="0"/>
                            <a:ext cx="5315712" cy="1999488"/>
                          </a:xfrm>
                          <a:prstGeom prst="rect">
                            <a:avLst/>
                          </a:prstGeom>
                        </pic:spPr>
                      </pic:pic>
                    </a:graphicData>
                  </a:graphic>
                </wp:inline>
              </w:drawing>
            </w:r>
          </w:p>
          <w:p w14:paraId="29B6773B">
            <w:pPr>
              <w:jc w:val="center"/>
              <w:rPr>
                <w:rFonts w:hint="eastAsia"/>
                <w:b/>
                <w:bCs/>
                <w:color w:val="auto"/>
                <w:sz w:val="24"/>
              </w:rPr>
            </w:pPr>
            <w:r>
              <w:rPr>
                <w:b/>
                <w:bCs/>
                <w:color w:val="auto"/>
                <w:sz w:val="24"/>
              </w:rPr>
              <w:t xml:space="preserve">图2-1  </w:t>
            </w:r>
            <w:r>
              <w:rPr>
                <w:rFonts w:hint="eastAsia"/>
                <w:b/>
                <w:bCs/>
                <w:color w:val="auto"/>
                <w:sz w:val="24"/>
              </w:rPr>
              <w:t>改建后全厂</w:t>
            </w:r>
            <w:r>
              <w:rPr>
                <w:b/>
                <w:bCs/>
                <w:color w:val="auto"/>
                <w:sz w:val="24"/>
              </w:rPr>
              <w:t>水平衡图  单位：m</w:t>
            </w:r>
            <w:r>
              <w:rPr>
                <w:b/>
                <w:bCs/>
                <w:color w:val="auto"/>
                <w:sz w:val="24"/>
                <w:vertAlign w:val="superscript"/>
              </w:rPr>
              <w:t>3</w:t>
            </w:r>
            <w:r>
              <w:rPr>
                <w:b/>
                <w:bCs/>
                <w:color w:val="auto"/>
                <w:sz w:val="24"/>
              </w:rPr>
              <w:t>/</w:t>
            </w:r>
            <w:r>
              <w:rPr>
                <w:rFonts w:hint="eastAsia"/>
                <w:b/>
                <w:bCs/>
                <w:color w:val="auto"/>
                <w:sz w:val="24"/>
              </w:rPr>
              <w:t>d</w:t>
            </w:r>
          </w:p>
          <w:p w14:paraId="6B1A51C9">
            <w:pPr>
              <w:rPr>
                <w:bCs/>
                <w:color w:val="auto"/>
                <w:sz w:val="24"/>
              </w:rPr>
            </w:pPr>
          </w:p>
          <w:p w14:paraId="2601285D">
            <w:pPr>
              <w:rPr>
                <w:bCs/>
                <w:color w:val="auto"/>
                <w:sz w:val="24"/>
              </w:rPr>
            </w:pPr>
          </w:p>
        </w:tc>
      </w:tr>
      <w:tr w14:paraId="24C2B9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2" w:type="dxa"/>
            <w:vAlign w:val="center"/>
          </w:tcPr>
          <w:p w14:paraId="4C46FA87">
            <w:pPr>
              <w:pStyle w:val="20"/>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工艺流程和产排污环节</w:t>
            </w:r>
          </w:p>
        </w:tc>
        <w:tc>
          <w:tcPr>
            <w:tcW w:w="8717" w:type="dxa"/>
            <w:vAlign w:val="top"/>
          </w:tcPr>
          <w:p w14:paraId="6D6146CE">
            <w:pPr>
              <w:spacing w:line="360" w:lineRule="auto"/>
              <w:rPr>
                <w:b/>
                <w:color w:val="auto"/>
                <w:sz w:val="24"/>
              </w:rPr>
            </w:pPr>
            <w:r>
              <w:rPr>
                <w:b/>
                <w:color w:val="auto"/>
                <w:sz w:val="24"/>
              </w:rPr>
              <w:t>工艺流程简述（图示）：</w:t>
            </w:r>
          </w:p>
          <w:p w14:paraId="26E3B107">
            <w:pPr>
              <w:adjustRightInd w:val="0"/>
              <w:snapToGrid w:val="0"/>
              <w:spacing w:line="360" w:lineRule="auto"/>
              <w:ind w:firstLine="482"/>
              <w:rPr>
                <w:color w:val="auto"/>
                <w:sz w:val="24"/>
              </w:rPr>
            </w:pPr>
            <w:r>
              <w:rPr>
                <w:rFonts w:hint="eastAsia"/>
                <w:color w:val="auto"/>
                <w:sz w:val="24"/>
              </w:rPr>
              <w:t>1</w:t>
            </w:r>
            <w:r>
              <w:rPr>
                <w:color w:val="auto"/>
                <w:sz w:val="24"/>
              </w:rPr>
              <w:t>、生产工艺流程</w:t>
            </w:r>
          </w:p>
          <w:p w14:paraId="57D03C2D">
            <w:pPr>
              <w:widowControl/>
              <w:spacing w:line="360" w:lineRule="auto"/>
              <w:ind w:firstLine="480"/>
              <w:jc w:val="left"/>
              <w:rPr>
                <w:color w:val="auto"/>
                <w:kern w:val="0"/>
                <w:sz w:val="24"/>
                <w:lang w:bidi="ar"/>
              </w:rPr>
            </w:pPr>
            <w:r>
              <w:rPr>
                <w:color w:val="auto"/>
                <w:kern w:val="0"/>
                <w:sz w:val="24"/>
                <w:lang w:bidi="ar"/>
              </w:rPr>
              <w:t>（1）生产工艺流程及产污节点简图如下图。</w:t>
            </w:r>
          </w:p>
          <w:p w14:paraId="289317CA">
            <w:pPr>
              <w:widowControl/>
              <w:spacing w:line="360" w:lineRule="auto"/>
              <w:ind w:firstLine="480"/>
              <w:jc w:val="center"/>
              <w:rPr>
                <w:color w:val="auto"/>
                <w:kern w:val="0"/>
                <w:sz w:val="24"/>
                <w:lang w:bidi="ar"/>
              </w:rPr>
            </w:pPr>
            <w:r>
              <w:rPr>
                <w:rFonts w:hint="eastAsia"/>
                <w:color w:val="auto"/>
                <w:kern w:val="0"/>
                <w:sz w:val="24"/>
                <w:lang w:bidi="ar"/>
              </w:rPr>
              <w:drawing>
                <wp:inline distT="0" distB="0" distL="114300" distR="114300">
                  <wp:extent cx="4666615" cy="6248400"/>
                  <wp:effectExtent l="0" t="0" r="12065" b="0"/>
                  <wp:docPr id="19" name="F360BE8B-6686-4F3D-AEAF-501FE73E4058-3" descr="C:/Users/Administrator/AppData/Local/Temp/绘图1(38).png绘图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360BE8B-6686-4F3D-AEAF-501FE73E4058-3" descr="C:/Users/Administrator/AppData/Local/Temp/绘图1(38).png绘图1(38)"/>
                          <pic:cNvPicPr>
                            <a:picLocks noChangeAspect="1"/>
                          </pic:cNvPicPr>
                        </pic:nvPicPr>
                        <pic:blipFill>
                          <a:blip r:embed="rId8"/>
                          <a:stretch>
                            <a:fillRect/>
                          </a:stretch>
                        </pic:blipFill>
                        <pic:spPr>
                          <a:xfrm>
                            <a:off x="0" y="0"/>
                            <a:ext cx="4666488" cy="6248400"/>
                          </a:xfrm>
                          <a:prstGeom prst="rect">
                            <a:avLst/>
                          </a:prstGeom>
                        </pic:spPr>
                      </pic:pic>
                    </a:graphicData>
                  </a:graphic>
                </wp:inline>
              </w:drawing>
            </w:r>
          </w:p>
          <w:p w14:paraId="5171AAA4">
            <w:pPr>
              <w:autoSpaceDE w:val="0"/>
              <w:autoSpaceDN w:val="0"/>
              <w:rPr>
                <w:color w:val="auto"/>
                <w:sz w:val="24"/>
              </w:rPr>
            </w:pPr>
          </w:p>
          <w:p w14:paraId="4AE715A6">
            <w:pPr>
              <w:autoSpaceDE w:val="0"/>
              <w:autoSpaceDN w:val="0"/>
              <w:spacing w:line="360" w:lineRule="auto"/>
              <w:jc w:val="center"/>
              <w:rPr>
                <w:color w:val="auto"/>
                <w:sz w:val="24"/>
              </w:rPr>
            </w:pPr>
            <w:r>
              <w:rPr>
                <w:b/>
                <w:bCs/>
                <w:color w:val="auto"/>
                <w:sz w:val="24"/>
              </w:rPr>
              <w:t>图2-</w:t>
            </w:r>
            <w:r>
              <w:rPr>
                <w:rFonts w:hint="eastAsia"/>
                <w:b/>
                <w:bCs/>
                <w:color w:val="auto"/>
                <w:sz w:val="24"/>
              </w:rPr>
              <w:t>2</w:t>
            </w:r>
            <w:r>
              <w:rPr>
                <w:b/>
                <w:bCs/>
                <w:color w:val="auto"/>
                <w:sz w:val="24"/>
              </w:rPr>
              <w:t xml:space="preserve">  生产工艺流程及产污节点图</w:t>
            </w:r>
          </w:p>
          <w:p w14:paraId="746F7D79">
            <w:pPr>
              <w:spacing w:line="360" w:lineRule="auto"/>
              <w:jc w:val="center"/>
              <w:rPr>
                <w:b/>
                <w:bCs/>
                <w:color w:val="auto"/>
                <w:sz w:val="24"/>
              </w:rPr>
            </w:pPr>
            <w:r>
              <w:rPr>
                <w:b/>
                <w:bCs/>
                <w:color w:val="auto"/>
                <w:sz w:val="24"/>
              </w:rPr>
              <w:t>（G：废气</w:t>
            </w:r>
            <w:r>
              <w:rPr>
                <w:rFonts w:hint="eastAsia"/>
                <w:b/>
                <w:bCs/>
                <w:color w:val="auto"/>
                <w:sz w:val="24"/>
              </w:rPr>
              <w:t xml:space="preserve">  </w:t>
            </w:r>
            <w:r>
              <w:rPr>
                <w:b/>
                <w:bCs/>
                <w:color w:val="auto"/>
                <w:sz w:val="24"/>
              </w:rPr>
              <w:t>S：固废</w:t>
            </w:r>
            <w:r>
              <w:rPr>
                <w:rFonts w:hint="eastAsia"/>
                <w:b/>
                <w:bCs/>
                <w:color w:val="auto"/>
                <w:sz w:val="24"/>
              </w:rPr>
              <w:t xml:space="preserve">  </w:t>
            </w:r>
            <w:r>
              <w:rPr>
                <w:b/>
                <w:bCs/>
                <w:color w:val="auto"/>
                <w:sz w:val="24"/>
              </w:rPr>
              <w:t>N：噪声）</w:t>
            </w:r>
          </w:p>
          <w:p w14:paraId="2EE3C498">
            <w:pPr>
              <w:spacing w:line="360" w:lineRule="auto"/>
              <w:ind w:firstLine="482"/>
              <w:rPr>
                <w:color w:val="auto"/>
                <w:sz w:val="24"/>
              </w:rPr>
            </w:pPr>
            <w:r>
              <w:rPr>
                <w:rFonts w:hint="eastAsia"/>
                <w:color w:val="auto"/>
                <w:sz w:val="24"/>
              </w:rPr>
              <w:t>2、</w:t>
            </w:r>
            <w:r>
              <w:rPr>
                <w:color w:val="auto"/>
                <w:sz w:val="24"/>
              </w:rPr>
              <w:t>工艺流程简述</w:t>
            </w:r>
          </w:p>
          <w:p w14:paraId="558881E9">
            <w:pPr>
              <w:spacing w:line="360" w:lineRule="auto"/>
              <w:ind w:firstLine="480" w:firstLineChars="200"/>
              <w:rPr>
                <w:color w:val="auto"/>
                <w:sz w:val="24"/>
              </w:rPr>
            </w:pPr>
            <w:r>
              <w:rPr>
                <w:rFonts w:hint="eastAsia"/>
                <w:color w:val="auto"/>
                <w:sz w:val="24"/>
              </w:rPr>
              <w:t>根据企业提供信息，本项目采取仓房密闭控温，且厂区存粮时间较短，故不进行熏蒸工段。</w:t>
            </w:r>
          </w:p>
          <w:p w14:paraId="2FBA7945">
            <w:pPr>
              <w:spacing w:line="360" w:lineRule="auto"/>
              <w:ind w:firstLine="480" w:firstLineChars="200"/>
              <w:rPr>
                <w:color w:val="auto"/>
                <w:sz w:val="24"/>
              </w:rPr>
            </w:pPr>
            <w:r>
              <w:rPr>
                <w:rFonts w:hint="eastAsia"/>
                <w:color w:val="auto"/>
                <w:sz w:val="24"/>
              </w:rPr>
              <w:t>（1）计量检验、卸料</w:t>
            </w:r>
          </w:p>
          <w:p w14:paraId="0CC2B8CA">
            <w:pPr>
              <w:spacing w:line="360" w:lineRule="auto"/>
              <w:ind w:firstLine="480" w:firstLineChars="200"/>
              <w:rPr>
                <w:color w:val="auto"/>
                <w:sz w:val="24"/>
              </w:rPr>
            </w:pPr>
            <w:r>
              <w:rPr>
                <w:rFonts w:hint="eastAsia"/>
                <w:color w:val="auto"/>
                <w:sz w:val="24"/>
              </w:rPr>
              <w:t>本项目</w:t>
            </w:r>
            <w:r>
              <w:rPr>
                <w:rFonts w:hint="eastAsia"/>
                <w:color w:val="auto"/>
                <w:sz w:val="24"/>
                <w:lang w:val="en-US" w:eastAsia="zh-CN"/>
              </w:rPr>
              <w:t>自己种植的</w:t>
            </w:r>
            <w:r>
              <w:rPr>
                <w:rFonts w:hint="eastAsia"/>
                <w:color w:val="auto"/>
                <w:sz w:val="24"/>
              </w:rPr>
              <w:t>粮食主要为小麦、玉米和大豆，</w:t>
            </w:r>
            <w:r>
              <w:rPr>
                <w:rFonts w:hint="eastAsia"/>
                <w:color w:val="auto"/>
                <w:sz w:val="24"/>
                <w:lang w:val="en-US" w:eastAsia="zh-CN"/>
              </w:rPr>
              <w:t>自己种植的粮食经收割后运至厂内</w:t>
            </w:r>
            <w:r>
              <w:rPr>
                <w:rFonts w:hint="eastAsia"/>
                <w:color w:val="auto"/>
                <w:sz w:val="24"/>
              </w:rPr>
              <w:t>由人工检测合格后</w:t>
            </w:r>
            <w:r>
              <w:rPr>
                <w:rFonts w:hint="eastAsia"/>
                <w:color w:val="auto"/>
                <w:sz w:val="24"/>
                <w:lang w:eastAsia="zh-CN"/>
              </w:rPr>
              <w:t>，</w:t>
            </w:r>
            <w:r>
              <w:rPr>
                <w:rFonts w:hint="eastAsia"/>
                <w:color w:val="auto"/>
                <w:sz w:val="24"/>
              </w:rPr>
              <w:t>称重入库。</w:t>
            </w:r>
            <w:r>
              <w:rPr>
                <w:rFonts w:ascii="宋体" w:hAnsi="宋体" w:cs="宋体"/>
                <w:color w:val="auto"/>
                <w:sz w:val="24"/>
              </w:rPr>
              <w:t>湿粮倾倒至地埋式投料口，粮食通过提升机机械输送至清理筛。</w:t>
            </w:r>
            <w:r>
              <w:rPr>
                <w:rFonts w:hint="eastAsia"/>
                <w:color w:val="auto"/>
                <w:sz w:val="24"/>
              </w:rPr>
              <w:t>检验内容主要为粮食含水量，低于</w:t>
            </w:r>
            <w:r>
              <w:rPr>
                <w:rFonts w:hint="eastAsia"/>
                <w:color w:val="auto"/>
                <w:sz w:val="24"/>
                <w:lang w:val="en-US" w:eastAsia="zh-CN"/>
              </w:rPr>
              <w:t>25</w:t>
            </w:r>
            <w:r>
              <w:rPr>
                <w:rFonts w:hint="eastAsia"/>
                <w:color w:val="auto"/>
                <w:sz w:val="24"/>
              </w:rPr>
              <w:t>%即为合格，大豆含水率低于14%，不需进行烘干。机械输送过程采用密闭皮带运输。此工段产生G1：卸料粉尘、N1设备噪声。</w:t>
            </w:r>
          </w:p>
          <w:p w14:paraId="66197664">
            <w:pPr>
              <w:spacing w:line="360" w:lineRule="auto"/>
              <w:ind w:firstLine="480" w:firstLineChars="200"/>
              <w:rPr>
                <w:color w:val="auto"/>
                <w:sz w:val="24"/>
              </w:rPr>
            </w:pPr>
            <w:r>
              <w:rPr>
                <w:rFonts w:hint="eastAsia"/>
                <w:color w:val="auto"/>
                <w:sz w:val="24"/>
              </w:rPr>
              <w:t>（2）初筛</w:t>
            </w:r>
          </w:p>
          <w:p w14:paraId="24B2B57C">
            <w:pPr>
              <w:spacing w:line="360" w:lineRule="auto"/>
              <w:ind w:firstLine="480" w:firstLineChars="200"/>
              <w:rPr>
                <w:color w:val="auto"/>
                <w:sz w:val="24"/>
              </w:rPr>
            </w:pPr>
            <w:r>
              <w:rPr>
                <w:rFonts w:hint="eastAsia"/>
                <w:color w:val="auto"/>
                <w:sz w:val="24"/>
              </w:rPr>
              <w:t>粮食经提升机提升至初清筛进行筛分，清理后的粮食杂质收集储存，然后干净粮食由提升机送入湿仓后，再由上塔提升机送入烘干塔准备烘干。此工段产生G2：筛分粉尘、S1粮食杂质、N2设备噪声。</w:t>
            </w:r>
          </w:p>
          <w:p w14:paraId="3F98AA48">
            <w:pPr>
              <w:spacing w:line="360" w:lineRule="auto"/>
              <w:ind w:firstLine="480" w:firstLineChars="200"/>
              <w:rPr>
                <w:color w:val="auto"/>
                <w:sz w:val="24"/>
              </w:rPr>
            </w:pPr>
            <w:r>
              <w:rPr>
                <w:rFonts w:hint="eastAsia"/>
                <w:color w:val="auto"/>
                <w:sz w:val="24"/>
              </w:rPr>
              <w:t>（3）烘干</w:t>
            </w:r>
          </w:p>
          <w:p w14:paraId="38001546">
            <w:pPr>
              <w:spacing w:line="360" w:lineRule="auto"/>
              <w:ind w:firstLine="480" w:firstLineChars="200"/>
              <w:rPr>
                <w:color w:val="auto"/>
                <w:sz w:val="24"/>
              </w:rPr>
            </w:pPr>
            <w:r>
              <w:rPr>
                <w:rFonts w:hint="default" w:ascii="Times New Roman" w:hAnsi="Times New Roman" w:cs="Times New Roman"/>
                <w:color w:val="auto"/>
                <w:sz w:val="24"/>
              </w:rPr>
              <w:t>初筛后的粮食先由提升机进入湿仓后经过上塔提升机输送至烘干塔内烘干（含水率小于14%），</w:t>
            </w:r>
            <w:r>
              <w:rPr>
                <w:rFonts w:hint="default" w:ascii="Times New Roman" w:hAnsi="Times New Roman" w:cs="Times New Roman"/>
                <w:color w:val="auto"/>
                <w:sz w:val="24"/>
                <w:lang w:val="en-US" w:eastAsia="zh-CN"/>
              </w:rPr>
              <w:t>烘干热量来自热风炉</w:t>
            </w:r>
            <w:r>
              <w:rPr>
                <w:rFonts w:hint="default" w:ascii="Times New Roman" w:hAnsi="Times New Roman" w:cs="Times New Roman"/>
                <w:color w:val="auto"/>
                <w:sz w:val="24"/>
              </w:rPr>
              <w:t>通过生物质燃料的燃烧，产生</w:t>
            </w:r>
            <w:r>
              <w:rPr>
                <w:rFonts w:hint="default" w:ascii="Times New Roman" w:hAnsi="Times New Roman" w:cs="Times New Roman"/>
                <w:color w:val="auto"/>
                <w:sz w:val="24"/>
                <w:lang w:val="en-US" w:eastAsia="zh-CN"/>
              </w:rPr>
              <w:t>的</w:t>
            </w:r>
            <w:r>
              <w:rPr>
                <w:rFonts w:hint="default" w:ascii="Times New Roman" w:hAnsi="Times New Roman" w:cs="Times New Roman"/>
                <w:color w:val="auto"/>
                <w:sz w:val="24"/>
              </w:rPr>
              <w:t>热能，将外部空气抽入通过进行换热</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将适宜温度的洁净热气流输送到烘干塔进行粮食的烘干</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加热方式为间接加热，烘干最初始温度约在80℃，随着不断送粮、排粮，烘干温度通过热交换器控制在120-150℃，烘干时间约8h，热量是通过烘干塔内壁散发的</w:t>
            </w:r>
            <w:r>
              <w:rPr>
                <w:rFonts w:hint="eastAsia" w:ascii="Times New Roman" w:hAnsi="Times New Roman" w:cs="Times New Roman"/>
                <w:color w:val="auto"/>
                <w:sz w:val="24"/>
                <w:lang w:val="en-US" w:eastAsia="zh-CN"/>
              </w:rPr>
              <w:t>热风与</w:t>
            </w:r>
            <w:r>
              <w:rPr>
                <w:rFonts w:hint="default" w:ascii="Times New Roman" w:hAnsi="Times New Roman" w:cs="Times New Roman"/>
                <w:color w:val="auto"/>
                <w:sz w:val="24"/>
                <w:lang w:val="en-US" w:eastAsia="zh-CN"/>
              </w:rPr>
              <w:t>粮食接触，接触温度约在60℃左右，</w:t>
            </w:r>
            <w:r>
              <w:rPr>
                <w:rFonts w:hint="default" w:ascii="Times New Roman" w:hAnsi="Times New Roman" w:cs="Times New Roman"/>
                <w:color w:val="auto"/>
                <w:sz w:val="24"/>
              </w:rPr>
              <w:t>烘干后的粮食经冷却后由输送机将粮食送至仓库内。</w:t>
            </w:r>
            <w:r>
              <w:rPr>
                <w:rFonts w:hint="eastAsia" w:ascii="Times New Roman" w:hAnsi="Times New Roman" w:cs="Times New Roman"/>
                <w:color w:val="auto"/>
                <w:sz w:val="24"/>
                <w:lang w:val="en-US" w:eastAsia="zh-CN"/>
              </w:rPr>
              <w:t>其中大豆不需要进行烘干。</w:t>
            </w:r>
            <w:r>
              <w:rPr>
                <w:rFonts w:hint="default" w:ascii="Times New Roman" w:hAnsi="Times New Roman" w:cs="Times New Roman"/>
                <w:color w:val="auto"/>
                <w:sz w:val="24"/>
              </w:rPr>
              <w:t>热风炉运行过程产生G3：生物质燃</w:t>
            </w:r>
            <w:r>
              <w:rPr>
                <w:rFonts w:hint="eastAsia"/>
                <w:color w:val="auto"/>
                <w:sz w:val="24"/>
              </w:rPr>
              <w:t>烧废气（SO</w:t>
            </w:r>
            <w:r>
              <w:rPr>
                <w:rFonts w:hint="eastAsia"/>
                <w:color w:val="auto"/>
                <w:sz w:val="24"/>
                <w:vertAlign w:val="subscript"/>
              </w:rPr>
              <w:t>2</w:t>
            </w:r>
            <w:r>
              <w:rPr>
                <w:rFonts w:hint="eastAsia"/>
                <w:color w:val="auto"/>
                <w:sz w:val="24"/>
              </w:rPr>
              <w:t>、NOx、烟粉尘）；烘干工段产生G3：烘干粉尘、N3：设备噪声。</w:t>
            </w:r>
          </w:p>
          <w:p w14:paraId="5B74AFBF">
            <w:pPr>
              <w:spacing w:line="360" w:lineRule="auto"/>
              <w:ind w:firstLine="480" w:firstLineChars="200"/>
              <w:rPr>
                <w:color w:val="auto"/>
                <w:sz w:val="24"/>
              </w:rPr>
            </w:pPr>
            <w:r>
              <w:rPr>
                <w:rFonts w:hint="eastAsia"/>
                <w:color w:val="auto"/>
                <w:sz w:val="24"/>
              </w:rPr>
              <w:t>（4）筛分</w:t>
            </w:r>
          </w:p>
          <w:p w14:paraId="7C10A34E">
            <w:pPr>
              <w:spacing w:line="360" w:lineRule="auto"/>
              <w:ind w:firstLine="480" w:firstLineChars="200"/>
              <w:rPr>
                <w:color w:val="auto"/>
                <w:sz w:val="24"/>
              </w:rPr>
            </w:pPr>
            <w:r>
              <w:rPr>
                <w:rFonts w:hint="eastAsia"/>
                <w:color w:val="auto"/>
                <w:sz w:val="24"/>
              </w:rPr>
              <w:t>烘干后的</w:t>
            </w:r>
            <w:r>
              <w:rPr>
                <w:rFonts w:hint="eastAsia"/>
                <w:color w:val="auto"/>
                <w:sz w:val="24"/>
                <w:lang w:val="en-US" w:eastAsia="zh-CN"/>
              </w:rPr>
              <w:t>小麦部分（约20%）进入金属仓，作为商品粮外售；部分（约80%）进入仓库，用于原种加工；玉米全部为商品粮；大豆部分（50%）进入金属仓，作为商品粮外售；部分（50%）进入仓库，用于原种加工；</w:t>
            </w:r>
            <w:r>
              <w:rPr>
                <w:rFonts w:hint="eastAsia"/>
                <w:color w:val="auto"/>
                <w:sz w:val="24"/>
              </w:rPr>
              <w:t>进入原种加工生产线的粮食经提升机提升至初清筛进行筛分，干净粮食经提升机提升至精筛进行筛分。此工段产生G4、G5：筛分粉尘、S2、S3粮食杂质；N4、N5：设备噪声。</w:t>
            </w:r>
          </w:p>
          <w:p w14:paraId="713F728D">
            <w:pPr>
              <w:spacing w:line="360" w:lineRule="auto"/>
              <w:ind w:firstLine="480" w:firstLineChars="200"/>
              <w:rPr>
                <w:color w:val="auto"/>
                <w:sz w:val="24"/>
              </w:rPr>
            </w:pPr>
            <w:r>
              <w:rPr>
                <w:rFonts w:hint="eastAsia"/>
                <w:color w:val="auto"/>
                <w:sz w:val="24"/>
              </w:rPr>
              <w:t>（5）包装</w:t>
            </w:r>
          </w:p>
          <w:p w14:paraId="3A7FE21C">
            <w:pPr>
              <w:spacing w:line="360" w:lineRule="auto"/>
              <w:ind w:firstLine="480" w:firstLineChars="200"/>
              <w:rPr>
                <w:color w:val="auto"/>
                <w:sz w:val="24"/>
              </w:rPr>
            </w:pPr>
            <w:r>
              <w:rPr>
                <w:rFonts w:hint="eastAsia"/>
                <w:color w:val="auto"/>
                <w:sz w:val="24"/>
              </w:rPr>
              <w:t>精筛后的良种由电子秤称重后袋装，外售。</w:t>
            </w:r>
          </w:p>
          <w:p w14:paraId="71880A4A">
            <w:pPr>
              <w:spacing w:line="360" w:lineRule="auto"/>
              <w:ind w:firstLine="480" w:firstLineChars="200"/>
              <w:rPr>
                <w:color w:val="auto"/>
                <w:sz w:val="24"/>
              </w:rPr>
            </w:pPr>
            <w:r>
              <w:rPr>
                <w:rFonts w:hint="eastAsia"/>
                <w:color w:val="auto"/>
                <w:sz w:val="24"/>
              </w:rPr>
              <w:t xml:space="preserve">（6）生物质热风炉工艺流程 </w:t>
            </w:r>
          </w:p>
          <w:p w14:paraId="03E50231">
            <w:pPr>
              <w:spacing w:line="360" w:lineRule="auto"/>
              <w:ind w:firstLine="480" w:firstLineChars="200"/>
              <w:jc w:val="center"/>
              <w:rPr>
                <w:rFonts w:hint="eastAsia"/>
                <w:color w:val="auto"/>
                <w:sz w:val="24"/>
              </w:rPr>
            </w:pPr>
            <w:r>
              <w:rPr>
                <w:rFonts w:hint="default" w:ascii="Times New Roman" w:hAnsi="Times New Roman" w:cs="Times New Roman"/>
                <w:color w:val="auto"/>
                <w:sz w:val="24"/>
              </w:rPr>
              <w:drawing>
                <wp:inline distT="0" distB="0" distL="114300" distR="114300">
                  <wp:extent cx="3420110" cy="2685415"/>
                  <wp:effectExtent l="0" t="0" r="8890" b="12065"/>
                  <wp:docPr id="20" name="F360BE8B-6686-4F3D-AEAF-501FE73E4058-4" descr="C:/Users/Administrator/AppData/Local/Temp/绘图1(40).png绘图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360BE8B-6686-4F3D-AEAF-501FE73E4058-4" descr="C:/Users/Administrator/AppData/Local/Temp/绘图1(40).png绘图1(40)"/>
                          <pic:cNvPicPr>
                            <a:picLocks noChangeAspect="1"/>
                          </pic:cNvPicPr>
                        </pic:nvPicPr>
                        <pic:blipFill>
                          <a:blip r:embed="rId9"/>
                          <a:stretch>
                            <a:fillRect/>
                          </a:stretch>
                        </pic:blipFill>
                        <pic:spPr>
                          <a:xfrm>
                            <a:off x="0" y="0"/>
                            <a:ext cx="3419856" cy="2685288"/>
                          </a:xfrm>
                          <a:prstGeom prst="rect">
                            <a:avLst/>
                          </a:prstGeom>
                        </pic:spPr>
                      </pic:pic>
                    </a:graphicData>
                  </a:graphic>
                </wp:inline>
              </w:drawing>
            </w:r>
          </w:p>
          <w:p w14:paraId="61C4FD87">
            <w:pPr>
              <w:autoSpaceDE w:val="0"/>
              <w:autoSpaceDN w:val="0"/>
              <w:spacing w:line="360" w:lineRule="auto"/>
              <w:jc w:val="center"/>
              <w:rPr>
                <w:rFonts w:hint="eastAsia"/>
                <w:color w:val="auto"/>
                <w:sz w:val="24"/>
              </w:rPr>
            </w:pPr>
            <w:r>
              <w:rPr>
                <w:b/>
                <w:bCs/>
                <w:color w:val="auto"/>
                <w:sz w:val="24"/>
              </w:rPr>
              <w:t>图2-</w:t>
            </w:r>
            <w:r>
              <w:rPr>
                <w:rFonts w:hint="eastAsia"/>
                <w:b/>
                <w:bCs/>
                <w:color w:val="auto"/>
                <w:sz w:val="24"/>
                <w:lang w:val="en-US" w:eastAsia="zh-CN"/>
              </w:rPr>
              <w:t>3</w:t>
            </w:r>
            <w:r>
              <w:rPr>
                <w:b/>
                <w:bCs/>
                <w:color w:val="auto"/>
                <w:sz w:val="24"/>
              </w:rPr>
              <w:t xml:space="preserve">  </w:t>
            </w:r>
            <w:r>
              <w:rPr>
                <w:rFonts w:hint="eastAsia"/>
                <w:b/>
                <w:bCs/>
                <w:color w:val="auto"/>
                <w:sz w:val="24"/>
                <w:lang w:val="en-US" w:eastAsia="zh-CN"/>
              </w:rPr>
              <w:t>热风炉</w:t>
            </w:r>
            <w:r>
              <w:rPr>
                <w:b/>
                <w:bCs/>
                <w:color w:val="auto"/>
                <w:sz w:val="24"/>
              </w:rPr>
              <w:t>工艺流程及产污节点图</w:t>
            </w:r>
          </w:p>
          <w:p w14:paraId="2946783F">
            <w:pPr>
              <w:spacing w:line="360" w:lineRule="auto"/>
              <w:ind w:firstLine="480" w:firstLineChars="200"/>
              <w:rPr>
                <w:rFonts w:hint="default" w:eastAsia="宋体"/>
                <w:color w:val="auto"/>
                <w:sz w:val="24"/>
                <w:lang w:val="en-US" w:eastAsia="zh-CN"/>
              </w:rPr>
            </w:pPr>
            <w:r>
              <w:rPr>
                <w:rFonts w:hint="eastAsia"/>
                <w:color w:val="auto"/>
                <w:sz w:val="24"/>
              </w:rPr>
              <w:t>通过</w:t>
            </w:r>
            <w:r>
              <w:rPr>
                <w:rFonts w:hint="eastAsia"/>
                <w:color w:val="auto"/>
                <w:sz w:val="24"/>
                <w:lang w:val="en-US" w:eastAsia="zh-CN"/>
              </w:rPr>
              <w:t>燃烧生物质颗粒</w:t>
            </w:r>
            <w:r>
              <w:rPr>
                <w:rFonts w:hint="eastAsia"/>
                <w:color w:val="auto"/>
                <w:sz w:val="24"/>
              </w:rPr>
              <w:t>，产生热能，将外部空气抽入通过热交换器进行换热，将适宜温度的洁净热气流输送到烘干塔进行粮食的烘干，热气流温度可控制在</w:t>
            </w:r>
            <w:r>
              <w:rPr>
                <w:rFonts w:hint="eastAsia"/>
                <w:color w:val="auto"/>
                <w:sz w:val="24"/>
                <w:lang w:val="en-US" w:eastAsia="zh-CN"/>
              </w:rPr>
              <w:t>120-150</w:t>
            </w:r>
            <w:r>
              <w:rPr>
                <w:rFonts w:hint="eastAsia"/>
                <w:color w:val="auto"/>
                <w:sz w:val="24"/>
              </w:rPr>
              <w:t>℃，通过粮食的种类和初始含水率可调节热气流的温度。</w:t>
            </w:r>
            <w:r>
              <w:rPr>
                <w:rFonts w:hint="eastAsia"/>
                <w:color w:val="auto"/>
                <w:sz w:val="24"/>
                <w:lang w:val="en-US" w:eastAsia="zh-CN"/>
              </w:rPr>
              <w:t>热风炉燃烧过程产生的废气（</w:t>
            </w:r>
            <w:r>
              <w:rPr>
                <w:rFonts w:hint="eastAsia"/>
                <w:color w:val="auto"/>
                <w:sz w:val="24"/>
              </w:rPr>
              <w:t>SO</w:t>
            </w:r>
            <w:r>
              <w:rPr>
                <w:rFonts w:hint="eastAsia"/>
                <w:color w:val="auto"/>
                <w:sz w:val="24"/>
                <w:vertAlign w:val="subscript"/>
              </w:rPr>
              <w:t>2</w:t>
            </w:r>
            <w:r>
              <w:rPr>
                <w:rFonts w:hint="eastAsia"/>
                <w:color w:val="auto"/>
                <w:sz w:val="24"/>
              </w:rPr>
              <w:t>、NOx、烟粉尘</w:t>
            </w:r>
            <w:r>
              <w:rPr>
                <w:rFonts w:hint="eastAsia"/>
                <w:color w:val="auto"/>
                <w:sz w:val="24"/>
                <w:lang w:val="en-US" w:eastAsia="zh-CN"/>
              </w:rPr>
              <w:t>）。</w:t>
            </w:r>
          </w:p>
          <w:p w14:paraId="447B62DD">
            <w:pPr>
              <w:spacing w:line="360" w:lineRule="auto"/>
              <w:ind w:firstLine="480" w:firstLineChars="200"/>
              <w:rPr>
                <w:color w:val="auto"/>
                <w:sz w:val="24"/>
              </w:rPr>
            </w:pPr>
            <w:r>
              <w:rPr>
                <w:rFonts w:hint="eastAsia"/>
                <w:color w:val="auto"/>
                <w:sz w:val="24"/>
              </w:rPr>
              <w:t xml:space="preserve">（7）烘干塔内工艺流程 </w:t>
            </w:r>
          </w:p>
          <w:p w14:paraId="2E4405D2">
            <w:pPr>
              <w:spacing w:line="360" w:lineRule="auto"/>
              <w:ind w:firstLine="480" w:firstLineChars="200"/>
              <w:rPr>
                <w:color w:val="auto"/>
                <w:sz w:val="24"/>
              </w:rPr>
            </w:pPr>
            <w:r>
              <w:rPr>
                <w:rFonts w:hint="eastAsia"/>
                <w:color w:val="auto"/>
                <w:sz w:val="24"/>
              </w:rPr>
              <w:t>在烘干塔内，由于粮食自重，自上而下流动，热风由塔底进入，朝上方向穿过粮层，热风在穿过粮层时，与粮粒间进行湿热传递，热风将热量传给粮粒，</w:t>
            </w:r>
            <w:r>
              <w:rPr>
                <w:rFonts w:hint="eastAsia"/>
                <w:color w:val="auto"/>
                <w:sz w:val="24"/>
                <w:lang w:val="en-US" w:eastAsia="zh-CN"/>
              </w:rPr>
              <w:t>烘干加热方式为间接加热，</w:t>
            </w:r>
            <w:r>
              <w:rPr>
                <w:rFonts w:hint="eastAsia"/>
                <w:color w:val="auto"/>
                <w:sz w:val="24"/>
              </w:rPr>
              <w:t>与粮食接触温度最高不超过60℃，粮粒受热升温，水分蒸发到空气中，热风携带着水汽及少量颗粒物变成废气经塔体两侧排气孔排放。在这个过程中，粮食温度升得越高，水分就蒸发得越快。为保证粮食的品质，即加工性和食用性，烘干塔内粮食升温幅度和干燥时长是受到严格控制的，其原则是既要降低粮食的水分，又不能损害粮食的品质。在烘干塔内没有布置通风角状管的部位为缓苏段，烘干的热粮向下流动到缓苏段，缓苏段内不通热风，其主要作用是减缓在干燥过程中粮粒内形成的应力，促进谷粒内部水分逐渐向外移动，使粮粒表面和内部的水分趋于平衡。缓苏工艺实施既有利于下一阶段的干燥，又能确保烘后粮的品质。</w:t>
            </w:r>
          </w:p>
          <w:p w14:paraId="099D13C8">
            <w:pPr>
              <w:adjustRightInd w:val="0"/>
              <w:snapToGrid w:val="0"/>
              <w:spacing w:line="360" w:lineRule="auto"/>
              <w:ind w:firstLine="480"/>
              <w:rPr>
                <w:color w:val="auto"/>
                <w:sz w:val="24"/>
              </w:rPr>
            </w:pPr>
            <w:r>
              <w:rPr>
                <w:rFonts w:hint="eastAsia"/>
                <w:color w:val="auto"/>
                <w:sz w:val="24"/>
              </w:rPr>
              <w:t>3、产污节点分析</w:t>
            </w:r>
          </w:p>
          <w:p w14:paraId="4CD5F77A">
            <w:pPr>
              <w:jc w:val="center"/>
              <w:rPr>
                <w:b/>
                <w:bCs/>
                <w:color w:val="auto"/>
                <w:sz w:val="24"/>
                <w:highlight w:val="yellow"/>
              </w:rPr>
            </w:pPr>
            <w:r>
              <w:rPr>
                <w:b/>
                <w:bCs/>
                <w:color w:val="auto"/>
                <w:sz w:val="24"/>
              </w:rPr>
              <w:t>表2-</w:t>
            </w:r>
            <w:r>
              <w:rPr>
                <w:rFonts w:hint="eastAsia"/>
                <w:b/>
                <w:bCs/>
                <w:color w:val="auto"/>
                <w:sz w:val="24"/>
              </w:rPr>
              <w:t xml:space="preserve">5 </w:t>
            </w:r>
            <w:r>
              <w:rPr>
                <w:b/>
                <w:bCs/>
                <w:color w:val="auto"/>
                <w:sz w:val="24"/>
              </w:rPr>
              <w:t xml:space="preserve"> 生产过程产污环节及治理措施一览表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438"/>
              <w:gridCol w:w="1206"/>
              <w:gridCol w:w="1902"/>
              <w:gridCol w:w="4210"/>
            </w:tblGrid>
            <w:tr w14:paraId="2EF30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1" w:type="pct"/>
                  <w:vAlign w:val="center"/>
                </w:tcPr>
                <w:p w14:paraId="4D2EFD89">
                  <w:pPr>
                    <w:pStyle w:val="32"/>
                    <w:rPr>
                      <w:color w:val="auto"/>
                    </w:rPr>
                  </w:pPr>
                  <w:r>
                    <w:rPr>
                      <w:color w:val="auto"/>
                    </w:rPr>
                    <w:t>产污单元</w:t>
                  </w:r>
                </w:p>
              </w:tc>
              <w:tc>
                <w:tcPr>
                  <w:tcW w:w="258" w:type="pct"/>
                  <w:vAlign w:val="center"/>
                </w:tcPr>
                <w:p w14:paraId="5D2D11DF">
                  <w:pPr>
                    <w:pStyle w:val="32"/>
                    <w:rPr>
                      <w:color w:val="auto"/>
                    </w:rPr>
                  </w:pPr>
                  <w:r>
                    <w:rPr>
                      <w:color w:val="auto"/>
                    </w:rPr>
                    <w:t>类型</w:t>
                  </w:r>
                </w:p>
              </w:tc>
              <w:tc>
                <w:tcPr>
                  <w:tcW w:w="710" w:type="pct"/>
                  <w:vAlign w:val="center"/>
                </w:tcPr>
                <w:p w14:paraId="1A341C1D">
                  <w:pPr>
                    <w:pStyle w:val="32"/>
                    <w:rPr>
                      <w:color w:val="auto"/>
                    </w:rPr>
                  </w:pPr>
                  <w:r>
                    <w:rPr>
                      <w:color w:val="auto"/>
                    </w:rPr>
                    <w:t>污染工序</w:t>
                  </w:r>
                </w:p>
              </w:tc>
              <w:tc>
                <w:tcPr>
                  <w:tcW w:w="1120" w:type="pct"/>
                  <w:vAlign w:val="center"/>
                </w:tcPr>
                <w:p w14:paraId="374CF085">
                  <w:pPr>
                    <w:pStyle w:val="32"/>
                    <w:rPr>
                      <w:color w:val="auto"/>
                    </w:rPr>
                  </w:pPr>
                  <w:r>
                    <w:rPr>
                      <w:color w:val="auto"/>
                    </w:rPr>
                    <w:t>主要成分</w:t>
                  </w:r>
                </w:p>
              </w:tc>
              <w:tc>
                <w:tcPr>
                  <w:tcW w:w="2479" w:type="pct"/>
                  <w:vAlign w:val="center"/>
                </w:tcPr>
                <w:p w14:paraId="15F13F5C">
                  <w:pPr>
                    <w:pStyle w:val="32"/>
                    <w:rPr>
                      <w:color w:val="auto"/>
                    </w:rPr>
                  </w:pPr>
                  <w:r>
                    <w:rPr>
                      <w:color w:val="auto"/>
                    </w:rPr>
                    <w:t>治理措施及排放形式</w:t>
                  </w:r>
                </w:p>
              </w:tc>
            </w:tr>
            <w:tr w14:paraId="3955D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1" w:type="pct"/>
                  <w:vMerge w:val="restart"/>
                  <w:vAlign w:val="center"/>
                </w:tcPr>
                <w:p w14:paraId="10DD7897">
                  <w:pPr>
                    <w:pStyle w:val="32"/>
                    <w:rPr>
                      <w:color w:val="auto"/>
                    </w:rPr>
                  </w:pPr>
                  <w:r>
                    <w:rPr>
                      <w:color w:val="auto"/>
                    </w:rPr>
                    <w:t>生产线</w:t>
                  </w:r>
                </w:p>
              </w:tc>
              <w:tc>
                <w:tcPr>
                  <w:tcW w:w="258" w:type="pct"/>
                  <w:vMerge w:val="restart"/>
                  <w:vAlign w:val="center"/>
                </w:tcPr>
                <w:p w14:paraId="19ADE13D">
                  <w:pPr>
                    <w:pStyle w:val="32"/>
                    <w:rPr>
                      <w:color w:val="auto"/>
                    </w:rPr>
                  </w:pPr>
                  <w:r>
                    <w:rPr>
                      <w:color w:val="auto"/>
                    </w:rPr>
                    <w:t>废气</w:t>
                  </w:r>
                </w:p>
              </w:tc>
              <w:tc>
                <w:tcPr>
                  <w:tcW w:w="710" w:type="pct"/>
                  <w:vAlign w:val="center"/>
                </w:tcPr>
                <w:p w14:paraId="066A62F3">
                  <w:pPr>
                    <w:pStyle w:val="32"/>
                    <w:rPr>
                      <w:color w:val="auto"/>
                    </w:rPr>
                  </w:pPr>
                  <w:r>
                    <w:rPr>
                      <w:rFonts w:hint="eastAsia"/>
                      <w:color w:val="auto"/>
                    </w:rPr>
                    <w:t>卸料</w:t>
                  </w:r>
                </w:p>
              </w:tc>
              <w:tc>
                <w:tcPr>
                  <w:tcW w:w="1120" w:type="pct"/>
                  <w:vAlign w:val="center"/>
                </w:tcPr>
                <w:p w14:paraId="37798454">
                  <w:pPr>
                    <w:pStyle w:val="32"/>
                    <w:rPr>
                      <w:color w:val="auto"/>
                    </w:rPr>
                  </w:pPr>
                  <w:r>
                    <w:rPr>
                      <w:rFonts w:hint="eastAsia"/>
                      <w:color w:val="auto"/>
                    </w:rPr>
                    <w:t>颗粒物</w:t>
                  </w:r>
                </w:p>
              </w:tc>
              <w:tc>
                <w:tcPr>
                  <w:tcW w:w="2479" w:type="pct"/>
                  <w:vAlign w:val="center"/>
                </w:tcPr>
                <w:p w14:paraId="3CF156AC">
                  <w:pPr>
                    <w:pStyle w:val="32"/>
                    <w:rPr>
                      <w:color w:val="auto"/>
                      <w:highlight w:val="yellow"/>
                    </w:rPr>
                  </w:pPr>
                  <w:r>
                    <w:rPr>
                      <w:rFonts w:hint="eastAsia"/>
                      <w:color w:val="auto"/>
                    </w:rPr>
                    <w:t>卸料经</w:t>
                  </w:r>
                  <w:r>
                    <w:rPr>
                      <w:rFonts w:hint="eastAsia"/>
                      <w:color w:val="auto"/>
                      <w:lang w:val="en-US" w:eastAsia="zh-CN"/>
                    </w:rPr>
                    <w:t>集气罩+密闭沉降室+</w:t>
                  </w:r>
                  <w:r>
                    <w:rPr>
                      <w:rFonts w:hint="eastAsia"/>
                      <w:color w:val="auto"/>
                    </w:rPr>
                    <w:t>布袋除尘器（TA002）处理后15m高排气筒（DA002）排放</w:t>
                  </w:r>
                </w:p>
              </w:tc>
            </w:tr>
            <w:tr w14:paraId="1D372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1" w:type="pct"/>
                  <w:vMerge w:val="continue"/>
                  <w:vAlign w:val="center"/>
                </w:tcPr>
                <w:p w14:paraId="1A0E74EA">
                  <w:pPr>
                    <w:pStyle w:val="32"/>
                    <w:rPr>
                      <w:color w:val="auto"/>
                    </w:rPr>
                  </w:pPr>
                </w:p>
              </w:tc>
              <w:tc>
                <w:tcPr>
                  <w:tcW w:w="258" w:type="pct"/>
                  <w:vMerge w:val="continue"/>
                  <w:vAlign w:val="center"/>
                </w:tcPr>
                <w:p w14:paraId="3FADF61D">
                  <w:pPr>
                    <w:pStyle w:val="32"/>
                    <w:rPr>
                      <w:color w:val="auto"/>
                    </w:rPr>
                  </w:pPr>
                </w:p>
              </w:tc>
              <w:tc>
                <w:tcPr>
                  <w:tcW w:w="710" w:type="pct"/>
                  <w:vAlign w:val="center"/>
                </w:tcPr>
                <w:p w14:paraId="094165F9">
                  <w:pPr>
                    <w:pStyle w:val="32"/>
                    <w:rPr>
                      <w:color w:val="auto"/>
                    </w:rPr>
                  </w:pPr>
                  <w:r>
                    <w:rPr>
                      <w:rFonts w:hint="eastAsia"/>
                      <w:color w:val="auto"/>
                    </w:rPr>
                    <w:t>筛分</w:t>
                  </w:r>
                </w:p>
              </w:tc>
              <w:tc>
                <w:tcPr>
                  <w:tcW w:w="1120" w:type="pct"/>
                  <w:vAlign w:val="center"/>
                </w:tcPr>
                <w:p w14:paraId="33A21D67">
                  <w:pPr>
                    <w:pStyle w:val="32"/>
                    <w:rPr>
                      <w:color w:val="auto"/>
                    </w:rPr>
                  </w:pPr>
                  <w:r>
                    <w:rPr>
                      <w:rFonts w:hint="eastAsia"/>
                      <w:color w:val="auto"/>
                    </w:rPr>
                    <w:t>颗粒物</w:t>
                  </w:r>
                </w:p>
              </w:tc>
              <w:tc>
                <w:tcPr>
                  <w:tcW w:w="2479" w:type="pct"/>
                  <w:vAlign w:val="center"/>
                </w:tcPr>
                <w:p w14:paraId="243702AC">
                  <w:pPr>
                    <w:pStyle w:val="32"/>
                    <w:rPr>
                      <w:color w:val="auto"/>
                      <w:highlight w:val="yellow"/>
                    </w:rPr>
                  </w:pPr>
                  <w:r>
                    <w:rPr>
                      <w:rFonts w:hint="eastAsia"/>
                      <w:color w:val="auto"/>
                    </w:rPr>
                    <w:t>筛分粉尘经脉冲布袋除尘器（TA001）处理后15m高排气筒（DA001）排放</w:t>
                  </w:r>
                </w:p>
              </w:tc>
            </w:tr>
            <w:tr w14:paraId="0F2B9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1" w:type="pct"/>
                  <w:vMerge w:val="continue"/>
                  <w:vAlign w:val="center"/>
                </w:tcPr>
                <w:p w14:paraId="6A6BDE09">
                  <w:pPr>
                    <w:pStyle w:val="32"/>
                    <w:rPr>
                      <w:color w:val="auto"/>
                    </w:rPr>
                  </w:pPr>
                </w:p>
              </w:tc>
              <w:tc>
                <w:tcPr>
                  <w:tcW w:w="258" w:type="pct"/>
                  <w:vMerge w:val="continue"/>
                  <w:vAlign w:val="center"/>
                </w:tcPr>
                <w:p w14:paraId="3903F29D">
                  <w:pPr>
                    <w:pStyle w:val="32"/>
                    <w:rPr>
                      <w:color w:val="auto"/>
                    </w:rPr>
                  </w:pPr>
                </w:p>
              </w:tc>
              <w:tc>
                <w:tcPr>
                  <w:tcW w:w="710" w:type="pct"/>
                  <w:vAlign w:val="center"/>
                </w:tcPr>
                <w:p w14:paraId="39867B09">
                  <w:pPr>
                    <w:pStyle w:val="32"/>
                    <w:rPr>
                      <w:rFonts w:hint="eastAsia"/>
                      <w:color w:val="auto"/>
                    </w:rPr>
                  </w:pPr>
                  <w:r>
                    <w:rPr>
                      <w:rFonts w:hint="eastAsia"/>
                      <w:color w:val="auto"/>
                    </w:rPr>
                    <w:t>烘干</w:t>
                  </w:r>
                </w:p>
              </w:tc>
              <w:tc>
                <w:tcPr>
                  <w:tcW w:w="1120" w:type="pct"/>
                  <w:vAlign w:val="center"/>
                </w:tcPr>
                <w:p w14:paraId="70E58E97">
                  <w:pPr>
                    <w:pStyle w:val="32"/>
                    <w:rPr>
                      <w:rFonts w:hint="eastAsia"/>
                      <w:color w:val="auto"/>
                    </w:rPr>
                  </w:pPr>
                  <w:r>
                    <w:rPr>
                      <w:rFonts w:hint="eastAsia"/>
                      <w:color w:val="auto"/>
                    </w:rPr>
                    <w:t>颗粒物</w:t>
                  </w:r>
                </w:p>
              </w:tc>
              <w:tc>
                <w:tcPr>
                  <w:tcW w:w="2479" w:type="pct"/>
                  <w:vAlign w:val="center"/>
                </w:tcPr>
                <w:p w14:paraId="5078CE0B">
                  <w:pPr>
                    <w:pStyle w:val="32"/>
                    <w:rPr>
                      <w:rFonts w:hint="eastAsia" w:eastAsia="宋体"/>
                      <w:color w:val="auto"/>
                      <w:lang w:val="en-US" w:eastAsia="zh-CN"/>
                    </w:rPr>
                  </w:pPr>
                  <w:r>
                    <w:rPr>
                      <w:rFonts w:hint="eastAsia"/>
                      <w:color w:val="auto"/>
                      <w:lang w:val="en-US" w:eastAsia="zh-CN"/>
                    </w:rPr>
                    <w:t>密闭收集+布袋除尘器（TA004）+15</w:t>
                  </w:r>
                  <w:r>
                    <w:rPr>
                      <w:rFonts w:hint="eastAsia"/>
                      <w:color w:val="auto"/>
                    </w:rPr>
                    <w:t>m高排气筒排放（DA00</w:t>
                  </w:r>
                  <w:r>
                    <w:rPr>
                      <w:rFonts w:hint="eastAsia"/>
                      <w:color w:val="auto"/>
                      <w:lang w:val="en-US" w:eastAsia="zh-CN"/>
                    </w:rPr>
                    <w:t>4</w:t>
                  </w:r>
                  <w:r>
                    <w:rPr>
                      <w:rFonts w:hint="eastAsia"/>
                      <w:color w:val="auto"/>
                    </w:rPr>
                    <w:t>）</w:t>
                  </w:r>
                </w:p>
              </w:tc>
            </w:tr>
            <w:tr w14:paraId="3B1D6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1" w:type="pct"/>
                  <w:vMerge w:val="continue"/>
                  <w:vAlign w:val="center"/>
                </w:tcPr>
                <w:p w14:paraId="3EFE2CDD">
                  <w:pPr>
                    <w:pStyle w:val="32"/>
                    <w:rPr>
                      <w:color w:val="auto"/>
                    </w:rPr>
                  </w:pPr>
                </w:p>
              </w:tc>
              <w:tc>
                <w:tcPr>
                  <w:tcW w:w="258" w:type="pct"/>
                  <w:vMerge w:val="continue"/>
                  <w:vAlign w:val="center"/>
                </w:tcPr>
                <w:p w14:paraId="188CA0C0">
                  <w:pPr>
                    <w:pStyle w:val="32"/>
                    <w:rPr>
                      <w:color w:val="auto"/>
                    </w:rPr>
                  </w:pPr>
                </w:p>
              </w:tc>
              <w:tc>
                <w:tcPr>
                  <w:tcW w:w="710" w:type="pct"/>
                  <w:vAlign w:val="center"/>
                </w:tcPr>
                <w:p w14:paraId="1E93F86A">
                  <w:pPr>
                    <w:pStyle w:val="32"/>
                    <w:rPr>
                      <w:color w:val="auto"/>
                    </w:rPr>
                  </w:pPr>
                  <w:r>
                    <w:rPr>
                      <w:rFonts w:hint="eastAsia"/>
                      <w:color w:val="auto"/>
                    </w:rPr>
                    <w:t>热风炉废气</w:t>
                  </w:r>
                </w:p>
              </w:tc>
              <w:tc>
                <w:tcPr>
                  <w:tcW w:w="1120" w:type="pct"/>
                  <w:vAlign w:val="center"/>
                </w:tcPr>
                <w:p w14:paraId="6A3D05F8">
                  <w:pPr>
                    <w:pStyle w:val="32"/>
                    <w:rPr>
                      <w:color w:val="auto"/>
                    </w:rPr>
                  </w:pPr>
                  <w:r>
                    <w:rPr>
                      <w:rFonts w:hint="eastAsia"/>
                      <w:color w:val="auto"/>
                    </w:rPr>
                    <w:t>颗粒物、SO</w:t>
                  </w:r>
                  <w:r>
                    <w:rPr>
                      <w:rFonts w:hint="eastAsia"/>
                      <w:color w:val="auto"/>
                      <w:vertAlign w:val="subscript"/>
                    </w:rPr>
                    <w:t>2</w:t>
                  </w:r>
                  <w:r>
                    <w:rPr>
                      <w:rFonts w:hint="eastAsia"/>
                      <w:color w:val="auto"/>
                    </w:rPr>
                    <w:t>、NOx</w:t>
                  </w:r>
                </w:p>
              </w:tc>
              <w:tc>
                <w:tcPr>
                  <w:tcW w:w="2479" w:type="pct"/>
                  <w:vAlign w:val="center"/>
                </w:tcPr>
                <w:p w14:paraId="44173FC2">
                  <w:pPr>
                    <w:pStyle w:val="32"/>
                    <w:rPr>
                      <w:color w:val="auto"/>
                    </w:rPr>
                  </w:pPr>
                  <w:r>
                    <w:rPr>
                      <w:rFonts w:hint="eastAsia"/>
                      <w:color w:val="auto"/>
                    </w:rPr>
                    <w:t>生物质热风炉废气</w:t>
                  </w:r>
                  <w:r>
                    <w:rPr>
                      <w:rFonts w:hint="eastAsia"/>
                      <w:color w:val="auto"/>
                      <w:lang w:val="en-US" w:eastAsia="zh-CN"/>
                    </w:rPr>
                    <w:t>采用低氮燃烧技术，燃烧尾气经</w:t>
                  </w:r>
                  <w:r>
                    <w:rPr>
                      <w:rFonts w:hint="eastAsia"/>
                      <w:color w:val="auto"/>
                    </w:rPr>
                    <w:t>布袋除尘器（TA00</w:t>
                  </w:r>
                  <w:r>
                    <w:rPr>
                      <w:rFonts w:hint="eastAsia"/>
                      <w:color w:val="auto"/>
                      <w:lang w:val="en-US" w:eastAsia="zh-CN"/>
                    </w:rPr>
                    <w:t>3</w:t>
                  </w:r>
                  <w:r>
                    <w:rPr>
                      <w:rFonts w:hint="eastAsia"/>
                      <w:color w:val="auto"/>
                    </w:rPr>
                    <w:t>）处理后通过一根40m高排气筒排放（DA0</w:t>
                  </w:r>
                  <w:r>
                    <w:rPr>
                      <w:rFonts w:hint="eastAsia"/>
                      <w:color w:val="auto"/>
                      <w:lang w:val="en-US" w:eastAsia="zh-CN"/>
                    </w:rPr>
                    <w:t>03</w:t>
                  </w:r>
                  <w:r>
                    <w:rPr>
                      <w:rFonts w:hint="eastAsia"/>
                      <w:color w:val="auto"/>
                    </w:rPr>
                    <w:t>）</w:t>
                  </w:r>
                </w:p>
              </w:tc>
            </w:tr>
            <w:tr w14:paraId="316C8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431" w:type="pct"/>
                  <w:vMerge w:val="continue"/>
                  <w:vAlign w:val="center"/>
                </w:tcPr>
                <w:p w14:paraId="551EE9D7">
                  <w:pPr>
                    <w:pStyle w:val="32"/>
                    <w:rPr>
                      <w:color w:val="auto"/>
                    </w:rPr>
                  </w:pPr>
                </w:p>
              </w:tc>
              <w:tc>
                <w:tcPr>
                  <w:tcW w:w="258" w:type="pct"/>
                  <w:vAlign w:val="center"/>
                </w:tcPr>
                <w:p w14:paraId="47CEB8AC">
                  <w:pPr>
                    <w:pStyle w:val="32"/>
                    <w:rPr>
                      <w:color w:val="auto"/>
                    </w:rPr>
                  </w:pPr>
                  <w:r>
                    <w:rPr>
                      <w:color w:val="auto"/>
                    </w:rPr>
                    <w:t>废水</w:t>
                  </w:r>
                </w:p>
              </w:tc>
              <w:tc>
                <w:tcPr>
                  <w:tcW w:w="710" w:type="pct"/>
                  <w:vAlign w:val="center"/>
                </w:tcPr>
                <w:p w14:paraId="5FF546CA">
                  <w:pPr>
                    <w:pStyle w:val="32"/>
                    <w:rPr>
                      <w:color w:val="auto"/>
                      <w:szCs w:val="24"/>
                    </w:rPr>
                  </w:pPr>
                  <w:r>
                    <w:rPr>
                      <w:color w:val="auto"/>
                    </w:rPr>
                    <w:t>生活污水</w:t>
                  </w:r>
                </w:p>
              </w:tc>
              <w:tc>
                <w:tcPr>
                  <w:tcW w:w="1120" w:type="pct"/>
                  <w:vAlign w:val="center"/>
                </w:tcPr>
                <w:p w14:paraId="595EE453">
                  <w:pPr>
                    <w:pStyle w:val="32"/>
                    <w:rPr>
                      <w:color w:val="auto"/>
                      <w:szCs w:val="24"/>
                    </w:rPr>
                  </w:pPr>
                  <w:r>
                    <w:rPr>
                      <w:rFonts w:hint="eastAsia"/>
                      <w:color w:val="auto"/>
                    </w:rPr>
                    <w:t>pH、</w:t>
                  </w:r>
                  <w:r>
                    <w:rPr>
                      <w:color w:val="auto"/>
                    </w:rPr>
                    <w:t>COD、BOD</w:t>
                  </w:r>
                  <w:r>
                    <w:rPr>
                      <w:color w:val="auto"/>
                      <w:vertAlign w:val="subscript"/>
                    </w:rPr>
                    <w:t>5</w:t>
                  </w:r>
                  <w:r>
                    <w:rPr>
                      <w:color w:val="auto"/>
                    </w:rPr>
                    <w:t>、氨氮、SS</w:t>
                  </w:r>
                </w:p>
              </w:tc>
              <w:tc>
                <w:tcPr>
                  <w:tcW w:w="2479" w:type="pct"/>
                  <w:vAlign w:val="center"/>
                </w:tcPr>
                <w:p w14:paraId="21F0CE14">
                  <w:pPr>
                    <w:pStyle w:val="32"/>
                    <w:rPr>
                      <w:color w:val="auto"/>
                      <w:szCs w:val="24"/>
                    </w:rPr>
                  </w:pPr>
                  <w:r>
                    <w:rPr>
                      <w:color w:val="auto"/>
                    </w:rPr>
                    <w:t>经化粪池预处理后</w:t>
                  </w:r>
                  <w:r>
                    <w:rPr>
                      <w:rFonts w:hint="eastAsia"/>
                      <w:color w:val="auto"/>
                    </w:rPr>
                    <w:t>定期清掏用于农田施肥</w:t>
                  </w:r>
                </w:p>
              </w:tc>
            </w:tr>
            <w:tr w14:paraId="54736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1" w:type="pct"/>
                  <w:vMerge w:val="continue"/>
                  <w:vAlign w:val="center"/>
                </w:tcPr>
                <w:p w14:paraId="241C991E">
                  <w:pPr>
                    <w:pStyle w:val="32"/>
                    <w:rPr>
                      <w:color w:val="auto"/>
                    </w:rPr>
                  </w:pPr>
                </w:p>
              </w:tc>
              <w:tc>
                <w:tcPr>
                  <w:tcW w:w="258" w:type="pct"/>
                  <w:vMerge w:val="restart"/>
                  <w:vAlign w:val="center"/>
                </w:tcPr>
                <w:p w14:paraId="3679DB2D">
                  <w:pPr>
                    <w:pStyle w:val="32"/>
                    <w:rPr>
                      <w:color w:val="auto"/>
                    </w:rPr>
                  </w:pPr>
                  <w:r>
                    <w:rPr>
                      <w:color w:val="auto"/>
                    </w:rPr>
                    <w:t>固废</w:t>
                  </w:r>
                </w:p>
              </w:tc>
              <w:tc>
                <w:tcPr>
                  <w:tcW w:w="710" w:type="pct"/>
                  <w:vAlign w:val="center"/>
                </w:tcPr>
                <w:p w14:paraId="14345227">
                  <w:pPr>
                    <w:pStyle w:val="32"/>
                    <w:rPr>
                      <w:color w:val="auto"/>
                    </w:rPr>
                  </w:pPr>
                  <w:r>
                    <w:rPr>
                      <w:rFonts w:hint="eastAsia"/>
                      <w:color w:val="auto"/>
                    </w:rPr>
                    <w:t>初筛</w:t>
                  </w:r>
                </w:p>
              </w:tc>
              <w:tc>
                <w:tcPr>
                  <w:tcW w:w="1120" w:type="pct"/>
                  <w:vAlign w:val="center"/>
                </w:tcPr>
                <w:p w14:paraId="0248B290">
                  <w:pPr>
                    <w:pStyle w:val="32"/>
                    <w:rPr>
                      <w:color w:val="auto"/>
                    </w:rPr>
                  </w:pPr>
                  <w:r>
                    <w:rPr>
                      <w:rFonts w:hint="eastAsia"/>
                      <w:color w:val="auto"/>
                    </w:rPr>
                    <w:t>粮食杂质</w:t>
                  </w:r>
                </w:p>
              </w:tc>
              <w:tc>
                <w:tcPr>
                  <w:tcW w:w="2479" w:type="pct"/>
                  <w:vMerge w:val="restart"/>
                  <w:vAlign w:val="center"/>
                </w:tcPr>
                <w:p w14:paraId="048B96B6">
                  <w:pPr>
                    <w:pStyle w:val="32"/>
                    <w:rPr>
                      <w:color w:val="auto"/>
                      <w:highlight w:val="yellow"/>
                    </w:rPr>
                  </w:pPr>
                  <w:r>
                    <w:rPr>
                      <w:rFonts w:hint="eastAsia"/>
                      <w:color w:val="auto"/>
                    </w:rPr>
                    <w:t>集中收集，外售综合利用</w:t>
                  </w:r>
                </w:p>
              </w:tc>
            </w:tr>
            <w:tr w14:paraId="318EE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1" w:type="pct"/>
                  <w:vMerge w:val="continue"/>
                  <w:vAlign w:val="center"/>
                </w:tcPr>
                <w:p w14:paraId="57813FB5">
                  <w:pPr>
                    <w:pStyle w:val="32"/>
                    <w:rPr>
                      <w:color w:val="auto"/>
                    </w:rPr>
                  </w:pPr>
                </w:p>
              </w:tc>
              <w:tc>
                <w:tcPr>
                  <w:tcW w:w="258" w:type="pct"/>
                  <w:vMerge w:val="continue"/>
                  <w:vAlign w:val="center"/>
                </w:tcPr>
                <w:p w14:paraId="7468C04C">
                  <w:pPr>
                    <w:pStyle w:val="32"/>
                    <w:rPr>
                      <w:color w:val="auto"/>
                    </w:rPr>
                  </w:pPr>
                </w:p>
              </w:tc>
              <w:tc>
                <w:tcPr>
                  <w:tcW w:w="710" w:type="pct"/>
                  <w:vAlign w:val="center"/>
                </w:tcPr>
                <w:p w14:paraId="0B9D79AB">
                  <w:pPr>
                    <w:pStyle w:val="32"/>
                    <w:rPr>
                      <w:color w:val="auto"/>
                    </w:rPr>
                  </w:pPr>
                  <w:r>
                    <w:rPr>
                      <w:rFonts w:hint="eastAsia"/>
                      <w:color w:val="auto"/>
                    </w:rPr>
                    <w:t>次筛</w:t>
                  </w:r>
                </w:p>
              </w:tc>
              <w:tc>
                <w:tcPr>
                  <w:tcW w:w="1120" w:type="pct"/>
                  <w:vAlign w:val="center"/>
                </w:tcPr>
                <w:p w14:paraId="3E8301AE">
                  <w:pPr>
                    <w:pStyle w:val="32"/>
                    <w:rPr>
                      <w:color w:val="auto"/>
                    </w:rPr>
                  </w:pPr>
                  <w:r>
                    <w:rPr>
                      <w:rFonts w:hint="eastAsia"/>
                      <w:color w:val="auto"/>
                    </w:rPr>
                    <w:t>粮食杂质</w:t>
                  </w:r>
                </w:p>
              </w:tc>
              <w:tc>
                <w:tcPr>
                  <w:tcW w:w="2479" w:type="pct"/>
                  <w:vMerge w:val="continue"/>
                  <w:vAlign w:val="center"/>
                </w:tcPr>
                <w:p w14:paraId="634B0419">
                  <w:pPr>
                    <w:pStyle w:val="32"/>
                    <w:rPr>
                      <w:color w:val="auto"/>
                      <w:highlight w:val="yellow"/>
                    </w:rPr>
                  </w:pPr>
                </w:p>
              </w:tc>
            </w:tr>
            <w:tr w14:paraId="104C4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1" w:type="pct"/>
                  <w:vMerge w:val="continue"/>
                  <w:vAlign w:val="center"/>
                </w:tcPr>
                <w:p w14:paraId="4F20FE96">
                  <w:pPr>
                    <w:pStyle w:val="32"/>
                    <w:rPr>
                      <w:color w:val="auto"/>
                    </w:rPr>
                  </w:pPr>
                </w:p>
              </w:tc>
              <w:tc>
                <w:tcPr>
                  <w:tcW w:w="258" w:type="pct"/>
                  <w:vMerge w:val="continue"/>
                  <w:vAlign w:val="center"/>
                </w:tcPr>
                <w:p w14:paraId="4DC6A860">
                  <w:pPr>
                    <w:pStyle w:val="32"/>
                    <w:rPr>
                      <w:color w:val="auto"/>
                    </w:rPr>
                  </w:pPr>
                </w:p>
              </w:tc>
              <w:tc>
                <w:tcPr>
                  <w:tcW w:w="710" w:type="pct"/>
                  <w:vAlign w:val="center"/>
                </w:tcPr>
                <w:p w14:paraId="7F1E70C8">
                  <w:pPr>
                    <w:pStyle w:val="32"/>
                    <w:rPr>
                      <w:color w:val="auto"/>
                    </w:rPr>
                  </w:pPr>
                  <w:r>
                    <w:rPr>
                      <w:rFonts w:hint="eastAsia"/>
                      <w:color w:val="auto"/>
                    </w:rPr>
                    <w:t>精筛</w:t>
                  </w:r>
                </w:p>
              </w:tc>
              <w:tc>
                <w:tcPr>
                  <w:tcW w:w="1120" w:type="pct"/>
                  <w:vAlign w:val="center"/>
                </w:tcPr>
                <w:p w14:paraId="67A14A9E">
                  <w:pPr>
                    <w:pStyle w:val="32"/>
                    <w:rPr>
                      <w:color w:val="auto"/>
                    </w:rPr>
                  </w:pPr>
                  <w:r>
                    <w:rPr>
                      <w:rFonts w:hint="eastAsia"/>
                      <w:color w:val="auto"/>
                    </w:rPr>
                    <w:t>粮食杂质</w:t>
                  </w:r>
                </w:p>
              </w:tc>
              <w:tc>
                <w:tcPr>
                  <w:tcW w:w="2479" w:type="pct"/>
                  <w:vMerge w:val="continue"/>
                  <w:vAlign w:val="center"/>
                </w:tcPr>
                <w:p w14:paraId="1568E973">
                  <w:pPr>
                    <w:pStyle w:val="32"/>
                    <w:rPr>
                      <w:color w:val="auto"/>
                      <w:highlight w:val="yellow"/>
                    </w:rPr>
                  </w:pPr>
                </w:p>
              </w:tc>
            </w:tr>
            <w:tr w14:paraId="39006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1" w:type="pct"/>
                  <w:vMerge w:val="continue"/>
                  <w:vAlign w:val="center"/>
                </w:tcPr>
                <w:p w14:paraId="42F18E5F">
                  <w:pPr>
                    <w:pStyle w:val="32"/>
                    <w:rPr>
                      <w:color w:val="auto"/>
                    </w:rPr>
                  </w:pPr>
                </w:p>
              </w:tc>
              <w:tc>
                <w:tcPr>
                  <w:tcW w:w="258" w:type="pct"/>
                  <w:vMerge w:val="continue"/>
                  <w:vAlign w:val="center"/>
                </w:tcPr>
                <w:p w14:paraId="3339223C">
                  <w:pPr>
                    <w:pStyle w:val="32"/>
                    <w:rPr>
                      <w:color w:val="auto"/>
                    </w:rPr>
                  </w:pPr>
                </w:p>
              </w:tc>
              <w:tc>
                <w:tcPr>
                  <w:tcW w:w="710" w:type="pct"/>
                  <w:vAlign w:val="center"/>
                </w:tcPr>
                <w:p w14:paraId="77344939">
                  <w:pPr>
                    <w:pStyle w:val="32"/>
                    <w:rPr>
                      <w:color w:val="auto"/>
                    </w:rPr>
                  </w:pPr>
                  <w:r>
                    <w:rPr>
                      <w:rFonts w:hint="eastAsia"/>
                      <w:color w:val="auto"/>
                    </w:rPr>
                    <w:t>废气处理</w:t>
                  </w:r>
                </w:p>
              </w:tc>
              <w:tc>
                <w:tcPr>
                  <w:tcW w:w="1120" w:type="pct"/>
                  <w:vAlign w:val="center"/>
                </w:tcPr>
                <w:p w14:paraId="365BA3D8">
                  <w:pPr>
                    <w:pStyle w:val="32"/>
                    <w:rPr>
                      <w:color w:val="auto"/>
                    </w:rPr>
                  </w:pPr>
                  <w:r>
                    <w:rPr>
                      <w:rFonts w:hint="eastAsia"/>
                      <w:color w:val="auto"/>
                    </w:rPr>
                    <w:t>收集灰</w:t>
                  </w:r>
                </w:p>
              </w:tc>
              <w:tc>
                <w:tcPr>
                  <w:tcW w:w="2479" w:type="pct"/>
                  <w:vAlign w:val="center"/>
                </w:tcPr>
                <w:p w14:paraId="27FD24F8">
                  <w:pPr>
                    <w:pStyle w:val="32"/>
                    <w:rPr>
                      <w:color w:val="auto"/>
                      <w:highlight w:val="yellow"/>
                    </w:rPr>
                  </w:pPr>
                  <w:r>
                    <w:rPr>
                      <w:rFonts w:hint="eastAsia"/>
                      <w:color w:val="auto"/>
                    </w:rPr>
                    <w:t>集中收集，统一清运处理</w:t>
                  </w:r>
                </w:p>
              </w:tc>
            </w:tr>
            <w:tr w14:paraId="003EE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1" w:type="pct"/>
                  <w:vMerge w:val="continue"/>
                  <w:vAlign w:val="center"/>
                </w:tcPr>
                <w:p w14:paraId="37A94BE2">
                  <w:pPr>
                    <w:pStyle w:val="32"/>
                    <w:rPr>
                      <w:color w:val="auto"/>
                    </w:rPr>
                  </w:pPr>
                </w:p>
              </w:tc>
              <w:tc>
                <w:tcPr>
                  <w:tcW w:w="258" w:type="pct"/>
                  <w:vMerge w:val="continue"/>
                  <w:vAlign w:val="center"/>
                </w:tcPr>
                <w:p w14:paraId="4497B406">
                  <w:pPr>
                    <w:pStyle w:val="32"/>
                    <w:rPr>
                      <w:color w:val="auto"/>
                    </w:rPr>
                  </w:pPr>
                </w:p>
              </w:tc>
              <w:tc>
                <w:tcPr>
                  <w:tcW w:w="710" w:type="pct"/>
                  <w:vAlign w:val="center"/>
                </w:tcPr>
                <w:p w14:paraId="40BB0D05">
                  <w:pPr>
                    <w:pStyle w:val="32"/>
                    <w:rPr>
                      <w:color w:val="auto"/>
                    </w:rPr>
                  </w:pPr>
                  <w:r>
                    <w:rPr>
                      <w:color w:val="auto"/>
                    </w:rPr>
                    <w:t>办公生活</w:t>
                  </w:r>
                </w:p>
              </w:tc>
              <w:tc>
                <w:tcPr>
                  <w:tcW w:w="1120" w:type="pct"/>
                  <w:vAlign w:val="center"/>
                </w:tcPr>
                <w:p w14:paraId="6649B908">
                  <w:pPr>
                    <w:pStyle w:val="32"/>
                    <w:rPr>
                      <w:color w:val="auto"/>
                    </w:rPr>
                  </w:pPr>
                  <w:r>
                    <w:rPr>
                      <w:color w:val="auto"/>
                    </w:rPr>
                    <w:t>生活垃圾</w:t>
                  </w:r>
                </w:p>
              </w:tc>
              <w:tc>
                <w:tcPr>
                  <w:tcW w:w="2479" w:type="pct"/>
                  <w:vAlign w:val="center"/>
                </w:tcPr>
                <w:p w14:paraId="49EC0E69">
                  <w:pPr>
                    <w:pStyle w:val="32"/>
                    <w:rPr>
                      <w:color w:val="auto"/>
                      <w:highlight w:val="yellow"/>
                    </w:rPr>
                  </w:pPr>
                  <w:r>
                    <w:rPr>
                      <w:color w:val="auto"/>
                    </w:rPr>
                    <w:t>交由环卫部门处置</w:t>
                  </w:r>
                </w:p>
              </w:tc>
            </w:tr>
          </w:tbl>
          <w:p w14:paraId="20CB006F">
            <w:pPr>
              <w:spacing w:line="360" w:lineRule="auto"/>
              <w:ind w:firstLine="480" w:firstLineChars="200"/>
              <w:rPr>
                <w:bCs/>
                <w:color w:val="auto"/>
                <w:sz w:val="24"/>
              </w:rPr>
            </w:pPr>
          </w:p>
        </w:tc>
      </w:tr>
      <w:tr w14:paraId="74C32E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742" w:type="dxa"/>
            <w:vAlign w:val="center"/>
          </w:tcPr>
          <w:p w14:paraId="07FAB15D">
            <w:pPr>
              <w:pStyle w:val="20"/>
              <w:adjustRightInd w:val="0"/>
              <w:snapToGrid w:val="0"/>
              <w:spacing w:before="0" w:beforeAutospacing="0" w:after="0" w:afterAutospacing="0"/>
              <w:jc w:val="center"/>
              <w:rPr>
                <w:rFonts w:ascii="Times New Roman" w:hAnsi="Times New Roman"/>
                <w:color w:val="auto"/>
                <w:szCs w:val="24"/>
              </w:rPr>
            </w:pPr>
            <w:r>
              <w:rPr>
                <w:rFonts w:ascii="Times New Roman" w:hAnsi="Times New Roman"/>
                <w:bCs/>
                <w:color w:val="auto"/>
                <w:kern w:val="2"/>
                <w:szCs w:val="24"/>
              </w:rPr>
              <w:t>与项目有关的原有环境污染问题</w:t>
            </w:r>
          </w:p>
        </w:tc>
        <w:tc>
          <w:tcPr>
            <w:tcW w:w="8717" w:type="dxa"/>
          </w:tcPr>
          <w:p w14:paraId="7D622035">
            <w:pPr>
              <w:spacing w:line="360" w:lineRule="auto"/>
              <w:rPr>
                <w:rFonts w:cs="宋体"/>
                <w:b/>
                <w:color w:val="auto"/>
                <w:sz w:val="24"/>
              </w:rPr>
            </w:pPr>
            <w:r>
              <w:rPr>
                <w:rFonts w:hint="eastAsia" w:cs="宋体"/>
                <w:b/>
                <w:color w:val="auto"/>
                <w:sz w:val="24"/>
              </w:rPr>
              <w:t>1、现有项目概括</w:t>
            </w:r>
          </w:p>
          <w:p w14:paraId="08C3BC05">
            <w:pPr>
              <w:spacing w:line="360" w:lineRule="auto"/>
              <w:ind w:firstLine="480" w:firstLineChars="200"/>
              <w:rPr>
                <w:color w:val="auto"/>
                <w:sz w:val="24"/>
              </w:rPr>
            </w:pPr>
            <w:r>
              <w:rPr>
                <w:rFonts w:hint="eastAsia"/>
                <w:color w:val="auto"/>
                <w:sz w:val="24"/>
              </w:rPr>
              <w:t>宿州华升生态农业有限责任公司</w:t>
            </w:r>
            <w:r>
              <w:rPr>
                <w:color w:val="auto"/>
                <w:sz w:val="24"/>
              </w:rPr>
              <w:t>位于宿州市埇桥区</w:t>
            </w:r>
            <w:r>
              <w:rPr>
                <w:rFonts w:hint="eastAsia"/>
                <w:color w:val="auto"/>
                <w:sz w:val="24"/>
              </w:rPr>
              <w:t>灰古镇国家现代农业示范区东三环与北三环交叉口，原有项目仅为简单的粮食仓储、晾晒，不涉及生产工序，根据</w:t>
            </w:r>
            <w:r>
              <w:rPr>
                <w:color w:val="auto"/>
                <w:sz w:val="24"/>
              </w:rPr>
              <w:t>《建设项目环境影响评价分类管理名录》（2021年版）</w:t>
            </w:r>
            <w:r>
              <w:rPr>
                <w:rFonts w:hint="eastAsia"/>
                <w:color w:val="auto"/>
                <w:sz w:val="24"/>
              </w:rPr>
              <w:t>中五十三、装卸搬运和仓储业59，原有项目属于豁免行业。</w:t>
            </w:r>
          </w:p>
          <w:p w14:paraId="435104E5">
            <w:pPr>
              <w:pStyle w:val="57"/>
              <w:spacing w:before="36" w:line="219" w:lineRule="auto"/>
              <w:ind w:left="106"/>
              <w:rPr>
                <w:b/>
                <w:bCs/>
                <w:color w:val="auto"/>
                <w:spacing w:val="-5"/>
                <w:lang w:eastAsia="zh-CN"/>
              </w:rPr>
            </w:pPr>
            <w:r>
              <w:rPr>
                <w:rFonts w:ascii="Times New Roman" w:hAnsi="Times New Roman" w:eastAsia="Times New Roman" w:cs="Times New Roman"/>
                <w:b/>
                <w:bCs/>
                <w:color w:val="auto"/>
                <w:spacing w:val="-5"/>
                <w:lang w:eastAsia="zh-CN"/>
              </w:rPr>
              <w:t>2</w:t>
            </w:r>
            <w:r>
              <w:rPr>
                <w:rFonts w:ascii="Times New Roman" w:hAnsi="Times New Roman" w:eastAsia="Times New Roman" w:cs="Times New Roman"/>
                <w:b/>
                <w:bCs/>
                <w:color w:val="auto"/>
                <w:spacing w:val="-28"/>
                <w:lang w:eastAsia="zh-CN"/>
              </w:rPr>
              <w:t xml:space="preserve"> </w:t>
            </w:r>
            <w:r>
              <w:rPr>
                <w:b/>
                <w:bCs/>
                <w:color w:val="auto"/>
                <w:spacing w:val="-5"/>
                <w:lang w:eastAsia="zh-CN"/>
              </w:rPr>
              <w:t>、现有项目产品主要工艺</w:t>
            </w:r>
          </w:p>
          <w:p w14:paraId="39128865">
            <w:pPr>
              <w:pStyle w:val="57"/>
              <w:spacing w:before="36" w:line="219" w:lineRule="auto"/>
              <w:ind w:left="106"/>
              <w:rPr>
                <w:b/>
                <w:bCs/>
                <w:color w:val="auto"/>
                <w:spacing w:val="-5"/>
                <w:lang w:eastAsia="zh-CN"/>
              </w:rPr>
            </w:pPr>
          </w:p>
          <w:p w14:paraId="42972746">
            <w:pPr>
              <w:pStyle w:val="57"/>
              <w:spacing w:before="36" w:line="219" w:lineRule="auto"/>
              <w:ind w:left="106"/>
              <w:rPr>
                <w:b/>
                <w:bCs/>
                <w:color w:val="auto"/>
                <w:spacing w:val="-5"/>
                <w:lang w:eastAsia="zh-CN"/>
              </w:rPr>
            </w:pPr>
          </w:p>
          <w:p w14:paraId="72C1E1DC">
            <w:pPr>
              <w:pStyle w:val="57"/>
              <w:spacing w:before="36" w:line="219" w:lineRule="auto"/>
              <w:ind w:left="106"/>
              <w:rPr>
                <w:b/>
                <w:bCs/>
                <w:color w:val="auto"/>
                <w:spacing w:val="-5"/>
                <w:lang w:eastAsia="zh-CN"/>
              </w:rPr>
            </w:pPr>
          </w:p>
          <w:p w14:paraId="6891B727">
            <w:pPr>
              <w:pStyle w:val="57"/>
              <w:spacing w:before="36" w:line="219" w:lineRule="auto"/>
              <w:ind w:left="106"/>
              <w:rPr>
                <w:b/>
                <w:bCs/>
                <w:color w:val="auto"/>
                <w:spacing w:val="-5"/>
                <w:lang w:eastAsia="zh-CN"/>
              </w:rPr>
            </w:pPr>
          </w:p>
          <w:p w14:paraId="4FC310E0">
            <w:pPr>
              <w:pStyle w:val="57"/>
              <w:spacing w:before="36" w:line="219" w:lineRule="auto"/>
              <w:ind w:left="106"/>
              <w:rPr>
                <w:b/>
                <w:bCs/>
                <w:color w:val="auto"/>
                <w:spacing w:val="-5"/>
                <w:lang w:eastAsia="zh-CN"/>
              </w:rPr>
            </w:pPr>
          </w:p>
          <w:p w14:paraId="14C31D4F">
            <w:pPr>
              <w:pStyle w:val="57"/>
              <w:spacing w:before="36" w:line="219" w:lineRule="auto"/>
              <w:ind w:left="106"/>
              <w:rPr>
                <w:b/>
                <w:bCs/>
                <w:color w:val="auto"/>
                <w:spacing w:val="-5"/>
                <w:lang w:eastAsia="zh-CN"/>
              </w:rPr>
            </w:pPr>
          </w:p>
          <w:p w14:paraId="38EED3CB">
            <w:pPr>
              <w:pStyle w:val="57"/>
              <w:spacing w:before="36" w:line="219" w:lineRule="auto"/>
              <w:ind w:left="106"/>
              <w:rPr>
                <w:b/>
                <w:bCs/>
                <w:color w:val="auto"/>
                <w:spacing w:val="-5"/>
                <w:lang w:eastAsia="zh-CN"/>
              </w:rPr>
            </w:pPr>
          </w:p>
          <w:p w14:paraId="2AB4D3A2">
            <w:pPr>
              <w:pStyle w:val="57"/>
              <w:spacing w:before="36" w:line="219" w:lineRule="auto"/>
              <w:ind w:left="106"/>
              <w:rPr>
                <w:b/>
                <w:bCs/>
                <w:color w:val="auto"/>
                <w:spacing w:val="-5"/>
                <w:lang w:eastAsia="zh-CN"/>
              </w:rPr>
            </w:pPr>
          </w:p>
          <w:p w14:paraId="749AB080">
            <w:pPr>
              <w:pStyle w:val="57"/>
              <w:spacing w:before="36" w:line="219" w:lineRule="auto"/>
              <w:ind w:left="106"/>
              <w:rPr>
                <w:rFonts w:hint="eastAsia"/>
                <w:b/>
                <w:bCs/>
                <w:color w:val="auto"/>
                <w:spacing w:val="-5"/>
                <w:lang w:eastAsia="zh-CN"/>
              </w:rPr>
            </w:pPr>
          </w:p>
          <w:p w14:paraId="6208A411">
            <w:pPr>
              <w:spacing w:line="360" w:lineRule="auto"/>
              <w:jc w:val="center"/>
              <w:rPr>
                <w:color w:val="auto"/>
                <w:kern w:val="0"/>
                <w:sz w:val="24"/>
                <w:lang w:bidi="ar"/>
              </w:rPr>
            </w:pPr>
            <w:r>
              <w:rPr>
                <w:rFonts w:hint="eastAsia"/>
                <w:color w:val="auto"/>
                <w:kern w:val="0"/>
                <w:sz w:val="24"/>
                <w:lang w:bidi="ar"/>
              </w:rPr>
              <w:drawing>
                <wp:inline distT="0" distB="0" distL="114300" distR="114300">
                  <wp:extent cx="2858770" cy="4123690"/>
                  <wp:effectExtent l="0" t="0" r="6350" b="6350"/>
                  <wp:docPr id="18" name="F360BE8B-6686-4F3D-AEAF-501FE73E4058-5" descr="C:/Users/Administrator/AppData/Local/Temp/绘图1(34).png绘图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360BE8B-6686-4F3D-AEAF-501FE73E4058-5" descr="C:/Users/Administrator/AppData/Local/Temp/绘图1(34).png绘图1(34)"/>
                          <pic:cNvPicPr>
                            <a:picLocks noChangeAspect="1"/>
                          </pic:cNvPicPr>
                        </pic:nvPicPr>
                        <pic:blipFill>
                          <a:blip r:embed="rId10"/>
                          <a:stretch>
                            <a:fillRect/>
                          </a:stretch>
                        </pic:blipFill>
                        <pic:spPr>
                          <a:xfrm>
                            <a:off x="0" y="0"/>
                            <a:ext cx="2859024" cy="4123944"/>
                          </a:xfrm>
                          <a:prstGeom prst="rect">
                            <a:avLst/>
                          </a:prstGeom>
                        </pic:spPr>
                      </pic:pic>
                    </a:graphicData>
                  </a:graphic>
                </wp:inline>
              </w:drawing>
            </w:r>
          </w:p>
          <w:p w14:paraId="4F6BBDD3">
            <w:pPr>
              <w:pStyle w:val="57"/>
              <w:spacing w:before="78" w:line="219" w:lineRule="auto"/>
              <w:jc w:val="center"/>
              <w:rPr>
                <w:rFonts w:hint="eastAsia"/>
                <w:color w:val="auto"/>
                <w:kern w:val="0"/>
                <w:lang w:eastAsia="zh-CN" w:bidi="ar"/>
              </w:rPr>
            </w:pPr>
            <w:r>
              <w:rPr>
                <w:b/>
                <w:bCs/>
                <w:color w:val="auto"/>
                <w:spacing w:val="-4"/>
                <w:lang w:eastAsia="zh-CN"/>
              </w:rPr>
              <w:t>图</w:t>
            </w:r>
            <w:r>
              <w:rPr>
                <w:color w:val="auto"/>
                <w:spacing w:val="-38"/>
                <w:lang w:eastAsia="zh-CN"/>
              </w:rPr>
              <w:t xml:space="preserve"> </w:t>
            </w:r>
            <w:r>
              <w:rPr>
                <w:rFonts w:ascii="Times New Roman" w:hAnsi="Times New Roman" w:eastAsia="Times New Roman" w:cs="Times New Roman"/>
                <w:b/>
                <w:bCs/>
                <w:color w:val="auto"/>
                <w:spacing w:val="-4"/>
                <w:lang w:eastAsia="zh-CN"/>
              </w:rPr>
              <w:t>2</w:t>
            </w:r>
            <w:r>
              <w:rPr>
                <w:rFonts w:hint="eastAsia" w:ascii="Times New Roman" w:hAnsi="Times New Roman" w:eastAsia="Times New Roman" w:cs="Times New Roman"/>
                <w:b/>
                <w:bCs/>
                <w:color w:val="auto"/>
                <w:spacing w:val="-4"/>
                <w:lang w:eastAsia="zh-CN"/>
              </w:rPr>
              <w:t>-3</w:t>
            </w:r>
            <w:r>
              <w:rPr>
                <w:rFonts w:ascii="Times New Roman" w:hAnsi="Times New Roman" w:eastAsia="Times New Roman" w:cs="Times New Roman"/>
                <w:b/>
                <w:bCs/>
                <w:color w:val="auto"/>
                <w:spacing w:val="-4"/>
                <w:lang w:eastAsia="zh-CN"/>
              </w:rPr>
              <w:t xml:space="preserve">    </w:t>
            </w:r>
            <w:r>
              <w:rPr>
                <w:b/>
                <w:bCs/>
                <w:color w:val="auto"/>
                <w:spacing w:val="-4"/>
                <w:lang w:eastAsia="zh-CN"/>
              </w:rPr>
              <w:t>生产工艺流程及产污节点图</w:t>
            </w:r>
          </w:p>
          <w:p w14:paraId="3F4B289A">
            <w:pPr>
              <w:spacing w:line="360" w:lineRule="auto"/>
              <w:ind w:firstLine="466" w:firstLineChars="200"/>
              <w:rPr>
                <w:color w:val="auto"/>
                <w:spacing w:val="-4"/>
                <w:sz w:val="24"/>
                <w:szCs w:val="32"/>
              </w:rPr>
            </w:pPr>
            <w:r>
              <w:rPr>
                <w:b/>
                <w:bCs/>
                <w:color w:val="auto"/>
                <w:spacing w:val="-4"/>
                <w:sz w:val="24"/>
                <w:szCs w:val="32"/>
              </w:rPr>
              <w:t>工艺流程简述</w:t>
            </w:r>
            <w:r>
              <w:rPr>
                <w:color w:val="auto"/>
                <w:spacing w:val="-4"/>
                <w:sz w:val="24"/>
                <w:szCs w:val="32"/>
              </w:rPr>
              <w:t>：</w:t>
            </w:r>
          </w:p>
          <w:p w14:paraId="4E35F8ED">
            <w:pPr>
              <w:spacing w:line="360" w:lineRule="auto"/>
              <w:ind w:firstLine="480" w:firstLineChars="200"/>
              <w:rPr>
                <w:color w:val="auto"/>
                <w:sz w:val="24"/>
              </w:rPr>
            </w:pPr>
            <w:r>
              <w:rPr>
                <w:rFonts w:hint="eastAsia"/>
                <w:color w:val="auto"/>
                <w:sz w:val="24"/>
                <w:lang w:val="en-US" w:eastAsia="zh-CN"/>
              </w:rPr>
              <w:t>种植的粮食收割后，</w:t>
            </w:r>
            <w:r>
              <w:rPr>
                <w:color w:val="auto"/>
                <w:sz w:val="24"/>
              </w:rPr>
              <w:t>粮食运到厂内后，由人工检验粮食的含水率，含水率低于含水率≤14%，无需晾晒，直接卸粮由提升机将卸粮棚内的粮食直接输送至金属仓暂存后外售，含水率≥14%的粮食，在厂区内晾晒，晾晒完成后</w:t>
            </w:r>
            <w:r>
              <w:rPr>
                <w:rFonts w:hint="eastAsia"/>
                <w:color w:val="auto"/>
                <w:sz w:val="24"/>
                <w:lang w:val="en-US" w:eastAsia="zh-CN"/>
              </w:rPr>
              <w:t>入成品库暂存</w:t>
            </w:r>
            <w:r>
              <w:rPr>
                <w:color w:val="auto"/>
                <w:sz w:val="24"/>
              </w:rPr>
              <w:t>外售。</w:t>
            </w:r>
          </w:p>
          <w:p w14:paraId="51CD224B">
            <w:pPr>
              <w:pStyle w:val="57"/>
              <w:spacing w:line="360" w:lineRule="auto"/>
              <w:rPr>
                <w:rFonts w:ascii="Times New Roman" w:hAnsi="Times New Roman" w:cs="Times New Roman"/>
                <w:color w:val="auto"/>
                <w:lang w:eastAsia="zh-CN"/>
              </w:rPr>
            </w:pPr>
            <w:r>
              <w:rPr>
                <w:rFonts w:ascii="Times New Roman" w:hAnsi="Times New Roman" w:eastAsia="Times New Roman" w:cs="Times New Roman"/>
                <w:b/>
                <w:bCs/>
                <w:color w:val="auto"/>
                <w:spacing w:val="-4"/>
                <w:lang w:eastAsia="zh-CN"/>
              </w:rPr>
              <w:t>3</w:t>
            </w:r>
            <w:r>
              <w:rPr>
                <w:rFonts w:ascii="Times New Roman" w:hAnsi="Times New Roman" w:eastAsia="Times New Roman" w:cs="Times New Roman"/>
                <w:b/>
                <w:bCs/>
                <w:color w:val="auto"/>
                <w:spacing w:val="-27"/>
                <w:lang w:eastAsia="zh-CN"/>
              </w:rPr>
              <w:t xml:space="preserve"> </w:t>
            </w:r>
            <w:r>
              <w:rPr>
                <w:rFonts w:ascii="Times New Roman" w:hAnsi="Times New Roman" w:cs="Times New Roman"/>
                <w:b/>
                <w:bCs/>
                <w:color w:val="auto"/>
                <w:spacing w:val="-4"/>
                <w:lang w:eastAsia="zh-CN"/>
              </w:rPr>
              <w:t>、现有项目污染物产生及排放情况</w:t>
            </w:r>
          </w:p>
          <w:p w14:paraId="5576EDC7">
            <w:pPr>
              <w:spacing w:line="360" w:lineRule="auto"/>
              <w:ind w:firstLine="480" w:firstLineChars="200"/>
              <w:rPr>
                <w:rFonts w:hint="default" w:eastAsia="宋体"/>
                <w:color w:val="auto"/>
                <w:sz w:val="24"/>
                <w:lang w:val="en-US" w:eastAsia="zh-CN"/>
              </w:rPr>
            </w:pPr>
            <w:r>
              <w:rPr>
                <w:color w:val="auto"/>
                <w:sz w:val="24"/>
              </w:rPr>
              <w:t>（1）</w:t>
            </w:r>
            <w:r>
              <w:rPr>
                <w:rFonts w:hint="eastAsia"/>
                <w:color w:val="auto"/>
                <w:sz w:val="24"/>
                <w:lang w:val="en-US" w:eastAsia="zh-CN"/>
              </w:rPr>
              <w:t>卸料粉尘（无组织）</w:t>
            </w:r>
          </w:p>
          <w:p w14:paraId="68536F49">
            <w:pPr>
              <w:spacing w:line="360" w:lineRule="auto"/>
              <w:ind w:firstLine="480" w:firstLineChars="200"/>
              <w:rPr>
                <w:rFonts w:hint="eastAsia"/>
                <w:color w:val="auto"/>
                <w:sz w:val="24"/>
              </w:rPr>
            </w:pPr>
            <w:r>
              <w:rPr>
                <w:color w:val="auto"/>
                <w:sz w:val="24"/>
              </w:rPr>
              <w:t>粮食在卸料过程中会产生扬尘，卸料过程中粉尘产污系数约0.5‰</w:t>
            </w:r>
            <w:r>
              <w:rPr>
                <w:rFonts w:hint="eastAsia"/>
                <w:color w:val="auto"/>
                <w:sz w:val="24"/>
              </w:rPr>
              <w:t>，项目加工谷物总量</w:t>
            </w:r>
            <w:r>
              <w:rPr>
                <w:rFonts w:hint="eastAsia"/>
                <w:color w:val="auto"/>
                <w:sz w:val="24"/>
                <w:lang w:val="en-US" w:eastAsia="zh-CN"/>
              </w:rPr>
              <w:t>2492</w:t>
            </w:r>
            <w:r>
              <w:rPr>
                <w:rFonts w:hint="eastAsia"/>
                <w:color w:val="auto"/>
                <w:sz w:val="24"/>
              </w:rPr>
              <w:t>t/a，则卸料粉尘产生量为</w:t>
            </w:r>
            <w:r>
              <w:rPr>
                <w:rFonts w:hint="eastAsia"/>
                <w:color w:val="auto"/>
                <w:sz w:val="24"/>
                <w:lang w:val="en-US" w:eastAsia="zh-CN"/>
              </w:rPr>
              <w:t>1.246</w:t>
            </w:r>
            <w:r>
              <w:rPr>
                <w:rFonts w:hint="eastAsia"/>
                <w:color w:val="auto"/>
                <w:sz w:val="24"/>
              </w:rPr>
              <w:t>t/a。</w:t>
            </w:r>
            <w:r>
              <w:rPr>
                <w:color w:val="auto"/>
                <w:sz w:val="24"/>
              </w:rPr>
              <w:t>项目产生的卸料粉尘经沉降室收集后无组织排放。</w:t>
            </w:r>
          </w:p>
          <w:p w14:paraId="0C00D6A6">
            <w:pPr>
              <w:spacing w:line="360" w:lineRule="auto"/>
              <w:ind w:firstLine="462" w:firstLineChars="200"/>
              <w:rPr>
                <w:rFonts w:ascii="Times New Roman" w:hAnsi="Times New Roman" w:cs="Times New Roman"/>
                <w:color w:val="auto"/>
                <w:lang w:eastAsia="zh-CN"/>
              </w:rPr>
            </w:pPr>
            <w:r>
              <w:rPr>
                <w:rFonts w:ascii="Times New Roman" w:hAnsi="Times New Roman" w:cs="Times New Roman"/>
                <w:b/>
                <w:bCs/>
                <w:color w:val="auto"/>
                <w:spacing w:val="-5"/>
                <w:sz w:val="24"/>
                <w:szCs w:val="32"/>
                <w:lang w:eastAsia="zh-CN"/>
              </w:rPr>
              <w:t>4、</w:t>
            </w:r>
            <w:r>
              <w:rPr>
                <w:rFonts w:ascii="Times New Roman" w:hAnsi="Times New Roman" w:cs="Times New Roman"/>
                <w:b/>
                <w:bCs/>
                <w:color w:val="auto"/>
                <w:spacing w:val="-4"/>
                <w:sz w:val="24"/>
                <w:szCs w:val="32"/>
                <w:lang w:eastAsia="zh-CN"/>
              </w:rPr>
              <w:t>与该项目有关的主要环境问题及整改措施</w:t>
            </w:r>
          </w:p>
          <w:p w14:paraId="2B54A3D2">
            <w:pPr>
              <w:pStyle w:val="57"/>
              <w:jc w:val="center"/>
              <w:rPr>
                <w:rFonts w:hint="eastAsia"/>
                <w:color w:val="auto"/>
                <w:lang w:eastAsia="zh-CN"/>
              </w:rPr>
            </w:pPr>
            <w:r>
              <w:rPr>
                <w:b/>
                <w:bCs/>
                <w:color w:val="auto"/>
                <w:spacing w:val="-2"/>
                <w:lang w:eastAsia="zh-CN"/>
              </w:rPr>
              <w:t>表</w:t>
            </w:r>
            <w:r>
              <w:rPr>
                <w:rFonts w:ascii="Times New Roman" w:hAnsi="Times New Roman" w:eastAsia="Times New Roman" w:cs="Times New Roman"/>
                <w:b/>
                <w:bCs/>
                <w:color w:val="auto"/>
                <w:spacing w:val="-2"/>
                <w:lang w:eastAsia="zh-CN"/>
              </w:rPr>
              <w:t>2</w:t>
            </w:r>
            <w:r>
              <w:rPr>
                <w:rFonts w:hint="eastAsia" w:ascii="Times New Roman" w:hAnsi="Times New Roman" w:cs="Times New Roman"/>
                <w:b/>
                <w:bCs/>
                <w:color w:val="auto"/>
                <w:spacing w:val="-2"/>
                <w:lang w:eastAsia="zh-CN"/>
              </w:rPr>
              <w:t>-</w:t>
            </w:r>
            <w:r>
              <w:rPr>
                <w:rFonts w:hint="eastAsia" w:ascii="Times New Roman" w:hAnsi="Times New Roman" w:cs="Times New Roman"/>
                <w:b/>
                <w:bCs/>
                <w:color w:val="auto"/>
                <w:spacing w:val="-2"/>
                <w:lang w:val="en-US" w:eastAsia="zh-CN"/>
              </w:rPr>
              <w:t>6</w:t>
            </w:r>
            <w:r>
              <w:rPr>
                <w:rFonts w:hint="eastAsia" w:ascii="Times New Roman" w:hAnsi="Times New Roman" w:cs="Times New Roman"/>
                <w:b/>
                <w:bCs/>
                <w:color w:val="auto"/>
                <w:spacing w:val="-2"/>
                <w:lang w:eastAsia="zh-CN"/>
              </w:rPr>
              <w:t xml:space="preserve">  </w:t>
            </w:r>
            <w:r>
              <w:rPr>
                <w:b/>
                <w:bCs/>
                <w:color w:val="auto"/>
                <w:spacing w:val="-2"/>
                <w:lang w:eastAsia="zh-CN"/>
              </w:rPr>
              <w:t>现有项目存在问题及整改措施</w:t>
            </w:r>
          </w:p>
          <w:tbl>
            <w:tblPr>
              <w:tblStyle w:val="58"/>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61"/>
              <w:gridCol w:w="3150"/>
              <w:gridCol w:w="4682"/>
            </w:tblGrid>
            <w:tr w14:paraId="45C8F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89" w:type="pct"/>
                  <w:vAlign w:val="center"/>
                </w:tcPr>
                <w:p w14:paraId="5D4FBD40">
                  <w:pPr>
                    <w:pStyle w:val="57"/>
                    <w:jc w:val="center"/>
                    <w:rPr>
                      <w:rFonts w:ascii="Times New Roman" w:hAnsi="Times New Roman" w:cs="Times New Roman"/>
                      <w:color w:val="auto"/>
                      <w:sz w:val="21"/>
                      <w:szCs w:val="21"/>
                    </w:rPr>
                  </w:pPr>
                  <w:r>
                    <w:rPr>
                      <w:rFonts w:ascii="Times New Roman" w:hAnsi="Times New Roman" w:cs="Times New Roman"/>
                      <w:color w:val="auto"/>
                      <w:spacing w:val="5"/>
                      <w:sz w:val="21"/>
                      <w:szCs w:val="21"/>
                    </w:rPr>
                    <w:t>序号</w:t>
                  </w:r>
                </w:p>
              </w:tc>
              <w:tc>
                <w:tcPr>
                  <w:tcW w:w="1854" w:type="pct"/>
                  <w:vAlign w:val="center"/>
                </w:tcPr>
                <w:p w14:paraId="270F585A">
                  <w:pPr>
                    <w:pStyle w:val="57"/>
                    <w:jc w:val="center"/>
                    <w:rPr>
                      <w:rFonts w:ascii="Times New Roman" w:hAnsi="Times New Roman" w:cs="Times New Roman"/>
                      <w:color w:val="auto"/>
                      <w:sz w:val="21"/>
                      <w:szCs w:val="21"/>
                    </w:rPr>
                  </w:pPr>
                  <w:r>
                    <w:rPr>
                      <w:rFonts w:ascii="Times New Roman" w:hAnsi="Times New Roman" w:cs="Times New Roman"/>
                      <w:color w:val="auto"/>
                      <w:spacing w:val="7"/>
                      <w:sz w:val="21"/>
                      <w:szCs w:val="21"/>
                    </w:rPr>
                    <w:t>存在问题</w:t>
                  </w:r>
                </w:p>
              </w:tc>
              <w:tc>
                <w:tcPr>
                  <w:tcW w:w="2756" w:type="pct"/>
                  <w:vAlign w:val="center"/>
                </w:tcPr>
                <w:p w14:paraId="5374501B">
                  <w:pPr>
                    <w:pStyle w:val="57"/>
                    <w:jc w:val="center"/>
                    <w:rPr>
                      <w:rFonts w:ascii="Times New Roman" w:hAnsi="Times New Roman" w:cs="Times New Roman"/>
                      <w:color w:val="auto"/>
                      <w:sz w:val="21"/>
                      <w:szCs w:val="21"/>
                    </w:rPr>
                  </w:pPr>
                  <w:r>
                    <w:rPr>
                      <w:rFonts w:ascii="Times New Roman" w:hAnsi="Times New Roman" w:cs="Times New Roman"/>
                      <w:color w:val="auto"/>
                      <w:spacing w:val="7"/>
                      <w:sz w:val="21"/>
                      <w:szCs w:val="21"/>
                    </w:rPr>
                    <w:t>整改措施</w:t>
                  </w:r>
                </w:p>
              </w:tc>
            </w:tr>
            <w:tr w14:paraId="3892BA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89" w:type="pct"/>
                  <w:vAlign w:val="center"/>
                </w:tcPr>
                <w:p w14:paraId="393E9B83">
                  <w:pPr>
                    <w:jc w:val="center"/>
                    <w:rPr>
                      <w:color w:val="auto"/>
                      <w:szCs w:val="21"/>
                    </w:rPr>
                  </w:pPr>
                  <w:r>
                    <w:rPr>
                      <w:rFonts w:hint="eastAsia"/>
                      <w:color w:val="auto"/>
                      <w:szCs w:val="21"/>
                    </w:rPr>
                    <w:t>1</w:t>
                  </w:r>
                </w:p>
              </w:tc>
              <w:tc>
                <w:tcPr>
                  <w:tcW w:w="1854" w:type="pct"/>
                  <w:vAlign w:val="center"/>
                </w:tcPr>
                <w:p w14:paraId="25F338D3">
                  <w:pPr>
                    <w:pStyle w:val="57"/>
                    <w:ind w:left="105" w:leftChars="50" w:right="105" w:rightChars="50"/>
                    <w:jc w:val="center"/>
                    <w:rPr>
                      <w:rFonts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卸粮粉尘产生量较大收集措施不到位。</w:t>
                  </w:r>
                </w:p>
              </w:tc>
              <w:tc>
                <w:tcPr>
                  <w:tcW w:w="2756" w:type="pct"/>
                  <w:vAlign w:val="center"/>
                </w:tcPr>
                <w:p w14:paraId="5FCFB8AE">
                  <w:pPr>
                    <w:pStyle w:val="57"/>
                    <w:ind w:left="105" w:leftChars="50" w:right="105" w:rightChars="50"/>
                    <w:jc w:val="center"/>
                    <w:rPr>
                      <w:rFonts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卸粮粉尘经集气罩收集+密闭沉降室+布袋除尘器处理后有组织排放</w:t>
                  </w:r>
                </w:p>
              </w:tc>
            </w:tr>
            <w:tr w14:paraId="64A9B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389" w:type="pct"/>
                  <w:vAlign w:val="center"/>
                </w:tcPr>
                <w:p w14:paraId="1B1F8668">
                  <w:pPr>
                    <w:jc w:val="center"/>
                    <w:rPr>
                      <w:rFonts w:hint="eastAsia" w:eastAsia="宋体"/>
                      <w:color w:val="auto"/>
                      <w:szCs w:val="21"/>
                      <w:lang w:val="en-US" w:eastAsia="zh-CN"/>
                    </w:rPr>
                  </w:pPr>
                  <w:r>
                    <w:rPr>
                      <w:rFonts w:hint="eastAsia"/>
                      <w:color w:val="auto"/>
                      <w:szCs w:val="21"/>
                      <w:lang w:val="en-US" w:eastAsia="zh-CN"/>
                    </w:rPr>
                    <w:t>2</w:t>
                  </w:r>
                </w:p>
              </w:tc>
              <w:tc>
                <w:tcPr>
                  <w:tcW w:w="1854" w:type="pct"/>
                  <w:vAlign w:val="center"/>
                </w:tcPr>
                <w:p w14:paraId="53F289FB">
                  <w:pPr>
                    <w:pStyle w:val="57"/>
                    <w:ind w:left="105" w:leftChars="50" w:right="105" w:rightChars="5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未设置一般固废暂存间，项目产生的粮食杂质直接在厂区内暂存。</w:t>
                  </w:r>
                </w:p>
              </w:tc>
              <w:tc>
                <w:tcPr>
                  <w:tcW w:w="2756" w:type="pct"/>
                  <w:vAlign w:val="center"/>
                </w:tcPr>
                <w:p w14:paraId="73722801">
                  <w:pPr>
                    <w:pStyle w:val="57"/>
                    <w:ind w:left="105" w:leftChars="50" w:right="105" w:rightChars="5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设置一间20m²一般固废暂存间，产生的粮食杂质应暂存于一般固废暂存间。</w:t>
                  </w:r>
                </w:p>
              </w:tc>
            </w:tr>
          </w:tbl>
          <w:p w14:paraId="0ABF3401">
            <w:pPr>
              <w:spacing w:line="360" w:lineRule="auto"/>
              <w:rPr>
                <w:color w:val="auto"/>
                <w:sz w:val="24"/>
              </w:rPr>
            </w:pPr>
          </w:p>
          <w:p w14:paraId="1A1A8E6C">
            <w:pPr>
              <w:spacing w:line="360" w:lineRule="auto"/>
              <w:rPr>
                <w:color w:val="auto"/>
                <w:sz w:val="24"/>
              </w:rPr>
            </w:pPr>
          </w:p>
          <w:p w14:paraId="344778DB">
            <w:pPr>
              <w:spacing w:line="360" w:lineRule="auto"/>
              <w:rPr>
                <w:color w:val="auto"/>
                <w:sz w:val="24"/>
              </w:rPr>
            </w:pPr>
          </w:p>
          <w:p w14:paraId="74F325DE">
            <w:pPr>
              <w:spacing w:line="360" w:lineRule="auto"/>
              <w:rPr>
                <w:color w:val="auto"/>
                <w:sz w:val="24"/>
              </w:rPr>
            </w:pPr>
          </w:p>
          <w:p w14:paraId="1E8A5622">
            <w:pPr>
              <w:spacing w:line="360" w:lineRule="auto"/>
              <w:rPr>
                <w:color w:val="auto"/>
                <w:sz w:val="24"/>
              </w:rPr>
            </w:pPr>
          </w:p>
          <w:p w14:paraId="7EB81FBC">
            <w:pPr>
              <w:spacing w:line="360" w:lineRule="auto"/>
              <w:rPr>
                <w:color w:val="auto"/>
                <w:sz w:val="24"/>
              </w:rPr>
            </w:pPr>
          </w:p>
          <w:p w14:paraId="23875FD4">
            <w:pPr>
              <w:spacing w:line="360" w:lineRule="auto"/>
              <w:rPr>
                <w:color w:val="auto"/>
                <w:sz w:val="24"/>
              </w:rPr>
            </w:pPr>
          </w:p>
          <w:p w14:paraId="17893FF1">
            <w:pPr>
              <w:spacing w:line="360" w:lineRule="auto"/>
              <w:rPr>
                <w:color w:val="auto"/>
                <w:sz w:val="24"/>
              </w:rPr>
            </w:pPr>
          </w:p>
          <w:p w14:paraId="4CDCD856">
            <w:pPr>
              <w:spacing w:line="360" w:lineRule="auto"/>
              <w:rPr>
                <w:color w:val="auto"/>
                <w:sz w:val="24"/>
              </w:rPr>
            </w:pPr>
          </w:p>
          <w:p w14:paraId="18607694">
            <w:pPr>
              <w:spacing w:line="360" w:lineRule="auto"/>
              <w:rPr>
                <w:color w:val="auto"/>
                <w:sz w:val="24"/>
              </w:rPr>
            </w:pPr>
          </w:p>
          <w:p w14:paraId="2FC58652">
            <w:pPr>
              <w:spacing w:line="360" w:lineRule="auto"/>
              <w:rPr>
                <w:color w:val="auto"/>
                <w:sz w:val="24"/>
              </w:rPr>
            </w:pPr>
          </w:p>
          <w:p w14:paraId="4E98028E">
            <w:pPr>
              <w:spacing w:line="360" w:lineRule="auto"/>
              <w:rPr>
                <w:color w:val="auto"/>
                <w:sz w:val="24"/>
              </w:rPr>
            </w:pPr>
          </w:p>
          <w:p w14:paraId="1AD39592">
            <w:pPr>
              <w:spacing w:line="360" w:lineRule="auto"/>
              <w:rPr>
                <w:color w:val="auto"/>
                <w:sz w:val="24"/>
              </w:rPr>
            </w:pPr>
          </w:p>
          <w:p w14:paraId="14136B49">
            <w:pPr>
              <w:spacing w:line="360" w:lineRule="auto"/>
              <w:rPr>
                <w:color w:val="auto"/>
                <w:sz w:val="24"/>
              </w:rPr>
            </w:pPr>
          </w:p>
          <w:p w14:paraId="22E88C10">
            <w:pPr>
              <w:spacing w:line="360" w:lineRule="auto"/>
              <w:rPr>
                <w:color w:val="auto"/>
                <w:sz w:val="24"/>
              </w:rPr>
            </w:pPr>
          </w:p>
          <w:p w14:paraId="69F20C21">
            <w:pPr>
              <w:spacing w:line="360" w:lineRule="auto"/>
              <w:rPr>
                <w:color w:val="auto"/>
                <w:sz w:val="24"/>
              </w:rPr>
            </w:pPr>
          </w:p>
          <w:p w14:paraId="6C008B0E">
            <w:pPr>
              <w:spacing w:line="360" w:lineRule="auto"/>
              <w:rPr>
                <w:color w:val="auto"/>
                <w:sz w:val="24"/>
              </w:rPr>
            </w:pPr>
          </w:p>
          <w:p w14:paraId="3B560C5B">
            <w:pPr>
              <w:spacing w:line="360" w:lineRule="auto"/>
              <w:rPr>
                <w:color w:val="auto"/>
                <w:sz w:val="24"/>
              </w:rPr>
            </w:pPr>
          </w:p>
          <w:p w14:paraId="443ED9D5">
            <w:pPr>
              <w:spacing w:line="360" w:lineRule="auto"/>
              <w:rPr>
                <w:color w:val="auto"/>
                <w:sz w:val="24"/>
              </w:rPr>
            </w:pPr>
          </w:p>
          <w:p w14:paraId="7BEA1BF2">
            <w:pPr>
              <w:spacing w:line="360" w:lineRule="auto"/>
              <w:rPr>
                <w:color w:val="auto"/>
                <w:sz w:val="24"/>
              </w:rPr>
            </w:pPr>
          </w:p>
          <w:p w14:paraId="09B019E7">
            <w:pPr>
              <w:spacing w:line="360" w:lineRule="auto"/>
              <w:rPr>
                <w:color w:val="auto"/>
                <w:sz w:val="24"/>
              </w:rPr>
            </w:pPr>
          </w:p>
          <w:p w14:paraId="287204D7">
            <w:pPr>
              <w:spacing w:line="360" w:lineRule="auto"/>
              <w:rPr>
                <w:color w:val="auto"/>
                <w:sz w:val="24"/>
              </w:rPr>
            </w:pPr>
          </w:p>
          <w:p w14:paraId="6367896C">
            <w:pPr>
              <w:spacing w:line="360" w:lineRule="auto"/>
              <w:rPr>
                <w:color w:val="auto"/>
                <w:sz w:val="24"/>
              </w:rPr>
            </w:pPr>
          </w:p>
          <w:p w14:paraId="19941FDF">
            <w:pPr>
              <w:spacing w:line="360" w:lineRule="auto"/>
              <w:rPr>
                <w:color w:val="auto"/>
                <w:sz w:val="24"/>
              </w:rPr>
            </w:pPr>
          </w:p>
          <w:p w14:paraId="31A5734D">
            <w:pPr>
              <w:spacing w:line="360" w:lineRule="auto"/>
              <w:rPr>
                <w:color w:val="auto"/>
                <w:sz w:val="24"/>
              </w:rPr>
            </w:pPr>
          </w:p>
          <w:p w14:paraId="45083BC4">
            <w:pPr>
              <w:spacing w:line="360" w:lineRule="auto"/>
              <w:rPr>
                <w:color w:val="auto"/>
                <w:sz w:val="24"/>
              </w:rPr>
            </w:pPr>
          </w:p>
          <w:p w14:paraId="3427C253">
            <w:pPr>
              <w:spacing w:line="360" w:lineRule="auto"/>
              <w:rPr>
                <w:color w:val="auto"/>
                <w:sz w:val="24"/>
              </w:rPr>
            </w:pPr>
          </w:p>
          <w:p w14:paraId="717E9F8C">
            <w:pPr>
              <w:spacing w:line="360" w:lineRule="auto"/>
              <w:rPr>
                <w:color w:val="auto"/>
                <w:sz w:val="24"/>
              </w:rPr>
            </w:pPr>
          </w:p>
          <w:p w14:paraId="44EC7FBA">
            <w:pPr>
              <w:spacing w:line="360" w:lineRule="auto"/>
              <w:rPr>
                <w:color w:val="auto"/>
                <w:sz w:val="24"/>
              </w:rPr>
            </w:pPr>
          </w:p>
        </w:tc>
      </w:tr>
    </w:tbl>
    <w:p w14:paraId="4539625B">
      <w:pPr>
        <w:pStyle w:val="20"/>
        <w:adjustRightInd w:val="0"/>
        <w:snapToGrid w:val="0"/>
        <w:spacing w:before="0" w:beforeAutospacing="0" w:after="0" w:afterAutospacing="0"/>
        <w:jc w:val="center"/>
        <w:rPr>
          <w:rFonts w:ascii="Times New Roman" w:hAnsi="Times New Roman"/>
          <w:color w:val="000000"/>
          <w:sz w:val="21"/>
          <w:szCs w:val="21"/>
        </w:rPr>
        <w:sectPr>
          <w:pgSz w:w="11906" w:h="16838"/>
          <w:pgMar w:top="1791" w:right="1429" w:bottom="1791" w:left="1429" w:header="851" w:footer="851" w:gutter="0"/>
          <w:cols w:space="720" w:num="1"/>
          <w:docGrid w:linePitch="312" w:charSpace="0"/>
        </w:sectPr>
      </w:pPr>
    </w:p>
    <w:p w14:paraId="66BE1831">
      <w:pPr>
        <w:pStyle w:val="20"/>
        <w:spacing w:before="0" w:beforeAutospacing="0" w:after="0" w:afterAutospacing="0" w:line="360" w:lineRule="auto"/>
        <w:jc w:val="center"/>
        <w:outlineLvl w:val="0"/>
        <w:rPr>
          <w:rFonts w:ascii="Times New Roman" w:hAnsi="Times New Roman"/>
          <w:b/>
          <w:bCs/>
          <w:snapToGrid w:val="0"/>
          <w:color w:val="000000"/>
          <w:sz w:val="30"/>
          <w:szCs w:val="30"/>
        </w:rPr>
      </w:pPr>
      <w:r>
        <w:rPr>
          <w:rFonts w:hint="eastAsia" w:ascii="Times New Roman" w:hAnsi="Times New Roman"/>
          <w:b/>
          <w:bCs/>
          <w:snapToGrid w:val="0"/>
          <w:color w:val="000000"/>
          <w:sz w:val="30"/>
          <w:szCs w:val="30"/>
        </w:rPr>
        <w:t>三、区域环境质量现状、环境保护目标及评价标准</w:t>
      </w:r>
    </w:p>
    <w:tbl>
      <w:tblPr>
        <w:tblStyle w:val="23"/>
        <w:tblW w:w="523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08"/>
        <w:gridCol w:w="8313"/>
      </w:tblGrid>
      <w:tr w14:paraId="456C97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1" w:hRule="atLeast"/>
          <w:jc w:val="center"/>
        </w:trPr>
        <w:tc>
          <w:tcPr>
            <w:tcW w:w="341" w:type="pct"/>
            <w:vAlign w:val="center"/>
          </w:tcPr>
          <w:p w14:paraId="25B30F68">
            <w:pPr>
              <w:adjustRightInd w:val="0"/>
              <w:snapToGrid w:val="0"/>
              <w:jc w:val="center"/>
              <w:rPr>
                <w:color w:val="000000"/>
                <w:kern w:val="0"/>
                <w:szCs w:val="21"/>
              </w:rPr>
            </w:pPr>
            <w:r>
              <w:rPr>
                <w:color w:val="000000"/>
                <w:kern w:val="0"/>
                <w:sz w:val="24"/>
              </w:rPr>
              <w:t>区域环境质量现状</w:t>
            </w:r>
          </w:p>
        </w:tc>
        <w:tc>
          <w:tcPr>
            <w:tcW w:w="4658" w:type="pct"/>
            <w:vAlign w:val="center"/>
          </w:tcPr>
          <w:p w14:paraId="6162C911">
            <w:pPr>
              <w:spacing w:line="360" w:lineRule="auto"/>
              <w:rPr>
                <w:b/>
                <w:bCs/>
                <w:color w:val="000000"/>
                <w:sz w:val="24"/>
                <w:szCs w:val="32"/>
              </w:rPr>
            </w:pPr>
            <w:r>
              <w:rPr>
                <w:rFonts w:hint="eastAsia"/>
                <w:b/>
                <w:bCs/>
                <w:color w:val="000000"/>
                <w:sz w:val="24"/>
                <w:szCs w:val="32"/>
              </w:rPr>
              <w:t>1</w:t>
            </w:r>
            <w:r>
              <w:rPr>
                <w:b/>
                <w:bCs/>
                <w:color w:val="000000"/>
                <w:sz w:val="24"/>
                <w:szCs w:val="32"/>
              </w:rPr>
              <w:t>、</w:t>
            </w:r>
            <w:r>
              <w:rPr>
                <w:rFonts w:hint="eastAsia"/>
                <w:b/>
                <w:bCs/>
                <w:color w:val="000000"/>
                <w:sz w:val="24"/>
                <w:szCs w:val="32"/>
              </w:rPr>
              <w:t>大气</w:t>
            </w:r>
            <w:r>
              <w:rPr>
                <w:b/>
                <w:bCs/>
                <w:color w:val="000000"/>
                <w:sz w:val="24"/>
                <w:szCs w:val="32"/>
              </w:rPr>
              <w:t>环境质量状况</w:t>
            </w:r>
          </w:p>
          <w:p w14:paraId="25C88B89">
            <w:pPr>
              <w:widowControl/>
              <w:autoSpaceDE w:val="0"/>
              <w:autoSpaceDN w:val="0"/>
              <w:spacing w:line="360" w:lineRule="auto"/>
              <w:ind w:firstLine="480" w:firstLineChars="200"/>
              <w:textAlignment w:val="baseline"/>
              <w:rPr>
                <w:sz w:val="24"/>
              </w:rPr>
            </w:pPr>
            <w:r>
              <w:rPr>
                <w:sz w:val="24"/>
              </w:rPr>
              <w:t>（1）常规</w:t>
            </w:r>
            <w:r>
              <w:rPr>
                <w:rFonts w:hint="eastAsia"/>
                <w:sz w:val="24"/>
              </w:rPr>
              <w:t>污染物</w:t>
            </w:r>
          </w:p>
          <w:p w14:paraId="199DD200">
            <w:pPr>
              <w:pStyle w:val="36"/>
              <w:spacing w:beforeLines="0"/>
              <w:ind w:firstLine="480"/>
              <w:rPr>
                <w:rFonts w:ascii="Times New Roman" w:hAnsi="Times New Roman"/>
                <w:color w:val="auto"/>
                <w:sz w:val="24"/>
                <w:szCs w:val="32"/>
              </w:rPr>
            </w:pPr>
            <w:r>
              <w:rPr>
                <w:rFonts w:ascii="Times New Roman" w:hAnsi="Times New Roman"/>
                <w:color w:val="auto"/>
                <w:sz w:val="24"/>
                <w:szCs w:val="32"/>
              </w:rPr>
              <w:t>本项目位于宿州市，本次评价选取2024年作为评价基准年，根据国家“环境空气质量模型技术支持服务系统”中发布的2024年环境空气质量数据，项目所在区域环境空气质量现状如下，宿州市2024年SO</w:t>
            </w:r>
            <w:r>
              <w:rPr>
                <w:rFonts w:ascii="Times New Roman" w:hAnsi="Times New Roman"/>
                <w:color w:val="auto"/>
                <w:sz w:val="24"/>
                <w:szCs w:val="32"/>
                <w:vertAlign w:val="subscript"/>
              </w:rPr>
              <w:t>2</w:t>
            </w:r>
            <w:r>
              <w:rPr>
                <w:rFonts w:ascii="Times New Roman" w:hAnsi="Times New Roman"/>
                <w:color w:val="auto"/>
                <w:sz w:val="24"/>
                <w:szCs w:val="32"/>
              </w:rPr>
              <w:t>、NO</w:t>
            </w:r>
            <w:r>
              <w:rPr>
                <w:rFonts w:ascii="Times New Roman" w:hAnsi="Times New Roman"/>
                <w:color w:val="auto"/>
                <w:sz w:val="24"/>
                <w:szCs w:val="32"/>
                <w:vertAlign w:val="subscript"/>
              </w:rPr>
              <w:t>2</w:t>
            </w:r>
            <w:r>
              <w:rPr>
                <w:rFonts w:ascii="Times New Roman" w:hAnsi="Times New Roman"/>
                <w:color w:val="auto"/>
                <w:sz w:val="24"/>
                <w:szCs w:val="32"/>
              </w:rPr>
              <w:t>、PM</w:t>
            </w:r>
            <w:r>
              <w:rPr>
                <w:rFonts w:ascii="Times New Roman" w:hAnsi="Times New Roman"/>
                <w:color w:val="auto"/>
                <w:sz w:val="24"/>
                <w:szCs w:val="32"/>
                <w:vertAlign w:val="subscript"/>
              </w:rPr>
              <w:t>10</w:t>
            </w:r>
            <w:r>
              <w:rPr>
                <w:rFonts w:ascii="Times New Roman" w:hAnsi="Times New Roman"/>
                <w:color w:val="auto"/>
                <w:sz w:val="24"/>
                <w:szCs w:val="32"/>
              </w:rPr>
              <w:t>、PM</w:t>
            </w:r>
            <w:r>
              <w:rPr>
                <w:rFonts w:ascii="Times New Roman" w:hAnsi="Times New Roman"/>
                <w:color w:val="auto"/>
                <w:sz w:val="24"/>
                <w:szCs w:val="32"/>
                <w:vertAlign w:val="subscript"/>
              </w:rPr>
              <w:t>2.5</w:t>
            </w:r>
            <w:r>
              <w:rPr>
                <w:rFonts w:ascii="Times New Roman" w:hAnsi="Times New Roman"/>
                <w:color w:val="auto"/>
                <w:sz w:val="24"/>
                <w:szCs w:val="32"/>
              </w:rPr>
              <w:t>年均浓度分别为6 μg/m</w:t>
            </w:r>
            <w:r>
              <w:rPr>
                <w:rFonts w:ascii="Times New Roman" w:hAnsi="Times New Roman"/>
                <w:color w:val="auto"/>
                <w:sz w:val="24"/>
                <w:szCs w:val="32"/>
                <w:vertAlign w:val="superscript"/>
              </w:rPr>
              <w:t>3</w:t>
            </w:r>
            <w:r>
              <w:rPr>
                <w:rFonts w:ascii="Times New Roman" w:hAnsi="Times New Roman"/>
                <w:color w:val="auto"/>
                <w:sz w:val="24"/>
                <w:szCs w:val="32"/>
              </w:rPr>
              <w:t>、18 μg/m</w:t>
            </w:r>
            <w:r>
              <w:rPr>
                <w:rFonts w:ascii="Times New Roman" w:hAnsi="Times New Roman"/>
                <w:color w:val="auto"/>
                <w:sz w:val="24"/>
                <w:szCs w:val="32"/>
                <w:vertAlign w:val="superscript"/>
              </w:rPr>
              <w:t>3</w:t>
            </w:r>
            <w:r>
              <w:rPr>
                <w:rFonts w:ascii="Times New Roman" w:hAnsi="Times New Roman"/>
                <w:color w:val="auto"/>
                <w:sz w:val="24"/>
                <w:szCs w:val="32"/>
              </w:rPr>
              <w:t>、71 μg/m</w:t>
            </w:r>
            <w:r>
              <w:rPr>
                <w:rFonts w:ascii="Times New Roman" w:hAnsi="Times New Roman"/>
                <w:color w:val="auto"/>
                <w:sz w:val="24"/>
                <w:szCs w:val="32"/>
                <w:vertAlign w:val="superscript"/>
              </w:rPr>
              <w:t>3</w:t>
            </w:r>
            <w:r>
              <w:rPr>
                <w:rFonts w:ascii="Times New Roman" w:hAnsi="Times New Roman"/>
                <w:color w:val="auto"/>
                <w:sz w:val="24"/>
                <w:szCs w:val="32"/>
              </w:rPr>
              <w:t>、43 μg/m</w:t>
            </w:r>
            <w:r>
              <w:rPr>
                <w:rFonts w:ascii="Times New Roman" w:hAnsi="Times New Roman"/>
                <w:color w:val="auto"/>
                <w:sz w:val="24"/>
                <w:szCs w:val="32"/>
                <w:vertAlign w:val="superscript"/>
              </w:rPr>
              <w:t>3</w:t>
            </w:r>
            <w:r>
              <w:rPr>
                <w:rFonts w:ascii="Times New Roman" w:hAnsi="Times New Roman"/>
                <w:color w:val="auto"/>
                <w:sz w:val="24"/>
                <w:szCs w:val="32"/>
              </w:rPr>
              <w:t>；CO24小时平均第95百分位数为0.9mg/m</w:t>
            </w:r>
            <w:r>
              <w:rPr>
                <w:rFonts w:ascii="Times New Roman" w:hAnsi="Times New Roman"/>
                <w:color w:val="auto"/>
                <w:sz w:val="24"/>
                <w:szCs w:val="32"/>
                <w:vertAlign w:val="superscript"/>
              </w:rPr>
              <w:t>3</w:t>
            </w:r>
            <w:r>
              <w:rPr>
                <w:rFonts w:ascii="Times New Roman" w:hAnsi="Times New Roman"/>
                <w:color w:val="auto"/>
                <w:sz w:val="24"/>
                <w:szCs w:val="32"/>
              </w:rPr>
              <w:t>，O</w:t>
            </w:r>
            <w:r>
              <w:rPr>
                <w:rFonts w:ascii="Times New Roman" w:hAnsi="Times New Roman"/>
                <w:color w:val="auto"/>
                <w:sz w:val="24"/>
                <w:szCs w:val="32"/>
                <w:vertAlign w:val="subscript"/>
              </w:rPr>
              <w:t>3</w:t>
            </w:r>
            <w:r>
              <w:rPr>
                <w:rFonts w:ascii="Times New Roman" w:hAnsi="Times New Roman"/>
                <w:color w:val="auto"/>
                <w:sz w:val="24"/>
                <w:szCs w:val="32"/>
              </w:rPr>
              <w:t>日最大8小时平均第90百分位数为170 μg/m</w:t>
            </w:r>
            <w:r>
              <w:rPr>
                <w:rFonts w:ascii="Times New Roman" w:hAnsi="Times New Roman"/>
                <w:color w:val="auto"/>
                <w:sz w:val="24"/>
                <w:szCs w:val="32"/>
                <w:vertAlign w:val="superscript"/>
              </w:rPr>
              <w:t>3</w:t>
            </w:r>
            <w:r>
              <w:rPr>
                <w:rFonts w:ascii="Times New Roman" w:hAnsi="Times New Roman"/>
                <w:color w:val="auto"/>
                <w:sz w:val="24"/>
                <w:szCs w:val="32"/>
              </w:rPr>
              <w:t>；超过《环境空气质量标准》（GB3095-2012）中二级标准限值的污染物为PM</w:t>
            </w:r>
            <w:r>
              <w:rPr>
                <w:rFonts w:ascii="Times New Roman" w:hAnsi="Times New Roman"/>
                <w:color w:val="auto"/>
                <w:sz w:val="24"/>
                <w:szCs w:val="32"/>
                <w:vertAlign w:val="subscript"/>
              </w:rPr>
              <w:t>10</w:t>
            </w:r>
            <w:r>
              <w:rPr>
                <w:rFonts w:ascii="Times New Roman" w:hAnsi="Times New Roman"/>
                <w:color w:val="auto"/>
                <w:sz w:val="24"/>
                <w:szCs w:val="32"/>
              </w:rPr>
              <w:t>、O</w:t>
            </w:r>
            <w:r>
              <w:rPr>
                <w:rFonts w:ascii="Times New Roman" w:hAnsi="Times New Roman"/>
                <w:color w:val="auto"/>
                <w:sz w:val="24"/>
                <w:szCs w:val="32"/>
                <w:vertAlign w:val="subscript"/>
              </w:rPr>
              <w:t>3</w:t>
            </w:r>
            <w:r>
              <w:rPr>
                <w:rFonts w:ascii="Times New Roman" w:hAnsi="Times New Roman"/>
                <w:color w:val="auto"/>
                <w:sz w:val="24"/>
                <w:szCs w:val="32"/>
              </w:rPr>
              <w:t>、PM</w:t>
            </w:r>
            <w:r>
              <w:rPr>
                <w:rFonts w:ascii="Times New Roman" w:hAnsi="Times New Roman"/>
                <w:color w:val="auto"/>
                <w:sz w:val="24"/>
                <w:szCs w:val="32"/>
                <w:vertAlign w:val="subscript"/>
              </w:rPr>
              <w:t>2.5</w:t>
            </w:r>
            <w:r>
              <w:rPr>
                <w:rFonts w:ascii="Times New Roman" w:hAnsi="Times New Roman"/>
                <w:color w:val="auto"/>
                <w:sz w:val="24"/>
                <w:szCs w:val="32"/>
              </w:rPr>
              <w:t>。宿州市2024年环境空气质量基础污染物监测浓度见下表：</w:t>
            </w:r>
          </w:p>
          <w:p w14:paraId="568E0B90">
            <w:pPr>
              <w:jc w:val="center"/>
              <w:rPr>
                <w:b/>
                <w:sz w:val="24"/>
              </w:rPr>
            </w:pPr>
            <w:r>
              <w:rPr>
                <w:b/>
                <w:sz w:val="24"/>
                <w:szCs w:val="32"/>
              </w:rPr>
              <w:t>表3-</w:t>
            </w:r>
            <w:r>
              <w:rPr>
                <w:rFonts w:hint="eastAsia"/>
                <w:b/>
                <w:sz w:val="24"/>
                <w:szCs w:val="32"/>
              </w:rPr>
              <w:t xml:space="preserve">1  </w:t>
            </w:r>
            <w:r>
              <w:rPr>
                <w:b/>
                <w:sz w:val="24"/>
                <w:szCs w:val="32"/>
              </w:rPr>
              <w:t>区域空气质量现状评价表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26"/>
              <w:gridCol w:w="2988"/>
              <w:gridCol w:w="1131"/>
              <w:gridCol w:w="1013"/>
              <w:gridCol w:w="1046"/>
              <w:gridCol w:w="983"/>
            </w:tblGrid>
            <w:tr w14:paraId="24A06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2" w:type="pct"/>
                  <w:tcBorders>
                    <w:top w:val="single" w:color="auto" w:sz="4" w:space="0"/>
                    <w:left w:val="single" w:color="auto" w:sz="4" w:space="0"/>
                    <w:bottom w:val="single" w:color="auto" w:sz="4" w:space="0"/>
                    <w:right w:val="single" w:color="auto" w:sz="4" w:space="0"/>
                  </w:tcBorders>
                  <w:vAlign w:val="center"/>
                </w:tcPr>
                <w:p w14:paraId="225E6AAE">
                  <w:pPr>
                    <w:widowControl/>
                    <w:adjustRightInd w:val="0"/>
                    <w:snapToGrid w:val="0"/>
                    <w:jc w:val="center"/>
                    <w:rPr>
                      <w:szCs w:val="21"/>
                    </w:rPr>
                  </w:pPr>
                  <w:r>
                    <w:rPr>
                      <w:szCs w:val="21"/>
                    </w:rPr>
                    <w:t>污染物</w:t>
                  </w:r>
                </w:p>
              </w:tc>
              <w:tc>
                <w:tcPr>
                  <w:tcW w:w="1846" w:type="pct"/>
                  <w:tcBorders>
                    <w:top w:val="single" w:color="auto" w:sz="4" w:space="0"/>
                    <w:left w:val="single" w:color="auto" w:sz="4" w:space="0"/>
                    <w:bottom w:val="single" w:color="auto" w:sz="4" w:space="0"/>
                    <w:right w:val="single" w:color="auto" w:sz="4" w:space="0"/>
                  </w:tcBorders>
                  <w:vAlign w:val="center"/>
                </w:tcPr>
                <w:p w14:paraId="1B2F671C">
                  <w:pPr>
                    <w:widowControl/>
                    <w:adjustRightInd w:val="0"/>
                    <w:snapToGrid w:val="0"/>
                    <w:jc w:val="center"/>
                    <w:rPr>
                      <w:szCs w:val="21"/>
                    </w:rPr>
                  </w:pPr>
                  <w:r>
                    <w:rPr>
                      <w:szCs w:val="21"/>
                    </w:rPr>
                    <w:t>年评价指标</w:t>
                  </w:r>
                </w:p>
              </w:tc>
              <w:tc>
                <w:tcPr>
                  <w:tcW w:w="699" w:type="pct"/>
                  <w:tcBorders>
                    <w:top w:val="single" w:color="auto" w:sz="4" w:space="0"/>
                    <w:left w:val="single" w:color="auto" w:sz="4" w:space="0"/>
                    <w:bottom w:val="single" w:color="auto" w:sz="4" w:space="0"/>
                    <w:right w:val="single" w:color="auto" w:sz="4" w:space="0"/>
                  </w:tcBorders>
                  <w:vAlign w:val="center"/>
                </w:tcPr>
                <w:p w14:paraId="0493651B">
                  <w:pPr>
                    <w:widowControl/>
                    <w:adjustRightInd w:val="0"/>
                    <w:snapToGrid w:val="0"/>
                    <w:jc w:val="center"/>
                    <w:rPr>
                      <w:szCs w:val="21"/>
                    </w:rPr>
                  </w:pPr>
                  <w:r>
                    <w:rPr>
                      <w:szCs w:val="21"/>
                    </w:rPr>
                    <w:t>现状浓度</w:t>
                  </w:r>
                </w:p>
                <w:p w14:paraId="259A7EAC">
                  <w:pPr>
                    <w:widowControl/>
                    <w:adjustRightInd w:val="0"/>
                    <w:snapToGrid w:val="0"/>
                    <w:jc w:val="center"/>
                    <w:rPr>
                      <w:szCs w:val="21"/>
                    </w:rPr>
                  </w:pPr>
                  <w:r>
                    <w:rPr>
                      <w:szCs w:val="21"/>
                    </w:rPr>
                    <w:t>（μg/m</w:t>
                  </w:r>
                  <w:r>
                    <w:rPr>
                      <w:szCs w:val="21"/>
                      <w:vertAlign w:val="superscript"/>
                    </w:rPr>
                    <w:t>3</w:t>
                  </w:r>
                  <w:r>
                    <w:rPr>
                      <w:szCs w:val="21"/>
                    </w:rPr>
                    <w:t>）</w:t>
                  </w:r>
                </w:p>
              </w:tc>
              <w:tc>
                <w:tcPr>
                  <w:tcW w:w="626" w:type="pct"/>
                  <w:tcBorders>
                    <w:top w:val="single" w:color="auto" w:sz="4" w:space="0"/>
                    <w:left w:val="single" w:color="auto" w:sz="4" w:space="0"/>
                    <w:bottom w:val="single" w:color="auto" w:sz="4" w:space="0"/>
                    <w:right w:val="single" w:color="auto" w:sz="4" w:space="0"/>
                  </w:tcBorders>
                  <w:vAlign w:val="center"/>
                </w:tcPr>
                <w:p w14:paraId="32FA595D">
                  <w:pPr>
                    <w:widowControl/>
                    <w:adjustRightInd w:val="0"/>
                    <w:snapToGrid w:val="0"/>
                    <w:jc w:val="center"/>
                    <w:rPr>
                      <w:szCs w:val="21"/>
                    </w:rPr>
                  </w:pPr>
                  <w:r>
                    <w:rPr>
                      <w:szCs w:val="21"/>
                    </w:rPr>
                    <w:t>标准值</w:t>
                  </w:r>
                </w:p>
                <w:p w14:paraId="49430633">
                  <w:pPr>
                    <w:widowControl/>
                    <w:adjustRightInd w:val="0"/>
                    <w:snapToGrid w:val="0"/>
                    <w:jc w:val="center"/>
                    <w:rPr>
                      <w:szCs w:val="21"/>
                    </w:rPr>
                  </w:pPr>
                  <w:r>
                    <w:rPr>
                      <w:szCs w:val="21"/>
                    </w:rPr>
                    <w:t>（μg/m</w:t>
                  </w:r>
                  <w:r>
                    <w:rPr>
                      <w:szCs w:val="21"/>
                      <w:vertAlign w:val="superscript"/>
                    </w:rPr>
                    <w:t>3</w:t>
                  </w:r>
                  <w:r>
                    <w:rPr>
                      <w:szCs w:val="21"/>
                    </w:rPr>
                    <w:t>）</w:t>
                  </w:r>
                </w:p>
              </w:tc>
              <w:tc>
                <w:tcPr>
                  <w:tcW w:w="646" w:type="pct"/>
                  <w:tcBorders>
                    <w:top w:val="single" w:color="auto" w:sz="4" w:space="0"/>
                    <w:left w:val="single" w:color="auto" w:sz="4" w:space="0"/>
                    <w:bottom w:val="single" w:color="auto" w:sz="4" w:space="0"/>
                    <w:right w:val="single" w:color="auto" w:sz="4" w:space="0"/>
                  </w:tcBorders>
                  <w:vAlign w:val="center"/>
                </w:tcPr>
                <w:p w14:paraId="2B519BF5">
                  <w:pPr>
                    <w:widowControl/>
                    <w:adjustRightInd w:val="0"/>
                    <w:snapToGrid w:val="0"/>
                    <w:jc w:val="center"/>
                    <w:rPr>
                      <w:szCs w:val="21"/>
                    </w:rPr>
                  </w:pPr>
                  <w:r>
                    <w:rPr>
                      <w:szCs w:val="21"/>
                    </w:rPr>
                    <w:t>占标率</w:t>
                  </w:r>
                </w:p>
                <w:p w14:paraId="74D8E024">
                  <w:pPr>
                    <w:widowControl/>
                    <w:adjustRightInd w:val="0"/>
                    <w:snapToGrid w:val="0"/>
                    <w:jc w:val="center"/>
                    <w:rPr>
                      <w:szCs w:val="21"/>
                    </w:rPr>
                  </w:pPr>
                  <w:r>
                    <w:rPr>
                      <w:szCs w:val="21"/>
                    </w:rPr>
                    <w:t>(%)</w:t>
                  </w:r>
                </w:p>
              </w:tc>
              <w:tc>
                <w:tcPr>
                  <w:tcW w:w="607" w:type="pct"/>
                  <w:tcBorders>
                    <w:top w:val="single" w:color="auto" w:sz="4" w:space="0"/>
                    <w:left w:val="single" w:color="auto" w:sz="4" w:space="0"/>
                    <w:bottom w:val="single" w:color="auto" w:sz="4" w:space="0"/>
                    <w:right w:val="single" w:color="auto" w:sz="4" w:space="0"/>
                  </w:tcBorders>
                  <w:vAlign w:val="center"/>
                </w:tcPr>
                <w:p w14:paraId="3F1BB2A0">
                  <w:pPr>
                    <w:widowControl/>
                    <w:adjustRightInd w:val="0"/>
                    <w:snapToGrid w:val="0"/>
                    <w:jc w:val="center"/>
                    <w:rPr>
                      <w:szCs w:val="21"/>
                    </w:rPr>
                  </w:pPr>
                  <w:r>
                    <w:rPr>
                      <w:szCs w:val="21"/>
                    </w:rPr>
                    <w:t>达标情况</w:t>
                  </w:r>
                </w:p>
              </w:tc>
            </w:tr>
            <w:tr w14:paraId="2D08D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2" w:type="pct"/>
                  <w:tcBorders>
                    <w:top w:val="single" w:color="auto" w:sz="4" w:space="0"/>
                    <w:left w:val="single" w:color="auto" w:sz="4" w:space="0"/>
                    <w:bottom w:val="single" w:color="auto" w:sz="4" w:space="0"/>
                    <w:right w:val="single" w:color="auto" w:sz="4" w:space="0"/>
                  </w:tcBorders>
                  <w:vAlign w:val="center"/>
                </w:tcPr>
                <w:p w14:paraId="39895B5F">
                  <w:pPr>
                    <w:widowControl/>
                    <w:adjustRightInd w:val="0"/>
                    <w:snapToGrid w:val="0"/>
                    <w:jc w:val="center"/>
                    <w:rPr>
                      <w:szCs w:val="21"/>
                    </w:rPr>
                  </w:pPr>
                  <w:r>
                    <w:rPr>
                      <w:szCs w:val="21"/>
                    </w:rPr>
                    <w:t>SO</w:t>
                  </w:r>
                  <w:r>
                    <w:rPr>
                      <w:szCs w:val="21"/>
                      <w:vertAlign w:val="subscript"/>
                    </w:rPr>
                    <w:t>2</w:t>
                  </w:r>
                </w:p>
              </w:tc>
              <w:tc>
                <w:tcPr>
                  <w:tcW w:w="1846" w:type="pct"/>
                  <w:tcBorders>
                    <w:top w:val="single" w:color="auto" w:sz="4" w:space="0"/>
                    <w:left w:val="single" w:color="auto" w:sz="4" w:space="0"/>
                    <w:bottom w:val="single" w:color="auto" w:sz="4" w:space="0"/>
                    <w:right w:val="single" w:color="auto" w:sz="4" w:space="0"/>
                  </w:tcBorders>
                  <w:vAlign w:val="center"/>
                </w:tcPr>
                <w:p w14:paraId="6583274C">
                  <w:pPr>
                    <w:widowControl/>
                    <w:adjustRightInd w:val="0"/>
                    <w:snapToGrid w:val="0"/>
                    <w:jc w:val="center"/>
                    <w:rPr>
                      <w:szCs w:val="21"/>
                    </w:rPr>
                  </w:pPr>
                  <w:r>
                    <w:rPr>
                      <w:szCs w:val="21"/>
                    </w:rPr>
                    <w:t>平均质量浓度</w:t>
                  </w:r>
                </w:p>
              </w:tc>
              <w:tc>
                <w:tcPr>
                  <w:tcW w:w="699" w:type="pct"/>
                  <w:tcBorders>
                    <w:top w:val="single" w:color="auto" w:sz="4" w:space="0"/>
                    <w:left w:val="single" w:color="auto" w:sz="4" w:space="0"/>
                    <w:bottom w:val="single" w:color="auto" w:sz="4" w:space="0"/>
                    <w:right w:val="single" w:color="auto" w:sz="4" w:space="0"/>
                  </w:tcBorders>
                  <w:vAlign w:val="center"/>
                </w:tcPr>
                <w:p w14:paraId="73877C00">
                  <w:pPr>
                    <w:widowControl/>
                    <w:adjustRightInd w:val="0"/>
                    <w:snapToGrid w:val="0"/>
                    <w:jc w:val="center"/>
                    <w:rPr>
                      <w:szCs w:val="21"/>
                    </w:rPr>
                  </w:pPr>
                  <w:r>
                    <w:rPr>
                      <w:szCs w:val="21"/>
                    </w:rPr>
                    <w:t>6</w:t>
                  </w:r>
                </w:p>
              </w:tc>
              <w:tc>
                <w:tcPr>
                  <w:tcW w:w="626" w:type="pct"/>
                  <w:tcBorders>
                    <w:top w:val="single" w:color="auto" w:sz="4" w:space="0"/>
                    <w:left w:val="single" w:color="auto" w:sz="4" w:space="0"/>
                    <w:bottom w:val="single" w:color="auto" w:sz="4" w:space="0"/>
                    <w:right w:val="single" w:color="auto" w:sz="4" w:space="0"/>
                  </w:tcBorders>
                  <w:vAlign w:val="center"/>
                </w:tcPr>
                <w:p w14:paraId="2FAD13B2">
                  <w:pPr>
                    <w:widowControl/>
                    <w:adjustRightInd w:val="0"/>
                    <w:snapToGrid w:val="0"/>
                    <w:jc w:val="center"/>
                    <w:rPr>
                      <w:szCs w:val="21"/>
                    </w:rPr>
                  </w:pPr>
                  <w:r>
                    <w:rPr>
                      <w:szCs w:val="21"/>
                    </w:rPr>
                    <w:t>60</w:t>
                  </w:r>
                </w:p>
              </w:tc>
              <w:tc>
                <w:tcPr>
                  <w:tcW w:w="1146" w:type="dxa"/>
                  <w:tcBorders>
                    <w:top w:val="single" w:color="auto" w:sz="4" w:space="0"/>
                    <w:left w:val="single" w:color="auto" w:sz="4" w:space="0"/>
                    <w:bottom w:val="single" w:color="auto" w:sz="4" w:space="0"/>
                    <w:right w:val="single" w:color="auto" w:sz="4" w:space="0"/>
                  </w:tcBorders>
                  <w:vAlign w:val="center"/>
                </w:tcPr>
                <w:p w14:paraId="1DD96BB5">
                  <w:pPr>
                    <w:widowControl/>
                    <w:adjustRightInd w:val="0"/>
                    <w:snapToGrid w:val="0"/>
                    <w:jc w:val="center"/>
                    <w:rPr>
                      <w:szCs w:val="21"/>
                    </w:rPr>
                  </w:pPr>
                  <w:r>
                    <w:rPr>
                      <w:szCs w:val="21"/>
                    </w:rPr>
                    <w:t>10</w:t>
                  </w:r>
                </w:p>
              </w:tc>
              <w:tc>
                <w:tcPr>
                  <w:tcW w:w="607" w:type="pct"/>
                  <w:tcBorders>
                    <w:top w:val="single" w:color="auto" w:sz="4" w:space="0"/>
                    <w:left w:val="single" w:color="auto" w:sz="4" w:space="0"/>
                    <w:bottom w:val="single" w:color="auto" w:sz="4" w:space="0"/>
                    <w:right w:val="single" w:color="auto" w:sz="4" w:space="0"/>
                  </w:tcBorders>
                  <w:vAlign w:val="center"/>
                </w:tcPr>
                <w:p w14:paraId="3905C2A4">
                  <w:pPr>
                    <w:widowControl/>
                    <w:adjustRightInd w:val="0"/>
                    <w:snapToGrid w:val="0"/>
                    <w:jc w:val="center"/>
                    <w:rPr>
                      <w:szCs w:val="21"/>
                    </w:rPr>
                  </w:pPr>
                  <w:r>
                    <w:rPr>
                      <w:szCs w:val="21"/>
                    </w:rPr>
                    <w:t>达标</w:t>
                  </w:r>
                </w:p>
              </w:tc>
            </w:tr>
            <w:tr w14:paraId="0BFD3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2"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724A241">
                  <w:pPr>
                    <w:widowControl/>
                    <w:adjustRightInd w:val="0"/>
                    <w:snapToGrid w:val="0"/>
                    <w:jc w:val="center"/>
                    <w:rPr>
                      <w:szCs w:val="21"/>
                    </w:rPr>
                  </w:pPr>
                  <w:r>
                    <w:rPr>
                      <w:szCs w:val="21"/>
                    </w:rPr>
                    <w:t>NO</w:t>
                  </w:r>
                  <w:r>
                    <w:rPr>
                      <w:szCs w:val="21"/>
                      <w:vertAlign w:val="subscript"/>
                    </w:rPr>
                    <w:t>2</w:t>
                  </w:r>
                </w:p>
              </w:tc>
              <w:tc>
                <w:tcPr>
                  <w:tcW w:w="1846"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3716B28">
                  <w:pPr>
                    <w:widowControl/>
                    <w:adjustRightInd w:val="0"/>
                    <w:snapToGrid w:val="0"/>
                    <w:jc w:val="center"/>
                    <w:rPr>
                      <w:szCs w:val="21"/>
                    </w:rPr>
                  </w:pPr>
                  <w:r>
                    <w:rPr>
                      <w:szCs w:val="21"/>
                    </w:rPr>
                    <w:t>平均质量浓度</w:t>
                  </w:r>
                </w:p>
              </w:tc>
              <w:tc>
                <w:tcPr>
                  <w:tcW w:w="699"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128CBAE">
                  <w:pPr>
                    <w:widowControl/>
                    <w:adjustRightInd w:val="0"/>
                    <w:snapToGrid w:val="0"/>
                    <w:jc w:val="center"/>
                    <w:rPr>
                      <w:szCs w:val="21"/>
                    </w:rPr>
                  </w:pPr>
                  <w:r>
                    <w:rPr>
                      <w:szCs w:val="21"/>
                    </w:rPr>
                    <w:t>18</w:t>
                  </w:r>
                </w:p>
              </w:tc>
              <w:tc>
                <w:tcPr>
                  <w:tcW w:w="626"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51A8622">
                  <w:pPr>
                    <w:widowControl/>
                    <w:adjustRightInd w:val="0"/>
                    <w:snapToGrid w:val="0"/>
                    <w:jc w:val="center"/>
                    <w:rPr>
                      <w:szCs w:val="21"/>
                    </w:rPr>
                  </w:pPr>
                  <w:r>
                    <w:rPr>
                      <w:szCs w:val="21"/>
                    </w:rPr>
                    <w:t>40</w:t>
                  </w:r>
                </w:p>
              </w:tc>
              <w:tc>
                <w:tcPr>
                  <w:tcW w:w="114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598C1D5">
                  <w:pPr>
                    <w:widowControl/>
                    <w:adjustRightInd w:val="0"/>
                    <w:snapToGrid w:val="0"/>
                    <w:jc w:val="center"/>
                    <w:rPr>
                      <w:szCs w:val="21"/>
                    </w:rPr>
                  </w:pPr>
                  <w:r>
                    <w:rPr>
                      <w:szCs w:val="21"/>
                    </w:rPr>
                    <w:t>45</w:t>
                  </w:r>
                </w:p>
              </w:tc>
              <w:tc>
                <w:tcPr>
                  <w:tcW w:w="607"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050EF69">
                  <w:pPr>
                    <w:widowControl/>
                    <w:adjustRightInd w:val="0"/>
                    <w:snapToGrid w:val="0"/>
                    <w:jc w:val="center"/>
                    <w:rPr>
                      <w:szCs w:val="21"/>
                    </w:rPr>
                  </w:pPr>
                  <w:r>
                    <w:rPr>
                      <w:szCs w:val="21"/>
                    </w:rPr>
                    <w:t>达标</w:t>
                  </w:r>
                </w:p>
              </w:tc>
            </w:tr>
            <w:tr w14:paraId="1D1E4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2"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C8A4F9A">
                  <w:pPr>
                    <w:widowControl/>
                    <w:adjustRightInd w:val="0"/>
                    <w:snapToGrid w:val="0"/>
                    <w:jc w:val="center"/>
                    <w:rPr>
                      <w:szCs w:val="21"/>
                    </w:rPr>
                  </w:pPr>
                  <w:r>
                    <w:rPr>
                      <w:szCs w:val="21"/>
                    </w:rPr>
                    <w:t>PM</w:t>
                  </w:r>
                  <w:r>
                    <w:rPr>
                      <w:szCs w:val="21"/>
                      <w:vertAlign w:val="subscript"/>
                    </w:rPr>
                    <w:t>10</w:t>
                  </w:r>
                </w:p>
              </w:tc>
              <w:tc>
                <w:tcPr>
                  <w:tcW w:w="1846"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11C8A62">
                  <w:pPr>
                    <w:widowControl/>
                    <w:adjustRightInd w:val="0"/>
                    <w:snapToGrid w:val="0"/>
                    <w:jc w:val="center"/>
                    <w:rPr>
                      <w:szCs w:val="21"/>
                    </w:rPr>
                  </w:pPr>
                  <w:r>
                    <w:rPr>
                      <w:szCs w:val="21"/>
                    </w:rPr>
                    <w:t>平均质量浓度</w:t>
                  </w:r>
                </w:p>
              </w:tc>
              <w:tc>
                <w:tcPr>
                  <w:tcW w:w="699"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EF5975C">
                  <w:pPr>
                    <w:widowControl/>
                    <w:adjustRightInd w:val="0"/>
                    <w:snapToGrid w:val="0"/>
                    <w:jc w:val="center"/>
                    <w:rPr>
                      <w:szCs w:val="21"/>
                    </w:rPr>
                  </w:pPr>
                  <w:r>
                    <w:rPr>
                      <w:szCs w:val="21"/>
                    </w:rPr>
                    <w:t>71</w:t>
                  </w:r>
                </w:p>
              </w:tc>
              <w:tc>
                <w:tcPr>
                  <w:tcW w:w="626"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EBC8262">
                  <w:pPr>
                    <w:widowControl/>
                    <w:adjustRightInd w:val="0"/>
                    <w:snapToGrid w:val="0"/>
                    <w:jc w:val="center"/>
                    <w:rPr>
                      <w:szCs w:val="21"/>
                    </w:rPr>
                  </w:pPr>
                  <w:r>
                    <w:rPr>
                      <w:szCs w:val="21"/>
                    </w:rPr>
                    <w:t>70</w:t>
                  </w:r>
                </w:p>
              </w:tc>
              <w:tc>
                <w:tcPr>
                  <w:tcW w:w="114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0E2BAE6">
                  <w:pPr>
                    <w:widowControl/>
                    <w:adjustRightInd w:val="0"/>
                    <w:snapToGrid w:val="0"/>
                    <w:jc w:val="center"/>
                    <w:rPr>
                      <w:szCs w:val="21"/>
                    </w:rPr>
                  </w:pPr>
                  <w:r>
                    <w:rPr>
                      <w:szCs w:val="21"/>
                    </w:rPr>
                    <w:t>101.4</w:t>
                  </w:r>
                </w:p>
              </w:tc>
              <w:tc>
                <w:tcPr>
                  <w:tcW w:w="607"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528E677">
                  <w:pPr>
                    <w:widowControl/>
                    <w:adjustRightInd w:val="0"/>
                    <w:snapToGrid w:val="0"/>
                    <w:jc w:val="center"/>
                    <w:rPr>
                      <w:szCs w:val="21"/>
                    </w:rPr>
                  </w:pPr>
                  <w:r>
                    <w:rPr>
                      <w:szCs w:val="21"/>
                    </w:rPr>
                    <w:t>不达标</w:t>
                  </w:r>
                </w:p>
              </w:tc>
            </w:tr>
            <w:tr w14:paraId="2C9CC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2"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D729DB1">
                  <w:pPr>
                    <w:widowControl/>
                    <w:adjustRightInd w:val="0"/>
                    <w:snapToGrid w:val="0"/>
                    <w:jc w:val="center"/>
                    <w:rPr>
                      <w:szCs w:val="21"/>
                    </w:rPr>
                  </w:pPr>
                  <w:r>
                    <w:rPr>
                      <w:szCs w:val="21"/>
                    </w:rPr>
                    <w:t>PM</w:t>
                  </w:r>
                  <w:r>
                    <w:rPr>
                      <w:szCs w:val="21"/>
                      <w:vertAlign w:val="subscript"/>
                    </w:rPr>
                    <w:t>2.5</w:t>
                  </w:r>
                </w:p>
              </w:tc>
              <w:tc>
                <w:tcPr>
                  <w:tcW w:w="1846"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1186CE3">
                  <w:pPr>
                    <w:widowControl/>
                    <w:adjustRightInd w:val="0"/>
                    <w:snapToGrid w:val="0"/>
                    <w:jc w:val="center"/>
                    <w:rPr>
                      <w:szCs w:val="21"/>
                    </w:rPr>
                  </w:pPr>
                  <w:r>
                    <w:rPr>
                      <w:szCs w:val="21"/>
                    </w:rPr>
                    <w:t>平均质量浓度</w:t>
                  </w:r>
                </w:p>
              </w:tc>
              <w:tc>
                <w:tcPr>
                  <w:tcW w:w="699"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1161549">
                  <w:pPr>
                    <w:widowControl/>
                    <w:adjustRightInd w:val="0"/>
                    <w:snapToGrid w:val="0"/>
                    <w:jc w:val="center"/>
                    <w:rPr>
                      <w:szCs w:val="21"/>
                    </w:rPr>
                  </w:pPr>
                  <w:r>
                    <w:rPr>
                      <w:szCs w:val="21"/>
                    </w:rPr>
                    <w:t>43</w:t>
                  </w:r>
                </w:p>
              </w:tc>
              <w:tc>
                <w:tcPr>
                  <w:tcW w:w="626"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73B5CAD">
                  <w:pPr>
                    <w:widowControl/>
                    <w:adjustRightInd w:val="0"/>
                    <w:snapToGrid w:val="0"/>
                    <w:jc w:val="center"/>
                    <w:rPr>
                      <w:szCs w:val="21"/>
                    </w:rPr>
                  </w:pPr>
                  <w:r>
                    <w:rPr>
                      <w:szCs w:val="21"/>
                    </w:rPr>
                    <w:t>35</w:t>
                  </w:r>
                </w:p>
              </w:tc>
              <w:tc>
                <w:tcPr>
                  <w:tcW w:w="114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B5F1372">
                  <w:pPr>
                    <w:widowControl/>
                    <w:adjustRightInd w:val="0"/>
                    <w:snapToGrid w:val="0"/>
                    <w:jc w:val="center"/>
                    <w:rPr>
                      <w:szCs w:val="21"/>
                    </w:rPr>
                  </w:pPr>
                  <w:r>
                    <w:rPr>
                      <w:szCs w:val="21"/>
                    </w:rPr>
                    <w:t>122.9</w:t>
                  </w:r>
                </w:p>
              </w:tc>
              <w:tc>
                <w:tcPr>
                  <w:tcW w:w="607"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979B189">
                  <w:pPr>
                    <w:widowControl/>
                    <w:adjustRightInd w:val="0"/>
                    <w:snapToGrid w:val="0"/>
                    <w:jc w:val="center"/>
                    <w:rPr>
                      <w:szCs w:val="21"/>
                    </w:rPr>
                  </w:pPr>
                  <w:r>
                    <w:rPr>
                      <w:szCs w:val="21"/>
                    </w:rPr>
                    <w:t>不达标</w:t>
                  </w:r>
                </w:p>
              </w:tc>
            </w:tr>
            <w:tr w14:paraId="3DACF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2"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664147D">
                  <w:pPr>
                    <w:widowControl/>
                    <w:adjustRightInd w:val="0"/>
                    <w:snapToGrid w:val="0"/>
                    <w:jc w:val="center"/>
                    <w:rPr>
                      <w:szCs w:val="21"/>
                    </w:rPr>
                  </w:pPr>
                  <w:r>
                    <w:rPr>
                      <w:szCs w:val="21"/>
                    </w:rPr>
                    <w:t>CO</w:t>
                  </w:r>
                </w:p>
              </w:tc>
              <w:tc>
                <w:tcPr>
                  <w:tcW w:w="1846"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872AF84">
                  <w:pPr>
                    <w:widowControl/>
                    <w:adjustRightInd w:val="0"/>
                    <w:snapToGrid w:val="0"/>
                    <w:jc w:val="center"/>
                    <w:rPr>
                      <w:szCs w:val="21"/>
                    </w:rPr>
                  </w:pPr>
                  <w:r>
                    <w:rPr>
                      <w:szCs w:val="21"/>
                    </w:rPr>
                    <w:t>24小时平均第95百分位数</w:t>
                  </w:r>
                </w:p>
              </w:tc>
              <w:tc>
                <w:tcPr>
                  <w:tcW w:w="699"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2C425F6">
                  <w:pPr>
                    <w:widowControl/>
                    <w:adjustRightInd w:val="0"/>
                    <w:snapToGrid w:val="0"/>
                    <w:jc w:val="center"/>
                    <w:rPr>
                      <w:szCs w:val="21"/>
                    </w:rPr>
                  </w:pPr>
                  <w:r>
                    <w:rPr>
                      <w:szCs w:val="21"/>
                    </w:rPr>
                    <w:t>900</w:t>
                  </w:r>
                </w:p>
              </w:tc>
              <w:tc>
                <w:tcPr>
                  <w:tcW w:w="626"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9F0FB06">
                  <w:pPr>
                    <w:widowControl/>
                    <w:adjustRightInd w:val="0"/>
                    <w:snapToGrid w:val="0"/>
                    <w:jc w:val="center"/>
                    <w:rPr>
                      <w:szCs w:val="21"/>
                    </w:rPr>
                  </w:pPr>
                  <w:r>
                    <w:rPr>
                      <w:szCs w:val="21"/>
                    </w:rPr>
                    <w:t>4000</w:t>
                  </w:r>
                </w:p>
              </w:tc>
              <w:tc>
                <w:tcPr>
                  <w:tcW w:w="114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CDAF8E9">
                  <w:pPr>
                    <w:widowControl/>
                    <w:adjustRightInd w:val="0"/>
                    <w:snapToGrid w:val="0"/>
                    <w:jc w:val="center"/>
                    <w:rPr>
                      <w:szCs w:val="21"/>
                    </w:rPr>
                  </w:pPr>
                  <w:r>
                    <w:rPr>
                      <w:szCs w:val="21"/>
                    </w:rPr>
                    <w:t>22.5</w:t>
                  </w:r>
                </w:p>
              </w:tc>
              <w:tc>
                <w:tcPr>
                  <w:tcW w:w="607"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78BEA6C">
                  <w:pPr>
                    <w:widowControl/>
                    <w:adjustRightInd w:val="0"/>
                    <w:snapToGrid w:val="0"/>
                    <w:jc w:val="center"/>
                    <w:rPr>
                      <w:szCs w:val="21"/>
                    </w:rPr>
                  </w:pPr>
                  <w:r>
                    <w:rPr>
                      <w:szCs w:val="21"/>
                    </w:rPr>
                    <w:t>达标</w:t>
                  </w:r>
                </w:p>
              </w:tc>
            </w:tr>
            <w:tr w14:paraId="66FA1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2"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01C05C5">
                  <w:pPr>
                    <w:widowControl/>
                    <w:adjustRightInd w:val="0"/>
                    <w:snapToGrid w:val="0"/>
                    <w:jc w:val="center"/>
                    <w:rPr>
                      <w:szCs w:val="21"/>
                    </w:rPr>
                  </w:pPr>
                  <w:r>
                    <w:rPr>
                      <w:szCs w:val="21"/>
                    </w:rPr>
                    <w:t>O</w:t>
                  </w:r>
                  <w:r>
                    <w:rPr>
                      <w:szCs w:val="21"/>
                      <w:vertAlign w:val="subscript"/>
                    </w:rPr>
                    <w:t>3</w:t>
                  </w:r>
                </w:p>
              </w:tc>
              <w:tc>
                <w:tcPr>
                  <w:tcW w:w="1846"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E1619A1">
                  <w:pPr>
                    <w:widowControl/>
                    <w:adjustRightInd w:val="0"/>
                    <w:snapToGrid w:val="0"/>
                    <w:jc w:val="center"/>
                    <w:rPr>
                      <w:szCs w:val="21"/>
                    </w:rPr>
                  </w:pPr>
                  <w:r>
                    <w:rPr>
                      <w:szCs w:val="21"/>
                    </w:rPr>
                    <w:t>日最大8小时平均第90百分位数</w:t>
                  </w:r>
                </w:p>
              </w:tc>
              <w:tc>
                <w:tcPr>
                  <w:tcW w:w="699"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0E1FEC4">
                  <w:pPr>
                    <w:widowControl/>
                    <w:adjustRightInd w:val="0"/>
                    <w:snapToGrid w:val="0"/>
                    <w:jc w:val="center"/>
                    <w:rPr>
                      <w:szCs w:val="21"/>
                    </w:rPr>
                  </w:pPr>
                  <w:r>
                    <w:rPr>
                      <w:szCs w:val="21"/>
                    </w:rPr>
                    <w:t>170</w:t>
                  </w:r>
                </w:p>
              </w:tc>
              <w:tc>
                <w:tcPr>
                  <w:tcW w:w="626"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8F797C5">
                  <w:pPr>
                    <w:widowControl/>
                    <w:adjustRightInd w:val="0"/>
                    <w:snapToGrid w:val="0"/>
                    <w:jc w:val="center"/>
                    <w:rPr>
                      <w:szCs w:val="21"/>
                    </w:rPr>
                  </w:pPr>
                  <w:r>
                    <w:rPr>
                      <w:szCs w:val="21"/>
                    </w:rPr>
                    <w:t>160</w:t>
                  </w:r>
                </w:p>
              </w:tc>
              <w:tc>
                <w:tcPr>
                  <w:tcW w:w="114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D863011">
                  <w:pPr>
                    <w:widowControl/>
                    <w:adjustRightInd w:val="0"/>
                    <w:snapToGrid w:val="0"/>
                    <w:jc w:val="center"/>
                    <w:rPr>
                      <w:szCs w:val="21"/>
                    </w:rPr>
                  </w:pPr>
                  <w:r>
                    <w:rPr>
                      <w:szCs w:val="21"/>
                    </w:rPr>
                    <w:t>106.3</w:t>
                  </w:r>
                </w:p>
              </w:tc>
              <w:tc>
                <w:tcPr>
                  <w:tcW w:w="607" w:type="pc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FEECB4C">
                  <w:pPr>
                    <w:widowControl/>
                    <w:adjustRightInd w:val="0"/>
                    <w:snapToGrid w:val="0"/>
                    <w:jc w:val="center"/>
                    <w:rPr>
                      <w:szCs w:val="21"/>
                    </w:rPr>
                  </w:pPr>
                  <w:r>
                    <w:rPr>
                      <w:szCs w:val="21"/>
                    </w:rPr>
                    <w:t>不达标</w:t>
                  </w:r>
                </w:p>
              </w:tc>
            </w:tr>
          </w:tbl>
          <w:p w14:paraId="240263A7">
            <w:pPr>
              <w:widowControl/>
              <w:shd w:val="clear" w:color="auto" w:fill="FFFFFF"/>
              <w:spacing w:line="360" w:lineRule="auto"/>
              <w:ind w:firstLine="480" w:firstLineChars="200"/>
              <w:rPr>
                <w:sz w:val="24"/>
              </w:rPr>
            </w:pPr>
            <w:r>
              <w:rPr>
                <w:sz w:val="24"/>
              </w:rPr>
              <w:t>由上表可知，宿州市2024年环境空气中SO</w:t>
            </w:r>
            <w:r>
              <w:rPr>
                <w:sz w:val="24"/>
                <w:vertAlign w:val="subscript"/>
              </w:rPr>
              <w:t>2</w:t>
            </w:r>
            <w:r>
              <w:rPr>
                <w:sz w:val="24"/>
              </w:rPr>
              <w:t>年均值、NO</w:t>
            </w:r>
            <w:r>
              <w:rPr>
                <w:sz w:val="24"/>
                <w:vertAlign w:val="subscript"/>
              </w:rPr>
              <w:t>2</w:t>
            </w:r>
            <w:r>
              <w:rPr>
                <w:sz w:val="24"/>
              </w:rPr>
              <w:t>年均值、CO 24小时平均第95百分位数、均达到《环境空气质量标准》（GB3095-2012）中二级标准；PM</w:t>
            </w:r>
            <w:r>
              <w:rPr>
                <w:sz w:val="24"/>
                <w:vertAlign w:val="subscript"/>
              </w:rPr>
              <w:t>2.5</w:t>
            </w:r>
            <w:r>
              <w:rPr>
                <w:sz w:val="24"/>
              </w:rPr>
              <w:t>平均值、PM</w:t>
            </w:r>
            <w:r>
              <w:rPr>
                <w:sz w:val="24"/>
                <w:vertAlign w:val="subscript"/>
              </w:rPr>
              <w:t>10</w:t>
            </w:r>
            <w:r>
              <w:rPr>
                <w:sz w:val="24"/>
              </w:rPr>
              <w:t>平均值、</w:t>
            </w:r>
            <w:r>
              <w:rPr>
                <w:sz w:val="24"/>
                <w:szCs w:val="32"/>
              </w:rPr>
              <w:t>O</w:t>
            </w:r>
            <w:r>
              <w:rPr>
                <w:sz w:val="24"/>
                <w:szCs w:val="32"/>
                <w:vertAlign w:val="subscript"/>
              </w:rPr>
              <w:t>3</w:t>
            </w:r>
            <w:r>
              <w:rPr>
                <w:sz w:val="24"/>
                <w:szCs w:val="32"/>
              </w:rPr>
              <w:t>日最大8小时平均第90百分位数值</w:t>
            </w:r>
            <w:r>
              <w:rPr>
                <w:sz w:val="24"/>
              </w:rPr>
              <w:t>超过《环境空气质量标准》（GB3095-2012）中二级标准，因此判定为不达标</w:t>
            </w:r>
            <w:r>
              <w:rPr>
                <w:sz w:val="24"/>
                <w:szCs w:val="32"/>
              </w:rPr>
              <w:t>区。</w:t>
            </w:r>
          </w:p>
          <w:p w14:paraId="0AB5BCB0">
            <w:pPr>
              <w:widowControl/>
              <w:autoSpaceDE w:val="0"/>
              <w:autoSpaceDN w:val="0"/>
              <w:spacing w:line="360" w:lineRule="auto"/>
              <w:ind w:firstLine="420" w:firstLineChars="200"/>
              <w:textAlignment w:val="baseline"/>
              <w:rPr>
                <w:color w:val="000000"/>
              </w:rPr>
            </w:pPr>
            <w:r>
              <w:rPr>
                <w:color w:val="000000"/>
              </w:rPr>
              <w:t>（2）</w:t>
            </w:r>
            <w:r>
              <w:rPr>
                <w:sz w:val="24"/>
              </w:rPr>
              <w:t>特征</w:t>
            </w:r>
            <w:r>
              <w:rPr>
                <w:rFonts w:hint="eastAsia"/>
                <w:sz w:val="24"/>
              </w:rPr>
              <w:t>污染物</w:t>
            </w:r>
          </w:p>
          <w:p w14:paraId="79145632">
            <w:pPr>
              <w:spacing w:line="360" w:lineRule="auto"/>
              <w:ind w:firstLine="480" w:firstLineChars="200"/>
              <w:rPr>
                <w:color w:val="000000"/>
              </w:rPr>
            </w:pPr>
            <w:r>
              <w:rPr>
                <w:color w:val="000000"/>
                <w:sz w:val="24"/>
              </w:rPr>
              <w:t>本项目</w:t>
            </w:r>
            <w:r>
              <w:rPr>
                <w:rFonts w:hint="eastAsia"/>
                <w:color w:val="000000"/>
                <w:sz w:val="24"/>
              </w:rPr>
              <w:t>TSP现状数据</w:t>
            </w:r>
            <w:r>
              <w:rPr>
                <w:color w:val="000000"/>
                <w:sz w:val="24"/>
              </w:rPr>
              <w:t>引用</w:t>
            </w:r>
            <w:r>
              <w:rPr>
                <w:rFonts w:hint="eastAsia"/>
                <w:color w:val="000000"/>
                <w:sz w:val="24"/>
              </w:rPr>
              <w:t>宿州市鹏昆新型建材有限公司《年产6000万块压块砖生产项目》于</w:t>
            </w:r>
            <w:r>
              <w:rPr>
                <w:kern w:val="0"/>
                <w:sz w:val="24"/>
              </w:rPr>
              <w:t>202</w:t>
            </w:r>
            <w:r>
              <w:rPr>
                <w:rFonts w:hint="eastAsia"/>
                <w:kern w:val="0"/>
                <w:sz w:val="24"/>
              </w:rPr>
              <w:t>3</w:t>
            </w:r>
            <w:r>
              <w:rPr>
                <w:kern w:val="0"/>
                <w:sz w:val="24"/>
              </w:rPr>
              <w:t>年</w:t>
            </w:r>
            <w:r>
              <w:rPr>
                <w:rFonts w:hint="eastAsia"/>
                <w:kern w:val="0"/>
                <w:sz w:val="24"/>
              </w:rPr>
              <w:t>5</w:t>
            </w:r>
            <w:r>
              <w:rPr>
                <w:kern w:val="0"/>
                <w:sz w:val="24"/>
              </w:rPr>
              <w:t>月</w:t>
            </w:r>
            <w:r>
              <w:rPr>
                <w:rFonts w:hint="eastAsia"/>
                <w:kern w:val="0"/>
                <w:sz w:val="24"/>
              </w:rPr>
              <w:t>10</w:t>
            </w:r>
            <w:r>
              <w:rPr>
                <w:kern w:val="0"/>
                <w:sz w:val="24"/>
              </w:rPr>
              <w:t>日-</w:t>
            </w:r>
            <w:r>
              <w:rPr>
                <w:rFonts w:hint="eastAsia"/>
                <w:kern w:val="0"/>
                <w:sz w:val="24"/>
              </w:rPr>
              <w:t>5</w:t>
            </w:r>
            <w:r>
              <w:rPr>
                <w:kern w:val="0"/>
                <w:sz w:val="24"/>
              </w:rPr>
              <w:t>月</w:t>
            </w:r>
            <w:r>
              <w:rPr>
                <w:rFonts w:hint="eastAsia"/>
                <w:kern w:val="0"/>
                <w:sz w:val="24"/>
              </w:rPr>
              <w:t>12</w:t>
            </w:r>
            <w:r>
              <w:rPr>
                <w:rFonts w:hint="eastAsia"/>
                <w:color w:val="000000"/>
                <w:sz w:val="24"/>
              </w:rPr>
              <w:t>委托</w:t>
            </w:r>
            <w:r>
              <w:rPr>
                <w:rFonts w:hint="eastAsia"/>
                <w:kern w:val="0"/>
                <w:sz w:val="24"/>
              </w:rPr>
              <w:t>安徽精检分析股份有限公司</w:t>
            </w:r>
            <w:r>
              <w:rPr>
                <w:rFonts w:hint="eastAsia"/>
                <w:color w:val="000000"/>
                <w:sz w:val="24"/>
              </w:rPr>
              <w:t>监测的数据。</w:t>
            </w:r>
            <w:r>
              <w:rPr>
                <w:rFonts w:hint="eastAsia"/>
                <w:bCs/>
                <w:color w:val="000000"/>
                <w:kern w:val="0"/>
                <w:sz w:val="24"/>
                <w:lang w:bidi="zh-CN"/>
              </w:rPr>
              <w:t>项目引用的</w:t>
            </w:r>
            <w:r>
              <w:rPr>
                <w:color w:val="000000"/>
                <w:sz w:val="24"/>
              </w:rPr>
              <w:t>监测点位为</w:t>
            </w:r>
            <w:r>
              <w:rPr>
                <w:rFonts w:hint="eastAsia"/>
                <w:color w:val="000000"/>
                <w:sz w:val="24"/>
              </w:rPr>
              <w:t>宿州市鹏昆新型建材有限公司G1</w:t>
            </w:r>
            <w:r>
              <w:rPr>
                <w:color w:val="000000"/>
                <w:sz w:val="24"/>
              </w:rPr>
              <w:t>，在本项目5km范围内，因此引用的现状监测数据时效与范围符合《建设项目环境影响报告表编制技术指南（污染影响类）（试行）》的要求，故本次环评引用该报告中大气环境现状监测数据可行。</w:t>
            </w:r>
          </w:p>
          <w:p w14:paraId="1C3BA717">
            <w:pPr>
              <w:spacing w:line="360" w:lineRule="auto"/>
              <w:ind w:firstLine="480" w:firstLineChars="200"/>
              <w:rPr>
                <w:color w:val="000000"/>
                <w:kern w:val="1"/>
                <w:sz w:val="24"/>
              </w:rPr>
            </w:pPr>
            <w:r>
              <w:rPr>
                <w:rFonts w:ascii="宋体" w:hAnsi="宋体"/>
                <w:color w:val="000000"/>
                <w:kern w:val="1"/>
                <w:sz w:val="24"/>
              </w:rPr>
              <w:t>①</w:t>
            </w:r>
            <w:r>
              <w:rPr>
                <w:rFonts w:hint="eastAsia" w:ascii="宋体" w:hAnsi="宋体"/>
                <w:color w:val="000000"/>
                <w:kern w:val="1"/>
                <w:sz w:val="24"/>
              </w:rPr>
              <w:t xml:space="preserve"> </w:t>
            </w:r>
            <w:r>
              <w:rPr>
                <w:color w:val="000000"/>
                <w:kern w:val="1"/>
                <w:sz w:val="24"/>
              </w:rPr>
              <w:t>监测点位</w:t>
            </w:r>
          </w:p>
          <w:p w14:paraId="3785D8A0">
            <w:pPr>
              <w:pStyle w:val="28"/>
              <w:spacing w:line="360" w:lineRule="auto"/>
              <w:ind w:firstLine="480" w:firstLineChars="200"/>
              <w:rPr>
                <w:rFonts w:ascii="Times New Roman" w:cs="Times New Roman"/>
                <w:szCs w:val="32"/>
              </w:rPr>
            </w:pPr>
            <w:r>
              <w:rPr>
                <w:rFonts w:ascii="Times New Roman" w:cs="Times New Roman"/>
                <w:szCs w:val="32"/>
              </w:rPr>
              <w:t>大气环境质量现状监测布点详见下表。</w:t>
            </w:r>
          </w:p>
          <w:p w14:paraId="24D43F9A">
            <w:pPr>
              <w:tabs>
                <w:tab w:val="left" w:pos="420"/>
              </w:tabs>
              <w:jc w:val="center"/>
              <w:rPr>
                <w:b/>
                <w:color w:val="000000"/>
                <w:sz w:val="24"/>
                <w:szCs w:val="32"/>
              </w:rPr>
            </w:pPr>
            <w:r>
              <w:rPr>
                <w:b/>
                <w:color w:val="000000"/>
                <w:sz w:val="24"/>
              </w:rPr>
              <w:t>表3-</w:t>
            </w:r>
            <w:r>
              <w:rPr>
                <w:rFonts w:hint="eastAsia"/>
                <w:b/>
                <w:color w:val="000000"/>
                <w:sz w:val="24"/>
              </w:rPr>
              <w:t xml:space="preserve">2 </w:t>
            </w:r>
            <w:r>
              <w:rPr>
                <w:b/>
                <w:color w:val="000000"/>
                <w:sz w:val="24"/>
              </w:rPr>
              <w:t xml:space="preserve"> </w:t>
            </w:r>
            <w:r>
              <w:rPr>
                <w:b/>
                <w:color w:val="000000"/>
                <w:sz w:val="24"/>
                <w:szCs w:val="32"/>
              </w:rPr>
              <w:t>环境空气质量监测布点表</w:t>
            </w:r>
          </w:p>
          <w:tbl>
            <w:tblPr>
              <w:tblStyle w:val="2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98"/>
              <w:gridCol w:w="1087"/>
              <w:gridCol w:w="2467"/>
              <w:gridCol w:w="1556"/>
              <w:gridCol w:w="1579"/>
            </w:tblGrid>
            <w:tr w14:paraId="394009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865" w:type="pct"/>
                  <w:vMerge w:val="restart"/>
                  <w:vAlign w:val="center"/>
                </w:tcPr>
                <w:p w14:paraId="7D98C9BD">
                  <w:pPr>
                    <w:jc w:val="center"/>
                    <w:rPr>
                      <w:bCs/>
                      <w:color w:val="000000"/>
                      <w:szCs w:val="21"/>
                    </w:rPr>
                  </w:pPr>
                  <w:r>
                    <w:rPr>
                      <w:bCs/>
                      <w:color w:val="000000"/>
                      <w:szCs w:val="21"/>
                    </w:rPr>
                    <w:t>监测点名称</w:t>
                  </w:r>
                </w:p>
              </w:tc>
              <w:tc>
                <w:tcPr>
                  <w:tcW w:w="672" w:type="pct"/>
                  <w:vMerge w:val="restart"/>
                  <w:vAlign w:val="center"/>
                </w:tcPr>
                <w:p w14:paraId="69804CD9">
                  <w:pPr>
                    <w:jc w:val="center"/>
                    <w:rPr>
                      <w:bCs/>
                      <w:color w:val="000000"/>
                      <w:szCs w:val="21"/>
                    </w:rPr>
                  </w:pPr>
                  <w:r>
                    <w:rPr>
                      <w:bCs/>
                      <w:color w:val="000000"/>
                      <w:szCs w:val="21"/>
                    </w:rPr>
                    <w:t>监测因子</w:t>
                  </w:r>
                </w:p>
              </w:tc>
              <w:tc>
                <w:tcPr>
                  <w:tcW w:w="1525" w:type="pct"/>
                  <w:vMerge w:val="restart"/>
                  <w:vAlign w:val="center"/>
                </w:tcPr>
                <w:p w14:paraId="7A10FDF7">
                  <w:pPr>
                    <w:jc w:val="center"/>
                    <w:rPr>
                      <w:bCs/>
                      <w:color w:val="000000"/>
                      <w:szCs w:val="21"/>
                    </w:rPr>
                  </w:pPr>
                  <w:r>
                    <w:rPr>
                      <w:bCs/>
                      <w:color w:val="000000"/>
                      <w:szCs w:val="21"/>
                    </w:rPr>
                    <w:t>监测时段</w:t>
                  </w:r>
                </w:p>
              </w:tc>
              <w:tc>
                <w:tcPr>
                  <w:tcW w:w="962" w:type="pct"/>
                  <w:vMerge w:val="restart"/>
                  <w:vAlign w:val="center"/>
                </w:tcPr>
                <w:p w14:paraId="78EBE476">
                  <w:pPr>
                    <w:jc w:val="center"/>
                    <w:rPr>
                      <w:bCs/>
                      <w:color w:val="000000"/>
                      <w:szCs w:val="21"/>
                    </w:rPr>
                  </w:pPr>
                  <w:r>
                    <w:rPr>
                      <w:bCs/>
                      <w:color w:val="000000"/>
                      <w:szCs w:val="21"/>
                    </w:rPr>
                    <w:t>相对厂址方位</w:t>
                  </w:r>
                </w:p>
              </w:tc>
              <w:tc>
                <w:tcPr>
                  <w:tcW w:w="976" w:type="pct"/>
                  <w:vMerge w:val="restart"/>
                  <w:vAlign w:val="center"/>
                </w:tcPr>
                <w:p w14:paraId="0CA88D43">
                  <w:pPr>
                    <w:jc w:val="center"/>
                    <w:rPr>
                      <w:bCs/>
                      <w:color w:val="000000"/>
                      <w:szCs w:val="21"/>
                    </w:rPr>
                  </w:pPr>
                  <w:r>
                    <w:rPr>
                      <w:bCs/>
                      <w:color w:val="000000"/>
                      <w:szCs w:val="21"/>
                    </w:rPr>
                    <w:t>相对厂界距离/m</w:t>
                  </w:r>
                </w:p>
              </w:tc>
            </w:tr>
            <w:tr w14:paraId="2A9E1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865" w:type="pct"/>
                  <w:vMerge w:val="continue"/>
                  <w:vAlign w:val="center"/>
                </w:tcPr>
                <w:p w14:paraId="68C0E101">
                  <w:pPr>
                    <w:widowControl/>
                    <w:jc w:val="center"/>
                    <w:rPr>
                      <w:b/>
                      <w:color w:val="000000"/>
                      <w:szCs w:val="21"/>
                    </w:rPr>
                  </w:pPr>
                </w:p>
              </w:tc>
              <w:tc>
                <w:tcPr>
                  <w:tcW w:w="672" w:type="pct"/>
                  <w:vMerge w:val="continue"/>
                  <w:vAlign w:val="center"/>
                </w:tcPr>
                <w:p w14:paraId="4A84E06B">
                  <w:pPr>
                    <w:widowControl/>
                    <w:jc w:val="center"/>
                    <w:rPr>
                      <w:b/>
                      <w:color w:val="000000"/>
                      <w:szCs w:val="21"/>
                    </w:rPr>
                  </w:pPr>
                </w:p>
              </w:tc>
              <w:tc>
                <w:tcPr>
                  <w:tcW w:w="1525" w:type="pct"/>
                  <w:vMerge w:val="continue"/>
                  <w:vAlign w:val="center"/>
                </w:tcPr>
                <w:p w14:paraId="66A248C7">
                  <w:pPr>
                    <w:widowControl/>
                    <w:jc w:val="center"/>
                    <w:rPr>
                      <w:b/>
                      <w:color w:val="000000"/>
                      <w:szCs w:val="21"/>
                    </w:rPr>
                  </w:pPr>
                </w:p>
              </w:tc>
              <w:tc>
                <w:tcPr>
                  <w:tcW w:w="962" w:type="pct"/>
                  <w:vMerge w:val="continue"/>
                  <w:vAlign w:val="center"/>
                </w:tcPr>
                <w:p w14:paraId="7ACEE74F">
                  <w:pPr>
                    <w:widowControl/>
                    <w:jc w:val="center"/>
                    <w:rPr>
                      <w:b/>
                      <w:color w:val="000000"/>
                      <w:szCs w:val="21"/>
                    </w:rPr>
                  </w:pPr>
                </w:p>
              </w:tc>
              <w:tc>
                <w:tcPr>
                  <w:tcW w:w="976" w:type="pct"/>
                  <w:vMerge w:val="continue"/>
                  <w:vAlign w:val="center"/>
                </w:tcPr>
                <w:p w14:paraId="6E8CCCEA">
                  <w:pPr>
                    <w:widowControl/>
                    <w:jc w:val="center"/>
                    <w:rPr>
                      <w:b/>
                      <w:color w:val="000000"/>
                      <w:szCs w:val="21"/>
                    </w:rPr>
                  </w:pPr>
                </w:p>
              </w:tc>
            </w:tr>
            <w:tr w14:paraId="26626D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jc w:val="center"/>
              </w:trPr>
              <w:tc>
                <w:tcPr>
                  <w:tcW w:w="865" w:type="pct"/>
                  <w:vAlign w:val="center"/>
                </w:tcPr>
                <w:p w14:paraId="0E4DE3FE">
                  <w:pPr>
                    <w:snapToGrid w:val="0"/>
                    <w:jc w:val="center"/>
                    <w:rPr>
                      <w:color w:val="000000"/>
                    </w:rPr>
                  </w:pPr>
                  <w:r>
                    <w:rPr>
                      <w:rFonts w:hint="eastAsia"/>
                      <w:bCs/>
                      <w:sz w:val="24"/>
                    </w:rPr>
                    <w:t>G1</w:t>
                  </w:r>
                </w:p>
              </w:tc>
              <w:tc>
                <w:tcPr>
                  <w:tcW w:w="672" w:type="pct"/>
                  <w:vAlign w:val="center"/>
                </w:tcPr>
                <w:p w14:paraId="5D303E92">
                  <w:pPr>
                    <w:suppressAutoHyphens/>
                    <w:adjustRightInd w:val="0"/>
                    <w:snapToGrid w:val="0"/>
                    <w:jc w:val="center"/>
                    <w:rPr>
                      <w:color w:val="000000"/>
                      <w:szCs w:val="21"/>
                    </w:rPr>
                  </w:pPr>
                  <w:r>
                    <w:rPr>
                      <w:rFonts w:hint="eastAsia"/>
                      <w:color w:val="000000"/>
                      <w:szCs w:val="21"/>
                    </w:rPr>
                    <w:t>TSP</w:t>
                  </w:r>
                </w:p>
              </w:tc>
              <w:tc>
                <w:tcPr>
                  <w:tcW w:w="1525" w:type="pct"/>
                  <w:vAlign w:val="center"/>
                </w:tcPr>
                <w:p w14:paraId="1EDD42D4">
                  <w:pPr>
                    <w:jc w:val="center"/>
                    <w:rPr>
                      <w:color w:val="000000"/>
                      <w:szCs w:val="21"/>
                    </w:rPr>
                  </w:pPr>
                  <w:r>
                    <w:rPr>
                      <w:rFonts w:hint="eastAsia"/>
                      <w:color w:val="000000"/>
                    </w:rPr>
                    <w:t>2023.05.10～2023.05.12</w:t>
                  </w:r>
                </w:p>
              </w:tc>
              <w:tc>
                <w:tcPr>
                  <w:tcW w:w="962" w:type="pct"/>
                  <w:vAlign w:val="center"/>
                </w:tcPr>
                <w:p w14:paraId="2959860D">
                  <w:pPr>
                    <w:pStyle w:val="28"/>
                    <w:jc w:val="center"/>
                    <w:rPr>
                      <w:rFonts w:ascii="Times New Roman" w:hAnsi="Times New Roman" w:cs="Times New Roman"/>
                      <w:sz w:val="21"/>
                      <w:szCs w:val="21"/>
                    </w:rPr>
                  </w:pPr>
                  <w:r>
                    <w:rPr>
                      <w:rFonts w:hint="eastAsia" w:ascii="Times New Roman" w:hAnsi="Times New Roman" w:cs="Times New Roman"/>
                      <w:sz w:val="21"/>
                      <w:szCs w:val="21"/>
                    </w:rPr>
                    <w:t>东北</w:t>
                  </w:r>
                </w:p>
              </w:tc>
              <w:tc>
                <w:tcPr>
                  <w:tcW w:w="976" w:type="pct"/>
                  <w:vAlign w:val="center"/>
                </w:tcPr>
                <w:p w14:paraId="6A785BB0">
                  <w:pPr>
                    <w:adjustRightInd w:val="0"/>
                    <w:snapToGrid w:val="0"/>
                    <w:jc w:val="center"/>
                    <w:textAlignment w:val="center"/>
                    <w:rPr>
                      <w:bCs/>
                      <w:color w:val="000000"/>
                      <w:szCs w:val="21"/>
                    </w:rPr>
                  </w:pPr>
                  <w:r>
                    <w:rPr>
                      <w:rFonts w:hint="eastAsia"/>
                      <w:bCs/>
                      <w:color w:val="000000"/>
                      <w:szCs w:val="21"/>
                    </w:rPr>
                    <w:t>4273</w:t>
                  </w:r>
                </w:p>
              </w:tc>
            </w:tr>
          </w:tbl>
          <w:p w14:paraId="2906ACFC">
            <w:pPr>
              <w:spacing w:line="360" w:lineRule="auto"/>
              <w:jc w:val="center"/>
              <w:rPr>
                <w:rFonts w:hint="eastAsia" w:ascii="宋体" w:hAnsi="宋体"/>
                <w:color w:val="000000"/>
                <w:sz w:val="24"/>
                <w:szCs w:val="32"/>
              </w:rPr>
            </w:pPr>
            <w:r>
              <w:rPr>
                <w:sz w:val="28"/>
              </w:rPr>
              <w:drawing>
                <wp:anchor distT="0" distB="0" distL="114935" distR="114935" simplePos="0" relativeHeight="251662336" behindDoc="0" locked="0" layoutInCell="1" allowOverlap="1">
                  <wp:simplePos x="0" y="0"/>
                  <wp:positionH relativeFrom="column">
                    <wp:posOffset>4282440</wp:posOffset>
                  </wp:positionH>
                  <wp:positionV relativeFrom="paragraph">
                    <wp:posOffset>45720</wp:posOffset>
                  </wp:positionV>
                  <wp:extent cx="739140" cy="640080"/>
                  <wp:effectExtent l="0" t="0" r="7620" b="0"/>
                  <wp:wrapNone/>
                  <wp:docPr id="15" name="图片 15" descr="9121ad42-04e2-4205-8433-8fb6ffcf8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121ad42-04e2-4205-8433-8fb6ffcf8d97"/>
                          <pic:cNvPicPr>
                            <a:picLocks noChangeAspect="1"/>
                          </pic:cNvPicPr>
                        </pic:nvPicPr>
                        <pic:blipFill>
                          <a:blip r:embed="rId11"/>
                          <a:stretch>
                            <a:fillRect/>
                          </a:stretch>
                        </pic:blipFill>
                        <pic:spPr>
                          <a:xfrm>
                            <a:off x="0" y="0"/>
                            <a:ext cx="739140" cy="640080"/>
                          </a:xfrm>
                          <a:prstGeom prst="rect">
                            <a:avLst/>
                          </a:prstGeom>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1892935</wp:posOffset>
                      </wp:positionH>
                      <wp:positionV relativeFrom="paragraph">
                        <wp:posOffset>652780</wp:posOffset>
                      </wp:positionV>
                      <wp:extent cx="2011680" cy="1596390"/>
                      <wp:effectExtent l="3810" t="0" r="11430" b="19050"/>
                      <wp:wrapNone/>
                      <wp:docPr id="12" name="直接箭头连接符 12"/>
                      <wp:cNvGraphicFramePr/>
                      <a:graphic xmlns:a="http://schemas.openxmlformats.org/drawingml/2006/main">
                        <a:graphicData uri="http://schemas.microsoft.com/office/word/2010/wordprocessingShape">
                          <wps:wsp>
                            <wps:cNvCnPr/>
                            <wps:spPr>
                              <a:xfrm flipV="1">
                                <a:off x="3002915" y="3026410"/>
                                <a:ext cx="2011680" cy="1596390"/>
                              </a:xfrm>
                              <a:prstGeom prst="straightConnector1">
                                <a:avLst/>
                              </a:prstGeom>
                              <a:ln>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49.05pt;margin-top:51.4pt;height:125.7pt;width:158.4pt;z-index:251659264;mso-width-relative:page;mso-height-relative:page;" filled="f" stroked="t" coordsize="21600,21600" o:gfxdata="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lbPES1wAAAAsBAAAPAAAAAAAAAAEAIAAAACIAAABkcnMvZG93bnJl&#10;di54bWxQSwECFAAUAAAACACHTuJAmA4zJDcCAAAqBAAADgAAAAAAAAABACAAAAAmAQAAZHJzL2Uy&#10;b0RvYy54bWxQSwUGAAAAAAYABgBZAQAAzwUAAAAA&#10;">
                      <v:fill on="f" focussize="0,0"/>
                      <v:stroke weight="1pt" color="#4874CB [3204]" miterlimit="8" joinstyle="miter" endarrow="block"/>
                      <v:imagedata o:title=""/>
                      <o:lock v:ext="edit" aspectratio="f"/>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2409825</wp:posOffset>
                      </wp:positionH>
                      <wp:positionV relativeFrom="paragraph">
                        <wp:posOffset>1210310</wp:posOffset>
                      </wp:positionV>
                      <wp:extent cx="442595" cy="209550"/>
                      <wp:effectExtent l="24130" t="114935" r="36195" b="117475"/>
                      <wp:wrapNone/>
                      <wp:docPr id="13" name="文本框 13"/>
                      <wp:cNvGraphicFramePr/>
                      <a:graphic xmlns:a="http://schemas.openxmlformats.org/drawingml/2006/main">
                        <a:graphicData uri="http://schemas.microsoft.com/office/word/2010/wordprocessingShape">
                          <wps:wsp>
                            <wps:cNvSpPr txBox="1"/>
                            <wps:spPr>
                              <a:xfrm rot="19440000">
                                <a:off x="3582035" y="3460750"/>
                                <a:ext cx="442595" cy="2095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E5C0947">
                                  <w:r>
                                    <w:rPr>
                                      <w:rFonts w:hint="eastAsia"/>
                                    </w:rPr>
                                    <w:t>4273m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89.75pt;margin-top:95.3pt;height:16.5pt;width:34.85pt;rotation:-2359296f;z-index:251660288;mso-width-relative:page;mso-height-relative:page;" fillcolor="#FFFFFF [3201]" filled="t" stroked="t" coordsize="21600,21600" o:gfxdata="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9zIoA2wAAAAsBAAAPAAAAAAAAAAEAIAAAACIAAABkcnMvZG93bnJldi54bWxQSwEC&#10;FAAUAAAACACHTuJAzqdYgGMCAADDBAAADgAAAAAAAAABACAAAAAqAQAAZHJzL2Uyb0RvYy54bWxQ&#10;SwUGAAAAAAYABgBZAQAA/wUAAAAA&#10;">
                      <v:fill on="t" focussize="0,0"/>
                      <v:stroke weight="0.5pt" color="#000000 [3204]" joinstyle="round"/>
                      <v:imagedata o:title=""/>
                      <o:lock v:ext="edit" aspectratio="f"/>
                      <v:textbox inset="0mm,0mm,0mm,0mm">
                        <w:txbxContent>
                          <w:p w14:paraId="3E5C0947">
                            <w:r>
                              <w:rPr>
                                <w:rFonts w:hint="eastAsia"/>
                              </w:rPr>
                              <w:t>4273m</w:t>
                            </w:r>
                          </w:p>
                        </w:txbxContent>
                      </v:textbox>
                    </v:shape>
                  </w:pict>
                </mc:Fallback>
              </mc:AlternateContent>
            </w:r>
            <w:r>
              <w:drawing>
                <wp:inline distT="0" distB="0" distL="114300" distR="114300">
                  <wp:extent cx="4932045" cy="3503930"/>
                  <wp:effectExtent l="0" t="0" r="5715" b="1270"/>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pic:cNvPicPr>
                            <a:picLocks noChangeAspect="1"/>
                          </pic:cNvPicPr>
                        </pic:nvPicPr>
                        <pic:blipFill>
                          <a:blip r:embed="rId12"/>
                          <a:stretch>
                            <a:fillRect/>
                          </a:stretch>
                        </pic:blipFill>
                        <pic:spPr>
                          <a:xfrm>
                            <a:off x="0" y="0"/>
                            <a:ext cx="4932045" cy="3503930"/>
                          </a:xfrm>
                          <a:prstGeom prst="rect">
                            <a:avLst/>
                          </a:prstGeom>
                          <a:noFill/>
                          <a:ln>
                            <a:noFill/>
                          </a:ln>
                        </pic:spPr>
                      </pic:pic>
                    </a:graphicData>
                  </a:graphic>
                </wp:inline>
              </w:drawing>
            </w:r>
          </w:p>
          <w:p w14:paraId="00270CE1">
            <w:pPr>
              <w:ind w:left="482" w:hanging="482" w:hangingChars="200"/>
              <w:jc w:val="center"/>
              <w:rPr>
                <w:b/>
                <w:bCs/>
                <w:sz w:val="24"/>
              </w:rPr>
            </w:pPr>
            <w:r>
              <w:rPr>
                <w:b/>
                <w:bCs/>
                <w:sz w:val="24"/>
              </w:rPr>
              <w:t>图3-1监测点位图</w:t>
            </w:r>
          </w:p>
          <w:p w14:paraId="7525B23B">
            <w:pPr>
              <w:spacing w:line="360" w:lineRule="auto"/>
              <w:ind w:firstLine="480"/>
              <w:rPr>
                <w:b/>
                <w:color w:val="000000"/>
                <w:sz w:val="24"/>
              </w:rPr>
            </w:pPr>
            <w:r>
              <w:rPr>
                <w:rFonts w:ascii="宋体" w:hAnsi="宋体"/>
                <w:color w:val="000000"/>
                <w:sz w:val="24"/>
                <w:szCs w:val="32"/>
              </w:rPr>
              <w:t>②</w:t>
            </w:r>
            <w:r>
              <w:rPr>
                <w:color w:val="000000"/>
                <w:sz w:val="24"/>
                <w:szCs w:val="32"/>
              </w:rPr>
              <w:t>评价</w:t>
            </w:r>
            <w:r>
              <w:rPr>
                <w:color w:val="000000"/>
                <w:sz w:val="24"/>
              </w:rPr>
              <w:t>结果</w:t>
            </w:r>
          </w:p>
          <w:p w14:paraId="42337EDD">
            <w:pPr>
              <w:tabs>
                <w:tab w:val="left" w:pos="420"/>
              </w:tabs>
              <w:jc w:val="center"/>
              <w:rPr>
                <w:b/>
                <w:color w:val="000000"/>
                <w:sz w:val="24"/>
                <w:szCs w:val="32"/>
              </w:rPr>
            </w:pPr>
            <w:r>
              <w:rPr>
                <w:b/>
                <w:color w:val="000000"/>
                <w:sz w:val="24"/>
              </w:rPr>
              <w:t>表3-</w:t>
            </w:r>
            <w:r>
              <w:rPr>
                <w:rFonts w:hint="eastAsia"/>
                <w:b/>
                <w:color w:val="000000"/>
                <w:sz w:val="24"/>
              </w:rPr>
              <w:t xml:space="preserve">3 </w:t>
            </w:r>
            <w:r>
              <w:rPr>
                <w:b/>
                <w:color w:val="000000"/>
                <w:sz w:val="24"/>
              </w:rPr>
              <w:t xml:space="preserve"> </w:t>
            </w:r>
            <w:r>
              <w:rPr>
                <w:b/>
                <w:color w:val="000000"/>
                <w:sz w:val="24"/>
                <w:szCs w:val="32"/>
              </w:rPr>
              <w:t>环境空气检测结果及评价结果  单位：</w:t>
            </w:r>
            <w:r>
              <w:rPr>
                <w:rFonts w:hint="eastAsia"/>
                <w:b/>
                <w:bCs/>
                <w:color w:val="000000"/>
                <w:sz w:val="24"/>
              </w:rPr>
              <w:t>m</w:t>
            </w:r>
            <w:r>
              <w:rPr>
                <w:b/>
                <w:color w:val="000000"/>
                <w:sz w:val="24"/>
                <w:szCs w:val="32"/>
              </w:rPr>
              <w:t>g/m</w:t>
            </w:r>
            <w:r>
              <w:rPr>
                <w:b/>
                <w:color w:val="000000"/>
                <w:sz w:val="24"/>
                <w:szCs w:val="32"/>
                <w:vertAlign w:val="superscript"/>
              </w:rPr>
              <w:t>3</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7"/>
              <w:gridCol w:w="380"/>
              <w:gridCol w:w="890"/>
              <w:gridCol w:w="160"/>
              <w:gridCol w:w="962"/>
              <w:gridCol w:w="301"/>
              <w:gridCol w:w="509"/>
              <w:gridCol w:w="615"/>
              <w:gridCol w:w="454"/>
              <w:gridCol w:w="212"/>
              <w:gridCol w:w="940"/>
              <w:gridCol w:w="877"/>
            </w:tblGrid>
            <w:tr w14:paraId="50924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2"/>
                  <w:tcBorders>
                    <w:top w:val="single" w:color="auto" w:sz="4" w:space="0"/>
                    <w:left w:val="single" w:color="auto" w:sz="4" w:space="0"/>
                    <w:bottom w:val="single" w:color="auto" w:sz="4" w:space="0"/>
                    <w:right w:val="single" w:color="auto" w:sz="4" w:space="0"/>
                  </w:tcBorders>
                  <w:vAlign w:val="center"/>
                </w:tcPr>
                <w:p w14:paraId="4C96CF0F">
                  <w:pPr>
                    <w:spacing w:line="280" w:lineRule="exact"/>
                    <w:jc w:val="center"/>
                    <w:rPr>
                      <w:szCs w:val="21"/>
                    </w:rPr>
                  </w:pPr>
                  <w:r>
                    <w:rPr>
                      <w:rFonts w:hint="eastAsia"/>
                      <w:szCs w:val="21"/>
                    </w:rPr>
                    <w:t>检测信息表</w:t>
                  </w:r>
                </w:p>
              </w:tc>
            </w:tr>
            <w:tr w14:paraId="0FF73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0" w:type="pct"/>
                  <w:gridSpan w:val="2"/>
                  <w:tcBorders>
                    <w:top w:val="single" w:color="auto" w:sz="4" w:space="0"/>
                    <w:left w:val="single" w:color="auto" w:sz="4" w:space="0"/>
                    <w:bottom w:val="single" w:color="auto" w:sz="4" w:space="0"/>
                    <w:right w:val="single" w:color="auto" w:sz="4" w:space="0"/>
                  </w:tcBorders>
                  <w:vAlign w:val="center"/>
                </w:tcPr>
                <w:p w14:paraId="1696EF4B">
                  <w:pPr>
                    <w:spacing w:line="280" w:lineRule="exact"/>
                    <w:jc w:val="center"/>
                    <w:rPr>
                      <w:szCs w:val="21"/>
                    </w:rPr>
                  </w:pPr>
                  <w:r>
                    <w:rPr>
                      <w:rFonts w:hint="eastAsia"/>
                      <w:szCs w:val="21"/>
                    </w:rPr>
                    <w:t>采样日期</w:t>
                  </w:r>
                </w:p>
              </w:tc>
              <w:tc>
                <w:tcPr>
                  <w:tcW w:w="1430" w:type="pct"/>
                  <w:gridSpan w:val="4"/>
                  <w:tcBorders>
                    <w:top w:val="single" w:color="auto" w:sz="4" w:space="0"/>
                    <w:left w:val="single" w:color="auto" w:sz="4" w:space="0"/>
                    <w:bottom w:val="single" w:color="auto" w:sz="4" w:space="0"/>
                    <w:right w:val="single" w:color="auto" w:sz="4" w:space="0"/>
                  </w:tcBorders>
                  <w:vAlign w:val="center"/>
                </w:tcPr>
                <w:p w14:paraId="3766C00D">
                  <w:pPr>
                    <w:spacing w:line="280" w:lineRule="exact"/>
                    <w:jc w:val="center"/>
                    <w:rPr>
                      <w:szCs w:val="21"/>
                    </w:rPr>
                  </w:pPr>
                  <w:r>
                    <w:rPr>
                      <w:szCs w:val="21"/>
                    </w:rPr>
                    <w:t>2023</w:t>
                  </w:r>
                  <w:r>
                    <w:rPr>
                      <w:rFonts w:hint="eastAsia"/>
                      <w:szCs w:val="21"/>
                    </w:rPr>
                    <w:t>年</w:t>
                  </w:r>
                  <w:r>
                    <w:rPr>
                      <w:szCs w:val="21"/>
                    </w:rPr>
                    <w:t>05</w:t>
                  </w:r>
                  <w:r>
                    <w:rPr>
                      <w:rFonts w:hint="eastAsia"/>
                      <w:szCs w:val="21"/>
                    </w:rPr>
                    <w:t>月</w:t>
                  </w:r>
                  <w:r>
                    <w:rPr>
                      <w:szCs w:val="21"/>
                    </w:rPr>
                    <w:t>10</w:t>
                  </w:r>
                  <w:r>
                    <w:rPr>
                      <w:rFonts w:hint="eastAsia"/>
                      <w:szCs w:val="21"/>
                    </w:rPr>
                    <w:t>日</w:t>
                  </w:r>
                  <w:r>
                    <w:rPr>
                      <w:szCs w:val="21"/>
                    </w:rPr>
                    <w:t>-05</w:t>
                  </w:r>
                  <w:r>
                    <w:rPr>
                      <w:rFonts w:hint="eastAsia"/>
                      <w:szCs w:val="21"/>
                    </w:rPr>
                    <w:t>月</w:t>
                  </w:r>
                  <w:r>
                    <w:rPr>
                      <w:szCs w:val="21"/>
                    </w:rPr>
                    <w:t>12</w:t>
                  </w:r>
                  <w:r>
                    <w:rPr>
                      <w:rFonts w:hint="eastAsia"/>
                      <w:szCs w:val="21"/>
                    </w:rPr>
                    <w:t>日</w:t>
                  </w:r>
                </w:p>
              </w:tc>
              <w:tc>
                <w:tcPr>
                  <w:tcW w:w="1107" w:type="pct"/>
                  <w:gridSpan w:val="4"/>
                  <w:tcBorders>
                    <w:top w:val="single" w:color="auto" w:sz="4" w:space="0"/>
                    <w:left w:val="single" w:color="auto" w:sz="4" w:space="0"/>
                    <w:bottom w:val="single" w:color="auto" w:sz="4" w:space="0"/>
                    <w:right w:val="single" w:color="auto" w:sz="4" w:space="0"/>
                  </w:tcBorders>
                  <w:vAlign w:val="center"/>
                </w:tcPr>
                <w:p w14:paraId="7BE28836">
                  <w:pPr>
                    <w:spacing w:line="280" w:lineRule="exact"/>
                    <w:jc w:val="center"/>
                    <w:rPr>
                      <w:szCs w:val="21"/>
                    </w:rPr>
                  </w:pPr>
                  <w:r>
                    <w:rPr>
                      <w:rFonts w:hint="eastAsia"/>
                      <w:szCs w:val="21"/>
                    </w:rPr>
                    <w:t>分析日期</w:t>
                  </w:r>
                </w:p>
              </w:tc>
              <w:tc>
                <w:tcPr>
                  <w:tcW w:w="1121" w:type="pct"/>
                  <w:gridSpan w:val="2"/>
                  <w:tcBorders>
                    <w:top w:val="single" w:color="auto" w:sz="4" w:space="0"/>
                    <w:left w:val="single" w:color="auto" w:sz="4" w:space="0"/>
                    <w:bottom w:val="single" w:color="auto" w:sz="4" w:space="0"/>
                    <w:right w:val="single" w:color="auto" w:sz="4" w:space="0"/>
                  </w:tcBorders>
                  <w:vAlign w:val="center"/>
                </w:tcPr>
                <w:p w14:paraId="3C90897C">
                  <w:pPr>
                    <w:spacing w:line="280" w:lineRule="exact"/>
                    <w:jc w:val="center"/>
                    <w:rPr>
                      <w:szCs w:val="21"/>
                    </w:rPr>
                  </w:pPr>
                  <w:r>
                    <w:rPr>
                      <w:szCs w:val="21"/>
                    </w:rPr>
                    <w:t>2023</w:t>
                  </w:r>
                  <w:r>
                    <w:rPr>
                      <w:rFonts w:hint="eastAsia"/>
                      <w:szCs w:val="21"/>
                    </w:rPr>
                    <w:t>年</w:t>
                  </w:r>
                  <w:r>
                    <w:rPr>
                      <w:szCs w:val="21"/>
                    </w:rPr>
                    <w:t>05</w:t>
                  </w:r>
                  <w:r>
                    <w:rPr>
                      <w:rFonts w:hint="eastAsia"/>
                      <w:szCs w:val="21"/>
                    </w:rPr>
                    <w:t>月</w:t>
                  </w:r>
                  <w:r>
                    <w:rPr>
                      <w:szCs w:val="21"/>
                    </w:rPr>
                    <w:t>12</w:t>
                  </w:r>
                  <w:r>
                    <w:rPr>
                      <w:rFonts w:hint="eastAsia"/>
                      <w:szCs w:val="21"/>
                    </w:rPr>
                    <w:t>日始</w:t>
                  </w:r>
                </w:p>
              </w:tc>
            </w:tr>
            <w:tr w14:paraId="44663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2"/>
                  <w:tcBorders>
                    <w:top w:val="single" w:color="auto" w:sz="4" w:space="0"/>
                    <w:left w:val="single" w:color="auto" w:sz="4" w:space="0"/>
                    <w:bottom w:val="single" w:color="auto" w:sz="4" w:space="0"/>
                    <w:right w:val="single" w:color="auto" w:sz="4" w:space="0"/>
                  </w:tcBorders>
                  <w:vAlign w:val="center"/>
                </w:tcPr>
                <w:p w14:paraId="1AD04EA8">
                  <w:pPr>
                    <w:spacing w:line="280" w:lineRule="exact"/>
                    <w:jc w:val="center"/>
                    <w:rPr>
                      <w:szCs w:val="21"/>
                    </w:rPr>
                  </w:pPr>
                  <w:r>
                    <w:rPr>
                      <w:rFonts w:hint="eastAsia"/>
                      <w:szCs w:val="21"/>
                    </w:rPr>
                    <w:t>大气检测气象参数</w:t>
                  </w:r>
                </w:p>
              </w:tc>
            </w:tr>
            <w:tr w14:paraId="4986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5" w:type="pct"/>
                  <w:tcBorders>
                    <w:top w:val="single" w:color="auto" w:sz="4" w:space="0"/>
                    <w:left w:val="single" w:color="auto" w:sz="4" w:space="0"/>
                    <w:bottom w:val="single" w:color="auto" w:sz="4" w:space="0"/>
                    <w:right w:val="single" w:color="auto" w:sz="4" w:space="0"/>
                  </w:tcBorders>
                  <w:vAlign w:val="center"/>
                </w:tcPr>
                <w:p w14:paraId="2006ADBF">
                  <w:pPr>
                    <w:spacing w:line="240" w:lineRule="atLeast"/>
                    <w:jc w:val="center"/>
                    <w:rPr>
                      <w:bCs/>
                      <w:szCs w:val="21"/>
                    </w:rPr>
                  </w:pPr>
                  <w:r>
                    <w:rPr>
                      <w:rFonts w:hint="eastAsia"/>
                      <w:szCs w:val="21"/>
                    </w:rPr>
                    <w:t>采样日期</w:t>
                  </w:r>
                </w:p>
              </w:tc>
              <w:tc>
                <w:tcPr>
                  <w:tcW w:w="785" w:type="pct"/>
                  <w:gridSpan w:val="2"/>
                  <w:tcBorders>
                    <w:top w:val="single" w:color="auto" w:sz="4" w:space="0"/>
                    <w:left w:val="single" w:color="auto" w:sz="4" w:space="0"/>
                    <w:bottom w:val="single" w:color="auto" w:sz="4" w:space="0"/>
                    <w:right w:val="single" w:color="auto" w:sz="4" w:space="0"/>
                  </w:tcBorders>
                  <w:vAlign w:val="center"/>
                </w:tcPr>
                <w:p w14:paraId="3B44395A">
                  <w:pPr>
                    <w:spacing w:line="240" w:lineRule="atLeast"/>
                    <w:jc w:val="center"/>
                    <w:rPr>
                      <w:szCs w:val="21"/>
                    </w:rPr>
                  </w:pPr>
                  <w:r>
                    <w:rPr>
                      <w:rFonts w:hint="eastAsia"/>
                      <w:kern w:val="0"/>
                      <w:szCs w:val="21"/>
                    </w:rPr>
                    <w:t>采样时间</w:t>
                  </w:r>
                </w:p>
              </w:tc>
              <w:tc>
                <w:tcPr>
                  <w:tcW w:w="694" w:type="pct"/>
                  <w:gridSpan w:val="2"/>
                  <w:tcBorders>
                    <w:top w:val="single" w:color="auto" w:sz="4" w:space="0"/>
                    <w:left w:val="single" w:color="auto" w:sz="4" w:space="0"/>
                    <w:bottom w:val="single" w:color="auto" w:sz="4" w:space="0"/>
                    <w:right w:val="single" w:color="auto" w:sz="4" w:space="0"/>
                  </w:tcBorders>
                  <w:vAlign w:val="center"/>
                </w:tcPr>
                <w:p w14:paraId="4358F7AE">
                  <w:pPr>
                    <w:spacing w:line="240" w:lineRule="atLeast"/>
                    <w:jc w:val="center"/>
                    <w:rPr>
                      <w:bCs/>
                      <w:szCs w:val="21"/>
                    </w:rPr>
                  </w:pPr>
                  <w:r>
                    <w:rPr>
                      <w:rFonts w:hint="eastAsia"/>
                      <w:bCs/>
                      <w:szCs w:val="21"/>
                    </w:rPr>
                    <w:t>风速（</w:t>
                  </w:r>
                  <w:r>
                    <w:rPr>
                      <w:bCs/>
                      <w:szCs w:val="21"/>
                    </w:rPr>
                    <w:t>m/s</w:t>
                  </w:r>
                  <w:r>
                    <w:rPr>
                      <w:rFonts w:hint="eastAsia"/>
                      <w:bCs/>
                      <w:szCs w:val="21"/>
                    </w:rPr>
                    <w:t>）</w:t>
                  </w:r>
                </w:p>
              </w:tc>
              <w:tc>
                <w:tcPr>
                  <w:tcW w:w="501" w:type="pct"/>
                  <w:gridSpan w:val="2"/>
                  <w:tcBorders>
                    <w:top w:val="single" w:color="auto" w:sz="4" w:space="0"/>
                    <w:left w:val="single" w:color="auto" w:sz="4" w:space="0"/>
                    <w:bottom w:val="single" w:color="auto" w:sz="4" w:space="0"/>
                    <w:right w:val="single" w:color="auto" w:sz="4" w:space="0"/>
                  </w:tcBorders>
                  <w:vAlign w:val="center"/>
                </w:tcPr>
                <w:p w14:paraId="47229AB6">
                  <w:pPr>
                    <w:spacing w:line="240" w:lineRule="atLeast"/>
                    <w:jc w:val="center"/>
                    <w:rPr>
                      <w:bCs/>
                      <w:szCs w:val="21"/>
                    </w:rPr>
                  </w:pPr>
                  <w:r>
                    <w:rPr>
                      <w:rFonts w:hint="eastAsia"/>
                      <w:bCs/>
                      <w:szCs w:val="21"/>
                    </w:rPr>
                    <w:t>风向</w:t>
                  </w:r>
                </w:p>
              </w:tc>
              <w:tc>
                <w:tcPr>
                  <w:tcW w:w="661" w:type="pct"/>
                  <w:gridSpan w:val="2"/>
                  <w:tcBorders>
                    <w:top w:val="single" w:color="auto" w:sz="4" w:space="0"/>
                    <w:left w:val="single" w:color="auto" w:sz="4" w:space="0"/>
                    <w:bottom w:val="single" w:color="auto" w:sz="4" w:space="0"/>
                    <w:right w:val="single" w:color="auto" w:sz="4" w:space="0"/>
                  </w:tcBorders>
                  <w:vAlign w:val="center"/>
                </w:tcPr>
                <w:p w14:paraId="1596236B">
                  <w:pPr>
                    <w:spacing w:line="240" w:lineRule="atLeast"/>
                    <w:jc w:val="center"/>
                    <w:rPr>
                      <w:bCs/>
                      <w:szCs w:val="21"/>
                    </w:rPr>
                  </w:pPr>
                  <w:r>
                    <w:rPr>
                      <w:rFonts w:hint="eastAsia"/>
                      <w:bCs/>
                      <w:szCs w:val="21"/>
                    </w:rPr>
                    <w:t>气温（</w:t>
                  </w:r>
                  <w:r>
                    <w:rPr>
                      <w:bCs/>
                      <w:szCs w:val="21"/>
                    </w:rPr>
                    <w:t>℃</w:t>
                  </w:r>
                  <w:r>
                    <w:rPr>
                      <w:rFonts w:hint="eastAsia"/>
                      <w:bCs/>
                      <w:szCs w:val="21"/>
                    </w:rPr>
                    <w:t>）</w:t>
                  </w:r>
                </w:p>
              </w:tc>
              <w:tc>
                <w:tcPr>
                  <w:tcW w:w="712" w:type="pct"/>
                  <w:gridSpan w:val="2"/>
                  <w:tcBorders>
                    <w:top w:val="single" w:color="auto" w:sz="4" w:space="0"/>
                    <w:left w:val="single" w:color="auto" w:sz="4" w:space="0"/>
                    <w:bottom w:val="single" w:color="auto" w:sz="4" w:space="0"/>
                    <w:right w:val="single" w:color="auto" w:sz="4" w:space="0"/>
                  </w:tcBorders>
                  <w:vAlign w:val="center"/>
                </w:tcPr>
                <w:p w14:paraId="3BD9778B">
                  <w:pPr>
                    <w:spacing w:line="240" w:lineRule="atLeast"/>
                    <w:jc w:val="center"/>
                    <w:rPr>
                      <w:bCs/>
                      <w:szCs w:val="21"/>
                    </w:rPr>
                  </w:pPr>
                  <w:r>
                    <w:rPr>
                      <w:rFonts w:hint="eastAsia"/>
                      <w:bCs/>
                      <w:szCs w:val="21"/>
                    </w:rPr>
                    <w:t>气压（</w:t>
                  </w:r>
                  <w:r>
                    <w:rPr>
                      <w:bCs/>
                      <w:szCs w:val="21"/>
                    </w:rPr>
                    <w:t>Kpa</w:t>
                  </w:r>
                  <w:r>
                    <w:rPr>
                      <w:rFonts w:hint="eastAsia"/>
                      <w:bCs/>
                      <w:szCs w:val="21"/>
                    </w:rPr>
                    <w:t>）</w:t>
                  </w:r>
                </w:p>
              </w:tc>
              <w:tc>
                <w:tcPr>
                  <w:tcW w:w="538" w:type="pct"/>
                  <w:tcBorders>
                    <w:top w:val="single" w:color="auto" w:sz="4" w:space="0"/>
                    <w:left w:val="single" w:color="auto" w:sz="4" w:space="0"/>
                    <w:bottom w:val="single" w:color="auto" w:sz="4" w:space="0"/>
                    <w:right w:val="single" w:color="auto" w:sz="4" w:space="0"/>
                  </w:tcBorders>
                  <w:vAlign w:val="center"/>
                </w:tcPr>
                <w:p w14:paraId="20CBE7C4">
                  <w:pPr>
                    <w:spacing w:line="240" w:lineRule="atLeast"/>
                    <w:jc w:val="center"/>
                    <w:rPr>
                      <w:bCs/>
                      <w:szCs w:val="21"/>
                    </w:rPr>
                  </w:pPr>
                  <w:r>
                    <w:rPr>
                      <w:rFonts w:hint="eastAsia"/>
                      <w:bCs/>
                      <w:szCs w:val="21"/>
                    </w:rPr>
                    <w:t>天气状况</w:t>
                  </w:r>
                </w:p>
              </w:tc>
            </w:tr>
            <w:tr w14:paraId="00648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5" w:type="pct"/>
                  <w:tcBorders>
                    <w:top w:val="single" w:color="auto" w:sz="4" w:space="0"/>
                    <w:left w:val="single" w:color="auto" w:sz="4" w:space="0"/>
                    <w:bottom w:val="single" w:color="auto" w:sz="4" w:space="0"/>
                    <w:right w:val="single" w:color="auto" w:sz="4" w:space="0"/>
                  </w:tcBorders>
                  <w:vAlign w:val="center"/>
                </w:tcPr>
                <w:p w14:paraId="5A968FB1">
                  <w:pPr>
                    <w:spacing w:line="280" w:lineRule="exact"/>
                    <w:jc w:val="center"/>
                    <w:rPr>
                      <w:szCs w:val="21"/>
                    </w:rPr>
                  </w:pPr>
                  <w:r>
                    <w:rPr>
                      <w:szCs w:val="21"/>
                    </w:rPr>
                    <w:t>2023.05.10-05.11</w:t>
                  </w:r>
                </w:p>
              </w:tc>
              <w:tc>
                <w:tcPr>
                  <w:tcW w:w="785" w:type="pct"/>
                  <w:gridSpan w:val="2"/>
                  <w:tcBorders>
                    <w:top w:val="single" w:color="auto" w:sz="4" w:space="0"/>
                    <w:left w:val="single" w:color="auto" w:sz="4" w:space="0"/>
                    <w:bottom w:val="single" w:color="auto" w:sz="4" w:space="0"/>
                    <w:right w:val="single" w:color="auto" w:sz="4" w:space="0"/>
                  </w:tcBorders>
                  <w:vAlign w:val="center"/>
                </w:tcPr>
                <w:p w14:paraId="5D136605">
                  <w:pPr>
                    <w:jc w:val="center"/>
                    <w:rPr>
                      <w:szCs w:val="21"/>
                    </w:rPr>
                  </w:pPr>
                  <w:r>
                    <w:rPr>
                      <w:szCs w:val="21"/>
                    </w:rPr>
                    <w:t>08:00-08:00</w:t>
                  </w:r>
                </w:p>
              </w:tc>
              <w:tc>
                <w:tcPr>
                  <w:tcW w:w="694" w:type="pct"/>
                  <w:gridSpan w:val="2"/>
                  <w:tcBorders>
                    <w:top w:val="single" w:color="auto" w:sz="4" w:space="0"/>
                    <w:left w:val="single" w:color="auto" w:sz="4" w:space="0"/>
                    <w:bottom w:val="single" w:color="auto" w:sz="4" w:space="0"/>
                    <w:right w:val="single" w:color="auto" w:sz="4" w:space="0"/>
                  </w:tcBorders>
                  <w:vAlign w:val="center"/>
                </w:tcPr>
                <w:p w14:paraId="4C3DBD29">
                  <w:pPr>
                    <w:spacing w:line="280" w:lineRule="exact"/>
                    <w:jc w:val="center"/>
                    <w:rPr>
                      <w:szCs w:val="21"/>
                    </w:rPr>
                  </w:pPr>
                  <w:r>
                    <w:rPr>
                      <w:szCs w:val="21"/>
                    </w:rPr>
                    <w:t>2</w:t>
                  </w:r>
                </w:p>
              </w:tc>
              <w:tc>
                <w:tcPr>
                  <w:tcW w:w="501" w:type="pct"/>
                  <w:gridSpan w:val="2"/>
                  <w:tcBorders>
                    <w:top w:val="single" w:color="auto" w:sz="4" w:space="0"/>
                    <w:left w:val="single" w:color="auto" w:sz="4" w:space="0"/>
                    <w:bottom w:val="single" w:color="auto" w:sz="4" w:space="0"/>
                    <w:right w:val="single" w:color="auto" w:sz="4" w:space="0"/>
                  </w:tcBorders>
                  <w:vAlign w:val="center"/>
                </w:tcPr>
                <w:p w14:paraId="778EA495">
                  <w:pPr>
                    <w:spacing w:line="280" w:lineRule="exact"/>
                    <w:jc w:val="center"/>
                    <w:rPr>
                      <w:szCs w:val="21"/>
                    </w:rPr>
                  </w:pPr>
                  <w:r>
                    <w:rPr>
                      <w:rFonts w:hint="eastAsia"/>
                      <w:szCs w:val="21"/>
                    </w:rPr>
                    <w:t>东</w:t>
                  </w:r>
                </w:p>
              </w:tc>
              <w:tc>
                <w:tcPr>
                  <w:tcW w:w="661" w:type="pct"/>
                  <w:gridSpan w:val="2"/>
                  <w:tcBorders>
                    <w:top w:val="single" w:color="auto" w:sz="4" w:space="0"/>
                    <w:left w:val="single" w:color="auto" w:sz="4" w:space="0"/>
                    <w:bottom w:val="single" w:color="auto" w:sz="4" w:space="0"/>
                    <w:right w:val="single" w:color="auto" w:sz="4" w:space="0"/>
                  </w:tcBorders>
                  <w:vAlign w:val="center"/>
                </w:tcPr>
                <w:p w14:paraId="364CEE67">
                  <w:pPr>
                    <w:spacing w:line="280" w:lineRule="exact"/>
                    <w:jc w:val="center"/>
                    <w:rPr>
                      <w:szCs w:val="21"/>
                    </w:rPr>
                  </w:pPr>
                  <w:r>
                    <w:rPr>
                      <w:szCs w:val="21"/>
                    </w:rPr>
                    <w:t>20</w:t>
                  </w:r>
                </w:p>
              </w:tc>
              <w:tc>
                <w:tcPr>
                  <w:tcW w:w="712" w:type="pct"/>
                  <w:gridSpan w:val="2"/>
                  <w:tcBorders>
                    <w:top w:val="single" w:color="auto" w:sz="4" w:space="0"/>
                    <w:left w:val="single" w:color="auto" w:sz="4" w:space="0"/>
                    <w:bottom w:val="single" w:color="auto" w:sz="4" w:space="0"/>
                    <w:right w:val="single" w:color="auto" w:sz="4" w:space="0"/>
                  </w:tcBorders>
                  <w:vAlign w:val="center"/>
                </w:tcPr>
                <w:p w14:paraId="4062AC13">
                  <w:pPr>
                    <w:spacing w:line="280" w:lineRule="exact"/>
                    <w:jc w:val="center"/>
                    <w:rPr>
                      <w:szCs w:val="21"/>
                    </w:rPr>
                  </w:pPr>
                  <w:r>
                    <w:rPr>
                      <w:szCs w:val="21"/>
                    </w:rPr>
                    <w:t>100.42</w:t>
                  </w:r>
                </w:p>
              </w:tc>
              <w:tc>
                <w:tcPr>
                  <w:tcW w:w="538" w:type="pct"/>
                  <w:tcBorders>
                    <w:top w:val="single" w:color="auto" w:sz="4" w:space="0"/>
                    <w:left w:val="single" w:color="auto" w:sz="4" w:space="0"/>
                    <w:bottom w:val="single" w:color="auto" w:sz="4" w:space="0"/>
                    <w:right w:val="single" w:color="auto" w:sz="4" w:space="0"/>
                  </w:tcBorders>
                  <w:vAlign w:val="center"/>
                </w:tcPr>
                <w:p w14:paraId="247039C2">
                  <w:pPr>
                    <w:spacing w:line="280" w:lineRule="exact"/>
                    <w:jc w:val="center"/>
                    <w:rPr>
                      <w:szCs w:val="21"/>
                    </w:rPr>
                  </w:pPr>
                  <w:r>
                    <w:rPr>
                      <w:rFonts w:hint="eastAsia"/>
                      <w:szCs w:val="21"/>
                    </w:rPr>
                    <w:t>阴</w:t>
                  </w:r>
                </w:p>
              </w:tc>
            </w:tr>
            <w:tr w14:paraId="573B6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5" w:type="pct"/>
                  <w:tcBorders>
                    <w:top w:val="single" w:color="auto" w:sz="4" w:space="0"/>
                    <w:left w:val="single" w:color="auto" w:sz="4" w:space="0"/>
                    <w:bottom w:val="single" w:color="auto" w:sz="4" w:space="0"/>
                    <w:right w:val="single" w:color="auto" w:sz="4" w:space="0"/>
                  </w:tcBorders>
                  <w:vAlign w:val="center"/>
                </w:tcPr>
                <w:p w14:paraId="2C9C53FC">
                  <w:pPr>
                    <w:spacing w:line="280" w:lineRule="exact"/>
                    <w:jc w:val="center"/>
                    <w:rPr>
                      <w:szCs w:val="21"/>
                    </w:rPr>
                  </w:pPr>
                  <w:r>
                    <w:rPr>
                      <w:szCs w:val="21"/>
                    </w:rPr>
                    <w:t>2023.05.11-05.12</w:t>
                  </w:r>
                </w:p>
              </w:tc>
              <w:tc>
                <w:tcPr>
                  <w:tcW w:w="785" w:type="pct"/>
                  <w:gridSpan w:val="2"/>
                  <w:tcBorders>
                    <w:top w:val="single" w:color="auto" w:sz="4" w:space="0"/>
                    <w:left w:val="single" w:color="auto" w:sz="4" w:space="0"/>
                    <w:bottom w:val="single" w:color="auto" w:sz="4" w:space="0"/>
                    <w:right w:val="single" w:color="auto" w:sz="4" w:space="0"/>
                  </w:tcBorders>
                  <w:vAlign w:val="center"/>
                </w:tcPr>
                <w:p w14:paraId="044EA320">
                  <w:pPr>
                    <w:jc w:val="center"/>
                    <w:rPr>
                      <w:szCs w:val="21"/>
                    </w:rPr>
                  </w:pPr>
                  <w:r>
                    <w:rPr>
                      <w:szCs w:val="21"/>
                    </w:rPr>
                    <w:t>09:00-09:00</w:t>
                  </w:r>
                </w:p>
              </w:tc>
              <w:tc>
                <w:tcPr>
                  <w:tcW w:w="694" w:type="pct"/>
                  <w:gridSpan w:val="2"/>
                  <w:tcBorders>
                    <w:top w:val="single" w:color="auto" w:sz="4" w:space="0"/>
                    <w:left w:val="single" w:color="auto" w:sz="4" w:space="0"/>
                    <w:bottom w:val="single" w:color="auto" w:sz="4" w:space="0"/>
                    <w:right w:val="single" w:color="auto" w:sz="4" w:space="0"/>
                  </w:tcBorders>
                  <w:vAlign w:val="center"/>
                </w:tcPr>
                <w:p w14:paraId="57D4A371">
                  <w:pPr>
                    <w:spacing w:line="280" w:lineRule="exact"/>
                    <w:jc w:val="center"/>
                    <w:rPr>
                      <w:szCs w:val="21"/>
                    </w:rPr>
                  </w:pPr>
                  <w:r>
                    <w:rPr>
                      <w:szCs w:val="21"/>
                    </w:rPr>
                    <w:t>2</w:t>
                  </w:r>
                </w:p>
              </w:tc>
              <w:tc>
                <w:tcPr>
                  <w:tcW w:w="501" w:type="pct"/>
                  <w:gridSpan w:val="2"/>
                  <w:tcBorders>
                    <w:top w:val="single" w:color="auto" w:sz="4" w:space="0"/>
                    <w:left w:val="single" w:color="auto" w:sz="4" w:space="0"/>
                    <w:bottom w:val="single" w:color="auto" w:sz="4" w:space="0"/>
                    <w:right w:val="single" w:color="auto" w:sz="4" w:space="0"/>
                  </w:tcBorders>
                  <w:vAlign w:val="center"/>
                </w:tcPr>
                <w:p w14:paraId="138F1553">
                  <w:pPr>
                    <w:spacing w:line="280" w:lineRule="exact"/>
                    <w:jc w:val="center"/>
                    <w:rPr>
                      <w:szCs w:val="21"/>
                    </w:rPr>
                  </w:pPr>
                  <w:r>
                    <w:rPr>
                      <w:rFonts w:hint="eastAsia"/>
                      <w:szCs w:val="21"/>
                    </w:rPr>
                    <w:t>西南</w:t>
                  </w:r>
                </w:p>
              </w:tc>
              <w:tc>
                <w:tcPr>
                  <w:tcW w:w="661" w:type="pct"/>
                  <w:gridSpan w:val="2"/>
                  <w:tcBorders>
                    <w:top w:val="single" w:color="auto" w:sz="4" w:space="0"/>
                    <w:left w:val="single" w:color="auto" w:sz="4" w:space="0"/>
                    <w:bottom w:val="single" w:color="auto" w:sz="4" w:space="0"/>
                    <w:right w:val="single" w:color="auto" w:sz="4" w:space="0"/>
                  </w:tcBorders>
                  <w:vAlign w:val="center"/>
                </w:tcPr>
                <w:p w14:paraId="7331BA83">
                  <w:pPr>
                    <w:spacing w:line="280" w:lineRule="exact"/>
                    <w:jc w:val="center"/>
                    <w:rPr>
                      <w:szCs w:val="21"/>
                    </w:rPr>
                  </w:pPr>
                  <w:r>
                    <w:rPr>
                      <w:szCs w:val="21"/>
                    </w:rPr>
                    <w:t>22</w:t>
                  </w:r>
                </w:p>
              </w:tc>
              <w:tc>
                <w:tcPr>
                  <w:tcW w:w="712" w:type="pct"/>
                  <w:gridSpan w:val="2"/>
                  <w:tcBorders>
                    <w:top w:val="single" w:color="auto" w:sz="4" w:space="0"/>
                    <w:left w:val="single" w:color="auto" w:sz="4" w:space="0"/>
                    <w:bottom w:val="single" w:color="auto" w:sz="4" w:space="0"/>
                    <w:right w:val="single" w:color="auto" w:sz="4" w:space="0"/>
                  </w:tcBorders>
                  <w:vAlign w:val="center"/>
                </w:tcPr>
                <w:p w14:paraId="55CD179E">
                  <w:pPr>
                    <w:spacing w:line="280" w:lineRule="exact"/>
                    <w:jc w:val="center"/>
                    <w:rPr>
                      <w:szCs w:val="21"/>
                    </w:rPr>
                  </w:pPr>
                  <w:r>
                    <w:rPr>
                      <w:szCs w:val="21"/>
                    </w:rPr>
                    <w:t>100.46</w:t>
                  </w:r>
                </w:p>
              </w:tc>
              <w:tc>
                <w:tcPr>
                  <w:tcW w:w="538" w:type="pct"/>
                  <w:tcBorders>
                    <w:top w:val="single" w:color="auto" w:sz="4" w:space="0"/>
                    <w:left w:val="single" w:color="auto" w:sz="4" w:space="0"/>
                    <w:bottom w:val="single" w:color="auto" w:sz="4" w:space="0"/>
                    <w:right w:val="single" w:color="auto" w:sz="4" w:space="0"/>
                  </w:tcBorders>
                  <w:vAlign w:val="center"/>
                </w:tcPr>
                <w:p w14:paraId="380FF51F">
                  <w:pPr>
                    <w:spacing w:line="280" w:lineRule="exact"/>
                    <w:jc w:val="center"/>
                    <w:rPr>
                      <w:szCs w:val="21"/>
                    </w:rPr>
                  </w:pPr>
                  <w:r>
                    <w:rPr>
                      <w:rFonts w:hint="eastAsia"/>
                      <w:szCs w:val="21"/>
                    </w:rPr>
                    <w:t>多云</w:t>
                  </w:r>
                </w:p>
              </w:tc>
            </w:tr>
            <w:tr w14:paraId="38CF5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5" w:type="pct"/>
                  <w:tcBorders>
                    <w:top w:val="single" w:color="auto" w:sz="4" w:space="0"/>
                    <w:left w:val="single" w:color="auto" w:sz="4" w:space="0"/>
                    <w:bottom w:val="single" w:color="auto" w:sz="4" w:space="0"/>
                    <w:right w:val="single" w:color="auto" w:sz="4" w:space="0"/>
                  </w:tcBorders>
                  <w:vAlign w:val="center"/>
                </w:tcPr>
                <w:p w14:paraId="1E277438">
                  <w:pPr>
                    <w:spacing w:line="280" w:lineRule="exact"/>
                    <w:rPr>
                      <w:szCs w:val="21"/>
                    </w:rPr>
                  </w:pPr>
                  <w:r>
                    <w:rPr>
                      <w:szCs w:val="21"/>
                    </w:rPr>
                    <w:t>2023.05.12-05.13</w:t>
                  </w:r>
                </w:p>
              </w:tc>
              <w:tc>
                <w:tcPr>
                  <w:tcW w:w="785" w:type="pct"/>
                  <w:gridSpan w:val="2"/>
                  <w:tcBorders>
                    <w:top w:val="single" w:color="auto" w:sz="4" w:space="0"/>
                    <w:left w:val="single" w:color="auto" w:sz="4" w:space="0"/>
                    <w:bottom w:val="single" w:color="auto" w:sz="4" w:space="0"/>
                    <w:right w:val="single" w:color="auto" w:sz="4" w:space="0"/>
                  </w:tcBorders>
                  <w:vAlign w:val="center"/>
                </w:tcPr>
                <w:p w14:paraId="6AA241E3">
                  <w:pPr>
                    <w:jc w:val="center"/>
                    <w:rPr>
                      <w:szCs w:val="21"/>
                    </w:rPr>
                  </w:pPr>
                  <w:r>
                    <w:rPr>
                      <w:szCs w:val="21"/>
                    </w:rPr>
                    <w:t>10:00-10:00</w:t>
                  </w:r>
                </w:p>
              </w:tc>
              <w:tc>
                <w:tcPr>
                  <w:tcW w:w="694" w:type="pct"/>
                  <w:gridSpan w:val="2"/>
                  <w:tcBorders>
                    <w:top w:val="single" w:color="auto" w:sz="4" w:space="0"/>
                    <w:left w:val="single" w:color="auto" w:sz="4" w:space="0"/>
                    <w:bottom w:val="single" w:color="auto" w:sz="4" w:space="0"/>
                    <w:right w:val="single" w:color="auto" w:sz="4" w:space="0"/>
                  </w:tcBorders>
                  <w:vAlign w:val="center"/>
                </w:tcPr>
                <w:p w14:paraId="6DC68E7C">
                  <w:pPr>
                    <w:spacing w:line="280" w:lineRule="exact"/>
                    <w:jc w:val="center"/>
                    <w:rPr>
                      <w:szCs w:val="21"/>
                    </w:rPr>
                  </w:pPr>
                  <w:r>
                    <w:rPr>
                      <w:szCs w:val="21"/>
                    </w:rPr>
                    <w:t>2</w:t>
                  </w:r>
                </w:p>
              </w:tc>
              <w:tc>
                <w:tcPr>
                  <w:tcW w:w="501" w:type="pct"/>
                  <w:gridSpan w:val="2"/>
                  <w:tcBorders>
                    <w:top w:val="single" w:color="auto" w:sz="4" w:space="0"/>
                    <w:left w:val="single" w:color="auto" w:sz="4" w:space="0"/>
                    <w:bottom w:val="single" w:color="auto" w:sz="4" w:space="0"/>
                    <w:right w:val="single" w:color="auto" w:sz="4" w:space="0"/>
                  </w:tcBorders>
                  <w:vAlign w:val="center"/>
                </w:tcPr>
                <w:p w14:paraId="75550FE6">
                  <w:pPr>
                    <w:spacing w:line="280" w:lineRule="exact"/>
                    <w:jc w:val="center"/>
                    <w:rPr>
                      <w:szCs w:val="21"/>
                    </w:rPr>
                  </w:pPr>
                  <w:r>
                    <w:rPr>
                      <w:rFonts w:hint="eastAsia"/>
                      <w:szCs w:val="21"/>
                    </w:rPr>
                    <w:t>南</w:t>
                  </w:r>
                </w:p>
              </w:tc>
              <w:tc>
                <w:tcPr>
                  <w:tcW w:w="661" w:type="pct"/>
                  <w:gridSpan w:val="2"/>
                  <w:tcBorders>
                    <w:top w:val="single" w:color="auto" w:sz="4" w:space="0"/>
                    <w:left w:val="single" w:color="auto" w:sz="4" w:space="0"/>
                    <w:bottom w:val="single" w:color="auto" w:sz="4" w:space="0"/>
                    <w:right w:val="single" w:color="auto" w:sz="4" w:space="0"/>
                  </w:tcBorders>
                  <w:vAlign w:val="center"/>
                </w:tcPr>
                <w:p w14:paraId="5B4FD746">
                  <w:pPr>
                    <w:spacing w:line="280" w:lineRule="exact"/>
                    <w:jc w:val="center"/>
                    <w:rPr>
                      <w:szCs w:val="21"/>
                    </w:rPr>
                  </w:pPr>
                  <w:r>
                    <w:rPr>
                      <w:szCs w:val="21"/>
                    </w:rPr>
                    <w:t>24</w:t>
                  </w:r>
                </w:p>
              </w:tc>
              <w:tc>
                <w:tcPr>
                  <w:tcW w:w="712" w:type="pct"/>
                  <w:gridSpan w:val="2"/>
                  <w:tcBorders>
                    <w:top w:val="single" w:color="auto" w:sz="4" w:space="0"/>
                    <w:left w:val="single" w:color="auto" w:sz="4" w:space="0"/>
                    <w:bottom w:val="single" w:color="auto" w:sz="4" w:space="0"/>
                    <w:right w:val="single" w:color="auto" w:sz="4" w:space="0"/>
                  </w:tcBorders>
                  <w:vAlign w:val="center"/>
                </w:tcPr>
                <w:p w14:paraId="210287DA">
                  <w:pPr>
                    <w:spacing w:line="280" w:lineRule="exact"/>
                    <w:jc w:val="center"/>
                    <w:rPr>
                      <w:szCs w:val="21"/>
                    </w:rPr>
                  </w:pPr>
                  <w:r>
                    <w:rPr>
                      <w:szCs w:val="21"/>
                    </w:rPr>
                    <w:t>100.39</w:t>
                  </w:r>
                </w:p>
              </w:tc>
              <w:tc>
                <w:tcPr>
                  <w:tcW w:w="538" w:type="pct"/>
                  <w:tcBorders>
                    <w:top w:val="single" w:color="auto" w:sz="4" w:space="0"/>
                    <w:left w:val="single" w:color="auto" w:sz="4" w:space="0"/>
                    <w:bottom w:val="single" w:color="auto" w:sz="4" w:space="0"/>
                    <w:right w:val="single" w:color="auto" w:sz="4" w:space="0"/>
                  </w:tcBorders>
                  <w:vAlign w:val="center"/>
                </w:tcPr>
                <w:p w14:paraId="79226D7D">
                  <w:pPr>
                    <w:spacing w:line="280" w:lineRule="exact"/>
                    <w:jc w:val="center"/>
                    <w:rPr>
                      <w:szCs w:val="21"/>
                    </w:rPr>
                  </w:pPr>
                  <w:r>
                    <w:rPr>
                      <w:rFonts w:hint="eastAsia"/>
                      <w:szCs w:val="21"/>
                    </w:rPr>
                    <w:t>晴</w:t>
                  </w:r>
                </w:p>
              </w:tc>
            </w:tr>
            <w:tr w14:paraId="67628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2"/>
                  <w:tcBorders>
                    <w:top w:val="single" w:color="auto" w:sz="4" w:space="0"/>
                    <w:left w:val="single" w:color="auto" w:sz="4" w:space="0"/>
                    <w:bottom w:val="single" w:color="auto" w:sz="4" w:space="0"/>
                    <w:right w:val="single" w:color="auto" w:sz="4" w:space="0"/>
                  </w:tcBorders>
                  <w:vAlign w:val="center"/>
                </w:tcPr>
                <w:p w14:paraId="0538996C">
                  <w:pPr>
                    <w:jc w:val="center"/>
                    <w:rPr>
                      <w:szCs w:val="21"/>
                    </w:rPr>
                  </w:pPr>
                  <w:r>
                    <w:rPr>
                      <w:rFonts w:hint="eastAsia"/>
                      <w:kern w:val="0"/>
                      <w:szCs w:val="21"/>
                    </w:rPr>
                    <w:t>颗粒物测点位置及结果（</w:t>
                  </w:r>
                  <w:r>
                    <w:rPr>
                      <w:kern w:val="0"/>
                      <w:szCs w:val="21"/>
                    </w:rPr>
                    <w:t>μg/m</w:t>
                  </w:r>
                  <w:r>
                    <w:rPr>
                      <w:kern w:val="0"/>
                      <w:szCs w:val="21"/>
                      <w:vertAlign w:val="superscript"/>
                    </w:rPr>
                    <w:t>3</w:t>
                  </w:r>
                  <w:r>
                    <w:rPr>
                      <w:rFonts w:hint="eastAsia"/>
                      <w:kern w:val="0"/>
                      <w:szCs w:val="21"/>
                    </w:rPr>
                    <w:t>）</w:t>
                  </w:r>
                </w:p>
              </w:tc>
            </w:tr>
            <w:tr w14:paraId="06E4A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9" w:type="pct"/>
                  <w:gridSpan w:val="4"/>
                  <w:tcBorders>
                    <w:top w:val="single" w:color="auto" w:sz="4" w:space="0"/>
                    <w:left w:val="single" w:color="auto" w:sz="4" w:space="0"/>
                    <w:bottom w:val="single" w:color="auto" w:sz="4" w:space="0"/>
                    <w:right w:val="single" w:color="auto" w:sz="4" w:space="0"/>
                  </w:tcBorders>
                  <w:vAlign w:val="center"/>
                </w:tcPr>
                <w:p w14:paraId="49C219D4">
                  <w:pPr>
                    <w:spacing w:line="280" w:lineRule="exact"/>
                    <w:jc w:val="center"/>
                    <w:rPr>
                      <w:kern w:val="0"/>
                      <w:szCs w:val="21"/>
                    </w:rPr>
                  </w:pPr>
                  <w:r>
                    <w:rPr>
                      <w:rFonts w:hint="eastAsia"/>
                      <w:kern w:val="0"/>
                      <w:szCs w:val="21"/>
                    </w:rPr>
                    <w:t>采样日期</w:t>
                  </w:r>
                </w:p>
              </w:tc>
              <w:tc>
                <w:tcPr>
                  <w:tcW w:w="1476" w:type="pct"/>
                  <w:gridSpan w:val="4"/>
                  <w:tcBorders>
                    <w:top w:val="single" w:color="auto" w:sz="4" w:space="0"/>
                    <w:left w:val="single" w:color="auto" w:sz="4" w:space="0"/>
                    <w:bottom w:val="single" w:color="auto" w:sz="4" w:space="0"/>
                    <w:right w:val="single" w:color="auto" w:sz="4" w:space="0"/>
                  </w:tcBorders>
                  <w:vAlign w:val="center"/>
                </w:tcPr>
                <w:p w14:paraId="3665BDAC">
                  <w:pPr>
                    <w:spacing w:line="280" w:lineRule="exact"/>
                    <w:jc w:val="center"/>
                    <w:rPr>
                      <w:kern w:val="0"/>
                      <w:szCs w:val="21"/>
                    </w:rPr>
                  </w:pPr>
                  <w:r>
                    <w:rPr>
                      <w:rFonts w:hint="eastAsia"/>
                      <w:kern w:val="0"/>
                      <w:szCs w:val="21"/>
                    </w:rPr>
                    <w:t>采样时间</w:t>
                  </w:r>
                </w:p>
              </w:tc>
              <w:tc>
                <w:tcPr>
                  <w:tcW w:w="1534" w:type="pct"/>
                  <w:gridSpan w:val="4"/>
                  <w:tcBorders>
                    <w:top w:val="single" w:color="auto" w:sz="4" w:space="0"/>
                    <w:left w:val="single" w:color="auto" w:sz="4" w:space="0"/>
                    <w:bottom w:val="single" w:color="auto" w:sz="4" w:space="0"/>
                    <w:right w:val="single" w:color="auto" w:sz="4" w:space="0"/>
                  </w:tcBorders>
                  <w:vAlign w:val="center"/>
                </w:tcPr>
                <w:p w14:paraId="782A3949">
                  <w:pPr>
                    <w:spacing w:line="280" w:lineRule="exact"/>
                    <w:jc w:val="center"/>
                    <w:rPr>
                      <w:kern w:val="0"/>
                      <w:szCs w:val="21"/>
                    </w:rPr>
                  </w:pPr>
                  <w:r>
                    <w:rPr>
                      <w:rFonts w:hint="eastAsia"/>
                      <w:kern w:val="0"/>
                      <w:szCs w:val="21"/>
                    </w:rPr>
                    <w:t>监测结果</w:t>
                  </w:r>
                </w:p>
              </w:tc>
            </w:tr>
            <w:tr w14:paraId="0E48D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9" w:type="pct"/>
                  <w:gridSpan w:val="4"/>
                  <w:tcBorders>
                    <w:top w:val="single" w:color="auto" w:sz="4" w:space="0"/>
                    <w:left w:val="single" w:color="auto" w:sz="4" w:space="0"/>
                    <w:bottom w:val="single" w:color="auto" w:sz="4" w:space="0"/>
                    <w:right w:val="single" w:color="auto" w:sz="4" w:space="0"/>
                  </w:tcBorders>
                  <w:vAlign w:val="center"/>
                </w:tcPr>
                <w:p w14:paraId="0C3AE172">
                  <w:pPr>
                    <w:spacing w:line="280" w:lineRule="exact"/>
                    <w:jc w:val="center"/>
                    <w:rPr>
                      <w:kern w:val="0"/>
                      <w:szCs w:val="21"/>
                    </w:rPr>
                  </w:pPr>
                  <w:r>
                    <w:rPr>
                      <w:szCs w:val="21"/>
                    </w:rPr>
                    <w:t>2023.05.10-05.11</w:t>
                  </w:r>
                </w:p>
              </w:tc>
              <w:tc>
                <w:tcPr>
                  <w:tcW w:w="1476" w:type="pct"/>
                  <w:gridSpan w:val="4"/>
                  <w:tcBorders>
                    <w:top w:val="single" w:color="auto" w:sz="4" w:space="0"/>
                    <w:left w:val="single" w:color="auto" w:sz="4" w:space="0"/>
                    <w:bottom w:val="single" w:color="auto" w:sz="4" w:space="0"/>
                    <w:right w:val="single" w:color="auto" w:sz="4" w:space="0"/>
                  </w:tcBorders>
                  <w:vAlign w:val="center"/>
                </w:tcPr>
                <w:p w14:paraId="49E776D4">
                  <w:pPr>
                    <w:jc w:val="center"/>
                    <w:rPr>
                      <w:kern w:val="0"/>
                      <w:szCs w:val="21"/>
                    </w:rPr>
                  </w:pPr>
                  <w:r>
                    <w:rPr>
                      <w:szCs w:val="21"/>
                    </w:rPr>
                    <w:t>08:00-08:00</w:t>
                  </w:r>
                </w:p>
              </w:tc>
              <w:tc>
                <w:tcPr>
                  <w:tcW w:w="1534" w:type="pct"/>
                  <w:gridSpan w:val="4"/>
                  <w:tcBorders>
                    <w:top w:val="single" w:color="auto" w:sz="4" w:space="0"/>
                    <w:left w:val="single" w:color="auto" w:sz="4" w:space="0"/>
                    <w:bottom w:val="single" w:color="auto" w:sz="4" w:space="0"/>
                    <w:right w:val="single" w:color="auto" w:sz="4" w:space="0"/>
                  </w:tcBorders>
                  <w:vAlign w:val="center"/>
                </w:tcPr>
                <w:p w14:paraId="4FC6877E">
                  <w:pPr>
                    <w:jc w:val="center"/>
                    <w:rPr>
                      <w:kern w:val="0"/>
                      <w:szCs w:val="21"/>
                    </w:rPr>
                  </w:pPr>
                  <w:r>
                    <w:rPr>
                      <w:kern w:val="0"/>
                      <w:szCs w:val="21"/>
                    </w:rPr>
                    <w:t>249</w:t>
                  </w:r>
                </w:p>
              </w:tc>
            </w:tr>
            <w:tr w14:paraId="1C617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9" w:type="pct"/>
                  <w:gridSpan w:val="4"/>
                  <w:tcBorders>
                    <w:top w:val="single" w:color="auto" w:sz="4" w:space="0"/>
                    <w:left w:val="single" w:color="auto" w:sz="4" w:space="0"/>
                    <w:bottom w:val="single" w:color="auto" w:sz="4" w:space="0"/>
                    <w:right w:val="single" w:color="auto" w:sz="4" w:space="0"/>
                  </w:tcBorders>
                  <w:vAlign w:val="center"/>
                </w:tcPr>
                <w:p w14:paraId="1C4E004D">
                  <w:pPr>
                    <w:spacing w:line="280" w:lineRule="exact"/>
                    <w:jc w:val="center"/>
                    <w:rPr>
                      <w:kern w:val="0"/>
                      <w:szCs w:val="21"/>
                    </w:rPr>
                  </w:pPr>
                  <w:r>
                    <w:rPr>
                      <w:szCs w:val="21"/>
                    </w:rPr>
                    <w:t>2023.05.11-05.12</w:t>
                  </w:r>
                </w:p>
              </w:tc>
              <w:tc>
                <w:tcPr>
                  <w:tcW w:w="1476" w:type="pct"/>
                  <w:gridSpan w:val="4"/>
                  <w:tcBorders>
                    <w:top w:val="single" w:color="auto" w:sz="4" w:space="0"/>
                    <w:left w:val="single" w:color="auto" w:sz="4" w:space="0"/>
                    <w:bottom w:val="single" w:color="auto" w:sz="4" w:space="0"/>
                    <w:right w:val="single" w:color="auto" w:sz="4" w:space="0"/>
                  </w:tcBorders>
                  <w:vAlign w:val="center"/>
                </w:tcPr>
                <w:p w14:paraId="776E40AB">
                  <w:pPr>
                    <w:jc w:val="center"/>
                    <w:rPr>
                      <w:kern w:val="0"/>
                      <w:szCs w:val="21"/>
                    </w:rPr>
                  </w:pPr>
                  <w:r>
                    <w:rPr>
                      <w:szCs w:val="21"/>
                    </w:rPr>
                    <w:t>09:00-09:00</w:t>
                  </w:r>
                </w:p>
              </w:tc>
              <w:tc>
                <w:tcPr>
                  <w:tcW w:w="1534" w:type="pct"/>
                  <w:gridSpan w:val="4"/>
                  <w:tcBorders>
                    <w:top w:val="single" w:color="auto" w:sz="4" w:space="0"/>
                    <w:left w:val="single" w:color="auto" w:sz="4" w:space="0"/>
                    <w:bottom w:val="single" w:color="auto" w:sz="4" w:space="0"/>
                    <w:right w:val="single" w:color="auto" w:sz="4" w:space="0"/>
                  </w:tcBorders>
                  <w:vAlign w:val="center"/>
                </w:tcPr>
                <w:p w14:paraId="5BB3D0E3">
                  <w:pPr>
                    <w:jc w:val="center"/>
                    <w:rPr>
                      <w:kern w:val="0"/>
                      <w:szCs w:val="21"/>
                    </w:rPr>
                  </w:pPr>
                  <w:r>
                    <w:rPr>
                      <w:kern w:val="0"/>
                      <w:szCs w:val="21"/>
                    </w:rPr>
                    <w:t>217</w:t>
                  </w:r>
                </w:p>
              </w:tc>
            </w:tr>
            <w:tr w14:paraId="2B609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9" w:type="pct"/>
                  <w:gridSpan w:val="4"/>
                  <w:tcBorders>
                    <w:top w:val="single" w:color="auto" w:sz="4" w:space="0"/>
                    <w:left w:val="single" w:color="auto" w:sz="4" w:space="0"/>
                    <w:bottom w:val="single" w:color="auto" w:sz="4" w:space="0"/>
                    <w:right w:val="single" w:color="auto" w:sz="4" w:space="0"/>
                  </w:tcBorders>
                  <w:vAlign w:val="center"/>
                </w:tcPr>
                <w:p w14:paraId="62F39F6F">
                  <w:pPr>
                    <w:spacing w:line="280" w:lineRule="exact"/>
                    <w:jc w:val="center"/>
                    <w:rPr>
                      <w:kern w:val="0"/>
                      <w:szCs w:val="21"/>
                    </w:rPr>
                  </w:pPr>
                  <w:r>
                    <w:rPr>
                      <w:szCs w:val="21"/>
                    </w:rPr>
                    <w:t>2023.05.12-05.13</w:t>
                  </w:r>
                </w:p>
              </w:tc>
              <w:tc>
                <w:tcPr>
                  <w:tcW w:w="1476" w:type="pct"/>
                  <w:gridSpan w:val="4"/>
                  <w:tcBorders>
                    <w:top w:val="single" w:color="auto" w:sz="4" w:space="0"/>
                    <w:left w:val="single" w:color="auto" w:sz="4" w:space="0"/>
                    <w:bottom w:val="single" w:color="auto" w:sz="4" w:space="0"/>
                    <w:right w:val="single" w:color="auto" w:sz="4" w:space="0"/>
                  </w:tcBorders>
                  <w:vAlign w:val="center"/>
                </w:tcPr>
                <w:p w14:paraId="37385558">
                  <w:pPr>
                    <w:jc w:val="center"/>
                    <w:rPr>
                      <w:kern w:val="0"/>
                      <w:szCs w:val="21"/>
                    </w:rPr>
                  </w:pPr>
                  <w:r>
                    <w:rPr>
                      <w:szCs w:val="21"/>
                    </w:rPr>
                    <w:t>10:00-10:00</w:t>
                  </w:r>
                </w:p>
              </w:tc>
              <w:tc>
                <w:tcPr>
                  <w:tcW w:w="1534" w:type="pct"/>
                  <w:gridSpan w:val="4"/>
                  <w:tcBorders>
                    <w:top w:val="single" w:color="auto" w:sz="4" w:space="0"/>
                    <w:left w:val="single" w:color="auto" w:sz="4" w:space="0"/>
                    <w:bottom w:val="single" w:color="auto" w:sz="4" w:space="0"/>
                    <w:right w:val="single" w:color="auto" w:sz="4" w:space="0"/>
                  </w:tcBorders>
                  <w:vAlign w:val="center"/>
                </w:tcPr>
                <w:p w14:paraId="072ED9A7">
                  <w:pPr>
                    <w:jc w:val="center"/>
                    <w:rPr>
                      <w:kern w:val="0"/>
                      <w:szCs w:val="21"/>
                    </w:rPr>
                  </w:pPr>
                  <w:r>
                    <w:rPr>
                      <w:kern w:val="0"/>
                      <w:szCs w:val="21"/>
                    </w:rPr>
                    <w:t>256</w:t>
                  </w:r>
                </w:p>
              </w:tc>
            </w:tr>
          </w:tbl>
          <w:p w14:paraId="337A0371">
            <w:pPr>
              <w:spacing w:line="360" w:lineRule="auto"/>
              <w:ind w:firstLine="480"/>
              <w:rPr>
                <w:color w:val="000000"/>
                <w:sz w:val="24"/>
              </w:rPr>
            </w:pPr>
            <w:r>
              <w:rPr>
                <w:rFonts w:hint="eastAsia"/>
                <w:kern w:val="0"/>
                <w:sz w:val="24"/>
              </w:rPr>
              <w:t>监测结果表明，项目地的TSP指标达到</w:t>
            </w:r>
            <w:r>
              <w:rPr>
                <w:kern w:val="0"/>
                <w:sz w:val="24"/>
              </w:rPr>
              <w:t>《环境空气质量标准》（GB3095-2012）中二级标准要求</w:t>
            </w:r>
            <w:r>
              <w:rPr>
                <w:rFonts w:hint="eastAsia"/>
                <w:kern w:val="0"/>
                <w:sz w:val="24"/>
              </w:rPr>
              <w:t>。</w:t>
            </w:r>
          </w:p>
          <w:p w14:paraId="6AE2CB35">
            <w:pPr>
              <w:spacing w:line="360" w:lineRule="auto"/>
              <w:rPr>
                <w:b/>
                <w:bCs/>
                <w:color w:val="000000"/>
                <w:sz w:val="24"/>
                <w:szCs w:val="32"/>
              </w:rPr>
            </w:pPr>
            <w:r>
              <w:rPr>
                <w:b/>
                <w:bCs/>
                <w:color w:val="000000"/>
                <w:sz w:val="24"/>
                <w:szCs w:val="32"/>
              </w:rPr>
              <w:t>2、地表水环境质量状况</w:t>
            </w:r>
          </w:p>
          <w:p w14:paraId="199AA332">
            <w:pPr>
              <w:spacing w:line="360" w:lineRule="auto"/>
              <w:ind w:firstLine="480" w:firstLineChars="200"/>
              <w:rPr>
                <w:sz w:val="24"/>
                <w:szCs w:val="32"/>
              </w:rPr>
            </w:pPr>
            <w:r>
              <w:rPr>
                <w:rFonts w:hint="eastAsia"/>
                <w:sz w:val="24"/>
                <w:szCs w:val="32"/>
              </w:rPr>
              <w:t>本项目涉及的地表水为引水沟、新汴河。项目地表水数据</w:t>
            </w:r>
            <w:r>
              <w:rPr>
                <w:sz w:val="24"/>
                <w:szCs w:val="32"/>
              </w:rPr>
              <w:t>引用</w:t>
            </w:r>
            <w:r>
              <w:rPr>
                <w:rFonts w:hint="eastAsia"/>
                <w:sz w:val="24"/>
                <w:szCs w:val="32"/>
              </w:rPr>
              <w:t>《</w:t>
            </w:r>
            <w:r>
              <w:rPr>
                <w:sz w:val="24"/>
                <w:szCs w:val="32"/>
              </w:rPr>
              <w:t>宿州绿农实业发展有限公司</w:t>
            </w:r>
            <w:r>
              <w:rPr>
                <w:rFonts w:hint="eastAsia"/>
                <w:sz w:val="24"/>
                <w:szCs w:val="32"/>
              </w:rPr>
              <w:t>宿州绿色农产品精深加工产业园项目环境质量现状监测》</w:t>
            </w:r>
            <w:r>
              <w:rPr>
                <w:sz w:val="24"/>
                <w:szCs w:val="32"/>
              </w:rPr>
              <w:t>，</w:t>
            </w:r>
            <w:r>
              <w:rPr>
                <w:rFonts w:hint="eastAsia"/>
                <w:sz w:val="24"/>
                <w:szCs w:val="32"/>
              </w:rPr>
              <w:t>监测时间为</w:t>
            </w:r>
            <w:r>
              <w:rPr>
                <w:sz w:val="24"/>
                <w:szCs w:val="32"/>
              </w:rPr>
              <w:t>202</w:t>
            </w:r>
            <w:r>
              <w:rPr>
                <w:rFonts w:hint="eastAsia"/>
                <w:sz w:val="24"/>
                <w:szCs w:val="32"/>
              </w:rPr>
              <w:t>3</w:t>
            </w:r>
            <w:r>
              <w:rPr>
                <w:sz w:val="24"/>
                <w:szCs w:val="32"/>
              </w:rPr>
              <w:t>年</w:t>
            </w:r>
            <w:r>
              <w:rPr>
                <w:rFonts w:hint="eastAsia"/>
                <w:sz w:val="24"/>
                <w:szCs w:val="32"/>
              </w:rPr>
              <w:t>7</w:t>
            </w:r>
            <w:r>
              <w:rPr>
                <w:sz w:val="24"/>
                <w:szCs w:val="32"/>
              </w:rPr>
              <w:t>月</w:t>
            </w:r>
            <w:r>
              <w:rPr>
                <w:rFonts w:hint="eastAsia"/>
                <w:sz w:val="24"/>
                <w:szCs w:val="32"/>
              </w:rPr>
              <w:t>8</w:t>
            </w:r>
            <w:r>
              <w:rPr>
                <w:sz w:val="24"/>
                <w:szCs w:val="32"/>
              </w:rPr>
              <w:t>日～</w:t>
            </w:r>
            <w:r>
              <w:rPr>
                <w:rFonts w:hint="eastAsia"/>
                <w:sz w:val="24"/>
                <w:szCs w:val="32"/>
              </w:rPr>
              <w:t>7</w:t>
            </w:r>
            <w:r>
              <w:rPr>
                <w:sz w:val="24"/>
                <w:szCs w:val="32"/>
              </w:rPr>
              <w:t>月</w:t>
            </w:r>
            <w:r>
              <w:rPr>
                <w:rFonts w:hint="eastAsia"/>
                <w:sz w:val="24"/>
                <w:szCs w:val="32"/>
              </w:rPr>
              <w:t>10</w:t>
            </w:r>
            <w:r>
              <w:rPr>
                <w:sz w:val="24"/>
                <w:szCs w:val="32"/>
              </w:rPr>
              <w:t>日。</w:t>
            </w:r>
          </w:p>
          <w:p w14:paraId="5C738137">
            <w:pPr>
              <w:spacing w:line="360" w:lineRule="auto"/>
              <w:ind w:firstLine="480" w:firstLineChars="200"/>
              <w:rPr>
                <w:sz w:val="24"/>
                <w:szCs w:val="32"/>
              </w:rPr>
            </w:pPr>
            <w:r>
              <w:rPr>
                <w:rFonts w:hint="eastAsia"/>
                <w:sz w:val="24"/>
                <w:szCs w:val="32"/>
              </w:rPr>
              <w:t>（1）</w:t>
            </w:r>
            <w:r>
              <w:rPr>
                <w:sz w:val="24"/>
                <w:szCs w:val="32"/>
              </w:rPr>
              <w:t>调查时期</w:t>
            </w:r>
          </w:p>
          <w:p w14:paraId="563102D4">
            <w:pPr>
              <w:spacing w:line="360" w:lineRule="auto"/>
              <w:ind w:firstLine="480" w:firstLineChars="200"/>
              <w:rPr>
                <w:sz w:val="24"/>
                <w:szCs w:val="32"/>
              </w:rPr>
            </w:pPr>
            <w:r>
              <w:rPr>
                <w:rFonts w:hAnsi="宋体"/>
                <w:sz w:val="24"/>
                <w:szCs w:val="32"/>
              </w:rPr>
              <w:t>本次地表水水</w:t>
            </w:r>
            <w:r>
              <w:rPr>
                <w:sz w:val="24"/>
                <w:szCs w:val="32"/>
              </w:rPr>
              <w:t>质监测只调查一期</w:t>
            </w:r>
            <w:r>
              <w:rPr>
                <w:rFonts w:hint="eastAsia"/>
                <w:sz w:val="24"/>
                <w:szCs w:val="32"/>
              </w:rPr>
              <w:t>，</w:t>
            </w:r>
            <w:r>
              <w:rPr>
                <w:sz w:val="24"/>
                <w:szCs w:val="32"/>
              </w:rPr>
              <w:t>连续监测</w:t>
            </w:r>
            <w:r>
              <w:rPr>
                <w:rFonts w:hint="eastAsia"/>
                <w:sz w:val="24"/>
                <w:szCs w:val="32"/>
              </w:rPr>
              <w:t>3</w:t>
            </w:r>
            <w:r>
              <w:rPr>
                <w:sz w:val="24"/>
                <w:szCs w:val="32"/>
              </w:rPr>
              <w:t>天，每天监测一次。</w:t>
            </w:r>
          </w:p>
          <w:p w14:paraId="314675C7">
            <w:pPr>
              <w:spacing w:line="360" w:lineRule="auto"/>
              <w:ind w:firstLine="480" w:firstLineChars="200"/>
              <w:rPr>
                <w:sz w:val="24"/>
                <w:szCs w:val="32"/>
              </w:rPr>
            </w:pPr>
            <w:r>
              <w:rPr>
                <w:rFonts w:hint="eastAsia"/>
                <w:sz w:val="24"/>
                <w:szCs w:val="32"/>
              </w:rPr>
              <w:t>（2）</w:t>
            </w:r>
            <w:r>
              <w:rPr>
                <w:sz w:val="24"/>
                <w:szCs w:val="32"/>
              </w:rPr>
              <w:t>监测项目</w:t>
            </w:r>
          </w:p>
          <w:p w14:paraId="7721294F">
            <w:pPr>
              <w:spacing w:line="360" w:lineRule="auto"/>
              <w:ind w:firstLine="480" w:firstLineChars="200"/>
              <w:rPr>
                <w:sz w:val="24"/>
                <w:szCs w:val="32"/>
              </w:rPr>
            </w:pPr>
            <w:r>
              <w:rPr>
                <w:sz w:val="24"/>
                <w:szCs w:val="32"/>
              </w:rPr>
              <w:t>监测因子</w:t>
            </w:r>
            <w:r>
              <w:rPr>
                <w:rFonts w:hint="eastAsia"/>
                <w:sz w:val="24"/>
                <w:szCs w:val="32"/>
              </w:rPr>
              <w:t>p</w:t>
            </w:r>
            <w:r>
              <w:rPr>
                <w:sz w:val="24"/>
                <w:szCs w:val="32"/>
              </w:rPr>
              <w:t>H</w:t>
            </w:r>
            <w:r>
              <w:rPr>
                <w:rFonts w:hint="eastAsia"/>
                <w:sz w:val="24"/>
                <w:szCs w:val="32"/>
              </w:rPr>
              <w:t>、C</w:t>
            </w:r>
            <w:r>
              <w:rPr>
                <w:sz w:val="24"/>
                <w:szCs w:val="32"/>
              </w:rPr>
              <w:t>OD</w:t>
            </w:r>
            <w:r>
              <w:rPr>
                <w:rFonts w:hint="eastAsia"/>
                <w:sz w:val="24"/>
                <w:szCs w:val="32"/>
              </w:rPr>
              <w:t>、B</w:t>
            </w:r>
            <w:r>
              <w:rPr>
                <w:sz w:val="24"/>
                <w:szCs w:val="32"/>
              </w:rPr>
              <w:t>OD</w:t>
            </w:r>
            <w:r>
              <w:rPr>
                <w:sz w:val="24"/>
                <w:szCs w:val="32"/>
                <w:vertAlign w:val="subscript"/>
              </w:rPr>
              <w:t>5</w:t>
            </w:r>
            <w:r>
              <w:rPr>
                <w:rFonts w:hint="eastAsia"/>
                <w:sz w:val="24"/>
                <w:szCs w:val="32"/>
              </w:rPr>
              <w:t>、氨氮、总磷、动植物油、L</w:t>
            </w:r>
            <w:r>
              <w:rPr>
                <w:sz w:val="24"/>
                <w:szCs w:val="32"/>
              </w:rPr>
              <w:t>AS</w:t>
            </w:r>
            <w:r>
              <w:rPr>
                <w:rFonts w:hint="eastAsia"/>
                <w:sz w:val="24"/>
                <w:szCs w:val="32"/>
              </w:rPr>
              <w:t>、粪大肠菌群</w:t>
            </w:r>
            <w:r>
              <w:rPr>
                <w:sz w:val="24"/>
                <w:szCs w:val="32"/>
              </w:rPr>
              <w:t>。</w:t>
            </w:r>
          </w:p>
          <w:p w14:paraId="4E3AA99E">
            <w:pPr>
              <w:spacing w:line="360" w:lineRule="auto"/>
              <w:ind w:firstLine="480" w:firstLineChars="200"/>
              <w:rPr>
                <w:sz w:val="24"/>
                <w:szCs w:val="32"/>
              </w:rPr>
            </w:pPr>
            <w:r>
              <w:rPr>
                <w:rFonts w:hint="eastAsia"/>
                <w:sz w:val="24"/>
                <w:szCs w:val="32"/>
              </w:rPr>
              <w:t>（3）</w:t>
            </w:r>
            <w:r>
              <w:rPr>
                <w:sz w:val="24"/>
                <w:szCs w:val="32"/>
              </w:rPr>
              <w:t>监测点布置</w:t>
            </w:r>
          </w:p>
          <w:p w14:paraId="3B89FE39">
            <w:pPr>
              <w:spacing w:line="360" w:lineRule="auto"/>
              <w:ind w:firstLine="480" w:firstLineChars="200"/>
              <w:rPr>
                <w:sz w:val="24"/>
                <w:szCs w:val="32"/>
              </w:rPr>
            </w:pPr>
            <w:r>
              <w:rPr>
                <w:sz w:val="24"/>
                <w:szCs w:val="32"/>
              </w:rPr>
              <w:t>根据本项目水系特点，同时考虑所在地的地形特点，本项目在</w:t>
            </w:r>
            <w:r>
              <w:rPr>
                <w:rFonts w:hint="eastAsia"/>
                <w:sz w:val="24"/>
                <w:szCs w:val="32"/>
              </w:rPr>
              <w:t>引水沟、新汴河</w:t>
            </w:r>
            <w:r>
              <w:rPr>
                <w:sz w:val="24"/>
                <w:szCs w:val="32"/>
              </w:rPr>
              <w:t>上共设5个监测断面</w:t>
            </w:r>
            <w:r>
              <w:rPr>
                <w:rFonts w:hint="eastAsia"/>
                <w:sz w:val="24"/>
                <w:szCs w:val="32"/>
              </w:rPr>
              <w:t>，</w:t>
            </w:r>
            <w:r>
              <w:rPr>
                <w:sz w:val="24"/>
                <w:szCs w:val="32"/>
              </w:rPr>
              <w:t>监测点布设情况见</w:t>
            </w:r>
            <w:r>
              <w:rPr>
                <w:rFonts w:hint="eastAsia"/>
                <w:sz w:val="24"/>
                <w:szCs w:val="32"/>
              </w:rPr>
              <w:t>下表</w:t>
            </w:r>
            <w:r>
              <w:rPr>
                <w:sz w:val="24"/>
                <w:szCs w:val="32"/>
              </w:rPr>
              <w:t>。</w:t>
            </w:r>
          </w:p>
          <w:p w14:paraId="37EA92CB">
            <w:pPr>
              <w:pStyle w:val="6"/>
              <w:rPr>
                <w:sz w:val="24"/>
                <w:szCs w:val="22"/>
              </w:rPr>
            </w:pPr>
            <w:r>
              <w:rPr>
                <w:rFonts w:hint="eastAsia"/>
                <w:sz w:val="24"/>
                <w:szCs w:val="22"/>
              </w:rPr>
              <w:t>表3-4  地表水环境质量现状监测断面一览表</w:t>
            </w:r>
          </w:p>
          <w:tbl>
            <w:tblPr>
              <w:tblStyle w:val="23"/>
              <w:tblW w:w="4995"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57" w:type="dxa"/>
                <w:bottom w:w="0" w:type="dxa"/>
                <w:right w:w="57" w:type="dxa"/>
              </w:tblCellMar>
            </w:tblPr>
            <w:tblGrid>
              <w:gridCol w:w="445"/>
              <w:gridCol w:w="736"/>
              <w:gridCol w:w="3508"/>
              <w:gridCol w:w="3395"/>
            </w:tblGrid>
            <w:tr w14:paraId="4761CF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63" w:hRule="atLeast"/>
                <w:jc w:val="center"/>
              </w:trPr>
              <w:tc>
                <w:tcPr>
                  <w:tcW w:w="275" w:type="pct"/>
                  <w:vAlign w:val="center"/>
                </w:tcPr>
                <w:p w14:paraId="3D0E5787">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序号</w:t>
                  </w:r>
                </w:p>
              </w:tc>
              <w:tc>
                <w:tcPr>
                  <w:tcW w:w="455" w:type="pct"/>
                  <w:vAlign w:val="center"/>
                </w:tcPr>
                <w:p w14:paraId="6A40B174">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水体名称</w:t>
                  </w:r>
                </w:p>
              </w:tc>
              <w:tc>
                <w:tcPr>
                  <w:tcW w:w="2169" w:type="pct"/>
                  <w:vAlign w:val="center"/>
                </w:tcPr>
                <w:p w14:paraId="4EE4A00F">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断面位置</w:t>
                  </w:r>
                </w:p>
              </w:tc>
              <w:tc>
                <w:tcPr>
                  <w:tcW w:w="2099" w:type="pct"/>
                  <w:vAlign w:val="center"/>
                </w:tcPr>
                <w:p w14:paraId="33DD2F06">
                  <w:pPr>
                    <w:pStyle w:val="34"/>
                    <w:adjustRightInd/>
                    <w:snapToGrid/>
                    <w:ind w:firstLine="0"/>
                    <w:jc w:val="center"/>
                    <w:rPr>
                      <w:rFonts w:ascii="Times New Roman" w:hAnsi="Times New Roman" w:eastAsia="宋体"/>
                      <w:szCs w:val="21"/>
                    </w:rPr>
                  </w:pPr>
                  <w:r>
                    <w:rPr>
                      <w:rFonts w:ascii="Times New Roman" w:hAnsi="Times New Roman" w:eastAsia="宋体" w:cs="Times New Roman"/>
                      <w:w w:val="100"/>
                      <w:kern w:val="0"/>
                      <w:szCs w:val="22"/>
                      <w:lang w:bidi="ar"/>
                    </w:rPr>
                    <w:t>监测项目</w:t>
                  </w:r>
                </w:p>
              </w:tc>
            </w:tr>
            <w:tr w14:paraId="5850EB4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63" w:hRule="atLeast"/>
                <w:jc w:val="center"/>
              </w:trPr>
              <w:tc>
                <w:tcPr>
                  <w:tcW w:w="275" w:type="pct"/>
                  <w:vAlign w:val="center"/>
                </w:tcPr>
                <w:p w14:paraId="0E597EF5">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W1</w:t>
                  </w:r>
                </w:p>
              </w:tc>
              <w:tc>
                <w:tcPr>
                  <w:tcW w:w="455" w:type="pct"/>
                  <w:vMerge w:val="restart"/>
                  <w:vAlign w:val="center"/>
                </w:tcPr>
                <w:p w14:paraId="1A683E45">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引水沟</w:t>
                  </w:r>
                </w:p>
              </w:tc>
              <w:tc>
                <w:tcPr>
                  <w:tcW w:w="2169" w:type="pct"/>
                  <w:vAlign w:val="center"/>
                </w:tcPr>
                <w:p w14:paraId="2C299890">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项目上游500m</w:t>
                  </w:r>
                </w:p>
              </w:tc>
              <w:tc>
                <w:tcPr>
                  <w:tcW w:w="2099" w:type="pct"/>
                  <w:vMerge w:val="restart"/>
                  <w:vAlign w:val="center"/>
                </w:tcPr>
                <w:p w14:paraId="52CE8854">
                  <w:pPr>
                    <w:pStyle w:val="34"/>
                    <w:adjustRightInd/>
                    <w:snapToGrid/>
                    <w:ind w:firstLine="0"/>
                    <w:jc w:val="center"/>
                    <w:rPr>
                      <w:rFonts w:ascii="Times New Roman" w:hAnsi="Times New Roman" w:eastAsia="宋体"/>
                      <w:szCs w:val="21"/>
                    </w:rPr>
                  </w:pPr>
                  <w:r>
                    <w:rPr>
                      <w:rFonts w:ascii="Times New Roman" w:hAnsi="Times New Roman" w:eastAsia="宋体"/>
                      <w:w w:val="100"/>
                      <w:kern w:val="0"/>
                      <w:szCs w:val="22"/>
                      <w:lang w:bidi="ar"/>
                    </w:rPr>
                    <w:t>pH、COD、BOD5、氨氮、总磷、动植物油、LAS、粪大肠菌群</w:t>
                  </w:r>
                </w:p>
              </w:tc>
            </w:tr>
            <w:tr w14:paraId="350134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63" w:hRule="atLeast"/>
                <w:jc w:val="center"/>
              </w:trPr>
              <w:tc>
                <w:tcPr>
                  <w:tcW w:w="275" w:type="pct"/>
                  <w:vAlign w:val="center"/>
                </w:tcPr>
                <w:p w14:paraId="33602C03">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W2</w:t>
                  </w:r>
                </w:p>
              </w:tc>
              <w:tc>
                <w:tcPr>
                  <w:tcW w:w="455" w:type="pct"/>
                  <w:vMerge w:val="continue"/>
                  <w:vAlign w:val="center"/>
                </w:tcPr>
                <w:p w14:paraId="0B8541AA">
                  <w:pPr>
                    <w:pStyle w:val="34"/>
                    <w:adjustRightInd/>
                    <w:snapToGrid/>
                    <w:ind w:firstLine="0"/>
                    <w:jc w:val="center"/>
                    <w:rPr>
                      <w:rFonts w:ascii="Times New Roman" w:hAnsi="Times New Roman" w:eastAsia="宋体"/>
                      <w:w w:val="100"/>
                      <w:kern w:val="0"/>
                      <w:szCs w:val="22"/>
                      <w:lang w:bidi="ar"/>
                    </w:rPr>
                  </w:pPr>
                </w:p>
              </w:tc>
              <w:tc>
                <w:tcPr>
                  <w:tcW w:w="2169" w:type="pct"/>
                  <w:vAlign w:val="center"/>
                </w:tcPr>
                <w:p w14:paraId="1234D0AE">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项目下游500m</w:t>
                  </w:r>
                </w:p>
              </w:tc>
              <w:tc>
                <w:tcPr>
                  <w:tcW w:w="2099" w:type="pct"/>
                  <w:vMerge w:val="continue"/>
                  <w:vAlign w:val="center"/>
                </w:tcPr>
                <w:p w14:paraId="0F36665A">
                  <w:pPr>
                    <w:pStyle w:val="34"/>
                    <w:adjustRightInd/>
                    <w:snapToGrid/>
                    <w:ind w:firstLine="0"/>
                    <w:jc w:val="center"/>
                    <w:rPr>
                      <w:rFonts w:ascii="Times New Roman" w:hAnsi="Times New Roman" w:eastAsia="宋体"/>
                      <w:szCs w:val="21"/>
                    </w:rPr>
                  </w:pPr>
                </w:p>
              </w:tc>
            </w:tr>
            <w:tr w14:paraId="13F15F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63" w:hRule="atLeast"/>
                <w:jc w:val="center"/>
              </w:trPr>
              <w:tc>
                <w:tcPr>
                  <w:tcW w:w="275" w:type="pct"/>
                  <w:vAlign w:val="center"/>
                </w:tcPr>
                <w:p w14:paraId="0A4B0037">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W3</w:t>
                  </w:r>
                </w:p>
              </w:tc>
              <w:tc>
                <w:tcPr>
                  <w:tcW w:w="455" w:type="pct"/>
                  <w:vMerge w:val="continue"/>
                  <w:vAlign w:val="center"/>
                </w:tcPr>
                <w:p w14:paraId="7A53E76A">
                  <w:pPr>
                    <w:pStyle w:val="34"/>
                    <w:adjustRightInd/>
                    <w:snapToGrid/>
                    <w:ind w:firstLine="0"/>
                    <w:jc w:val="center"/>
                    <w:rPr>
                      <w:rFonts w:ascii="Times New Roman" w:hAnsi="Times New Roman" w:eastAsia="宋体"/>
                      <w:w w:val="100"/>
                      <w:kern w:val="0"/>
                      <w:szCs w:val="22"/>
                      <w:lang w:bidi="ar"/>
                    </w:rPr>
                  </w:pPr>
                </w:p>
              </w:tc>
              <w:tc>
                <w:tcPr>
                  <w:tcW w:w="2169" w:type="pct"/>
                  <w:vAlign w:val="center"/>
                </w:tcPr>
                <w:p w14:paraId="7FE1B880">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引水沟与新汴河交汇处</w:t>
                  </w:r>
                </w:p>
              </w:tc>
              <w:tc>
                <w:tcPr>
                  <w:tcW w:w="2099" w:type="pct"/>
                  <w:vMerge w:val="continue"/>
                  <w:vAlign w:val="center"/>
                </w:tcPr>
                <w:p w14:paraId="11701564">
                  <w:pPr>
                    <w:pStyle w:val="34"/>
                    <w:adjustRightInd/>
                    <w:snapToGrid/>
                    <w:ind w:firstLine="0"/>
                    <w:jc w:val="center"/>
                    <w:rPr>
                      <w:rFonts w:ascii="Times New Roman" w:hAnsi="Times New Roman" w:eastAsia="宋体"/>
                      <w:szCs w:val="21"/>
                    </w:rPr>
                  </w:pPr>
                </w:p>
              </w:tc>
            </w:tr>
          </w:tbl>
          <w:p w14:paraId="0B4F02B1">
            <w:pPr>
              <w:spacing w:line="360" w:lineRule="auto"/>
              <w:ind w:firstLine="480" w:firstLineChars="200"/>
              <w:rPr>
                <w:sz w:val="24"/>
                <w:szCs w:val="32"/>
              </w:rPr>
            </w:pPr>
            <w:r>
              <w:rPr>
                <w:rFonts w:hint="eastAsia"/>
                <w:sz w:val="24"/>
                <w:szCs w:val="32"/>
              </w:rPr>
              <w:t>2、现状监测结果</w:t>
            </w:r>
          </w:p>
          <w:p w14:paraId="7126ED8E">
            <w:pPr>
              <w:spacing w:line="360" w:lineRule="auto"/>
              <w:ind w:firstLine="480" w:firstLineChars="200"/>
              <w:rPr>
                <w:sz w:val="24"/>
                <w:szCs w:val="22"/>
              </w:rPr>
            </w:pPr>
            <w:r>
              <w:rPr>
                <w:rFonts w:hint="eastAsia"/>
                <w:sz w:val="24"/>
                <w:szCs w:val="32"/>
              </w:rPr>
              <w:t>（1）监测结果</w:t>
            </w:r>
          </w:p>
          <w:p w14:paraId="7D7455B2">
            <w:pPr>
              <w:pStyle w:val="6"/>
              <w:rPr>
                <w:sz w:val="24"/>
                <w:szCs w:val="22"/>
              </w:rPr>
            </w:pPr>
            <w:r>
              <w:rPr>
                <w:rFonts w:hint="eastAsia"/>
                <w:sz w:val="24"/>
                <w:szCs w:val="22"/>
              </w:rPr>
              <w:t>表3-5  地表水检测结果</w:t>
            </w:r>
          </w:p>
          <w:tbl>
            <w:tblPr>
              <w:tblStyle w:val="23"/>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52"/>
              <w:gridCol w:w="1583"/>
              <w:gridCol w:w="1227"/>
              <w:gridCol w:w="1205"/>
              <w:gridCol w:w="1205"/>
              <w:gridCol w:w="1412"/>
            </w:tblGrid>
            <w:tr w14:paraId="78F9D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98" w:type="pct"/>
                  <w:vMerge w:val="restart"/>
                  <w:vAlign w:val="center"/>
                </w:tcPr>
                <w:p w14:paraId="73088A44">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采样日期</w:t>
                  </w:r>
                </w:p>
              </w:tc>
              <w:tc>
                <w:tcPr>
                  <w:tcW w:w="979" w:type="pct"/>
                  <w:vMerge w:val="restart"/>
                  <w:vAlign w:val="center"/>
                </w:tcPr>
                <w:p w14:paraId="29AD559B">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检测项目</w:t>
                  </w:r>
                </w:p>
              </w:tc>
              <w:tc>
                <w:tcPr>
                  <w:tcW w:w="759" w:type="pct"/>
                  <w:vMerge w:val="restart"/>
                  <w:vAlign w:val="center"/>
                </w:tcPr>
                <w:p w14:paraId="79B9DB5E">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单位</w:t>
                  </w:r>
                </w:p>
              </w:tc>
              <w:tc>
                <w:tcPr>
                  <w:tcW w:w="2363" w:type="pct"/>
                  <w:gridSpan w:val="3"/>
                  <w:vAlign w:val="center"/>
                </w:tcPr>
                <w:p w14:paraId="21D36043">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检测点位</w:t>
                  </w:r>
                </w:p>
              </w:tc>
            </w:tr>
            <w:tr w14:paraId="62416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7" w:hRule="atLeast"/>
                <w:jc w:val="center"/>
              </w:trPr>
              <w:tc>
                <w:tcPr>
                  <w:tcW w:w="898" w:type="pct"/>
                  <w:vMerge w:val="continue"/>
                  <w:vAlign w:val="center"/>
                </w:tcPr>
                <w:p w14:paraId="6620AF54">
                  <w:pPr>
                    <w:pStyle w:val="34"/>
                    <w:adjustRightInd/>
                    <w:snapToGrid/>
                    <w:ind w:firstLine="0"/>
                    <w:jc w:val="center"/>
                    <w:rPr>
                      <w:rFonts w:ascii="Times New Roman" w:hAnsi="Times New Roman" w:eastAsia="宋体"/>
                      <w:w w:val="100"/>
                      <w:kern w:val="0"/>
                      <w:szCs w:val="22"/>
                      <w:lang w:bidi="ar"/>
                    </w:rPr>
                  </w:pPr>
                </w:p>
              </w:tc>
              <w:tc>
                <w:tcPr>
                  <w:tcW w:w="979" w:type="pct"/>
                  <w:vMerge w:val="continue"/>
                  <w:vAlign w:val="center"/>
                </w:tcPr>
                <w:p w14:paraId="0EF32992">
                  <w:pPr>
                    <w:pStyle w:val="34"/>
                    <w:adjustRightInd/>
                    <w:snapToGrid/>
                    <w:ind w:firstLine="0"/>
                    <w:jc w:val="center"/>
                    <w:rPr>
                      <w:rFonts w:ascii="Times New Roman" w:hAnsi="Times New Roman" w:eastAsia="宋体"/>
                      <w:w w:val="100"/>
                      <w:kern w:val="0"/>
                      <w:szCs w:val="22"/>
                      <w:lang w:bidi="ar"/>
                    </w:rPr>
                  </w:pPr>
                </w:p>
              </w:tc>
              <w:tc>
                <w:tcPr>
                  <w:tcW w:w="759" w:type="pct"/>
                  <w:vMerge w:val="continue"/>
                  <w:vAlign w:val="center"/>
                </w:tcPr>
                <w:p w14:paraId="218E89C7">
                  <w:pPr>
                    <w:pStyle w:val="34"/>
                    <w:adjustRightInd/>
                    <w:snapToGrid/>
                    <w:ind w:firstLine="0"/>
                    <w:jc w:val="center"/>
                    <w:rPr>
                      <w:rFonts w:ascii="Times New Roman" w:hAnsi="Times New Roman" w:eastAsia="宋体"/>
                      <w:w w:val="100"/>
                      <w:kern w:val="0"/>
                      <w:szCs w:val="22"/>
                      <w:lang w:bidi="ar"/>
                    </w:rPr>
                  </w:pPr>
                </w:p>
              </w:tc>
              <w:tc>
                <w:tcPr>
                  <w:tcW w:w="745" w:type="pct"/>
                  <w:vAlign w:val="center"/>
                </w:tcPr>
                <w:p w14:paraId="7448528F">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W1引水沟项目上游500m</w:t>
                  </w:r>
                </w:p>
              </w:tc>
              <w:tc>
                <w:tcPr>
                  <w:tcW w:w="745" w:type="pct"/>
                  <w:vAlign w:val="center"/>
                </w:tcPr>
                <w:p w14:paraId="15942BCB">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W2引水沟项目下游500m</w:t>
                  </w:r>
                </w:p>
              </w:tc>
              <w:tc>
                <w:tcPr>
                  <w:tcW w:w="872" w:type="pct"/>
                  <w:vAlign w:val="center"/>
                </w:tcPr>
                <w:p w14:paraId="7060B753">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W3引水沟与新汴河交汇处</w:t>
                  </w:r>
                </w:p>
              </w:tc>
            </w:tr>
            <w:tr w14:paraId="695143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98" w:type="pct"/>
                  <w:vMerge w:val="restart"/>
                  <w:vAlign w:val="center"/>
                </w:tcPr>
                <w:p w14:paraId="0237F812">
                  <w:pPr>
                    <w:pStyle w:val="34"/>
                    <w:adjustRightInd/>
                    <w:snapToGrid/>
                    <w:ind w:firstLine="0"/>
                    <w:jc w:val="center"/>
                    <w:rPr>
                      <w:rFonts w:ascii="Times New Roman" w:hAnsi="Times New Roman" w:eastAsia="宋体"/>
                      <w:w w:val="100"/>
                      <w:kern w:val="0"/>
                      <w:szCs w:val="22"/>
                      <w:lang w:eastAsia="zh-Hans" w:bidi="ar"/>
                    </w:rPr>
                  </w:pPr>
                  <w:r>
                    <w:rPr>
                      <w:rFonts w:ascii="Times New Roman" w:hAnsi="Times New Roman" w:eastAsia="宋体"/>
                      <w:w w:val="100"/>
                      <w:kern w:val="0"/>
                      <w:szCs w:val="22"/>
                      <w:lang w:bidi="ar"/>
                    </w:rPr>
                    <w:t>2023.07.08</w:t>
                  </w:r>
                </w:p>
              </w:tc>
              <w:tc>
                <w:tcPr>
                  <w:tcW w:w="979" w:type="pct"/>
                  <w:vAlign w:val="center"/>
                </w:tcPr>
                <w:p w14:paraId="383480CA">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pH</w:t>
                  </w:r>
                </w:p>
              </w:tc>
              <w:tc>
                <w:tcPr>
                  <w:tcW w:w="759" w:type="pct"/>
                  <w:vAlign w:val="center"/>
                </w:tcPr>
                <w:p w14:paraId="513D8C57">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无量纲</w:t>
                  </w:r>
                </w:p>
              </w:tc>
              <w:tc>
                <w:tcPr>
                  <w:tcW w:w="745" w:type="pct"/>
                  <w:vAlign w:val="center"/>
                </w:tcPr>
                <w:p w14:paraId="413DD6F9">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7.5</w:t>
                  </w:r>
                </w:p>
              </w:tc>
              <w:tc>
                <w:tcPr>
                  <w:tcW w:w="745" w:type="pct"/>
                  <w:vAlign w:val="center"/>
                </w:tcPr>
                <w:p w14:paraId="7C6CE179">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7.4</w:t>
                  </w:r>
                </w:p>
              </w:tc>
              <w:tc>
                <w:tcPr>
                  <w:tcW w:w="872" w:type="pct"/>
                  <w:vAlign w:val="center"/>
                </w:tcPr>
                <w:p w14:paraId="7812E90C">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7.2</w:t>
                  </w:r>
                </w:p>
              </w:tc>
            </w:tr>
            <w:tr w14:paraId="3A4907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98" w:type="pct"/>
                  <w:vMerge w:val="continue"/>
                  <w:vAlign w:val="center"/>
                </w:tcPr>
                <w:p w14:paraId="6DA7C4F8">
                  <w:pPr>
                    <w:pStyle w:val="34"/>
                    <w:adjustRightInd/>
                    <w:snapToGrid/>
                    <w:ind w:firstLine="0"/>
                    <w:jc w:val="center"/>
                    <w:rPr>
                      <w:rFonts w:ascii="Times New Roman" w:hAnsi="Times New Roman" w:eastAsia="宋体"/>
                      <w:w w:val="100"/>
                      <w:kern w:val="0"/>
                      <w:szCs w:val="22"/>
                      <w:lang w:bidi="ar"/>
                    </w:rPr>
                  </w:pPr>
                </w:p>
              </w:tc>
              <w:tc>
                <w:tcPr>
                  <w:tcW w:w="979" w:type="pct"/>
                  <w:vAlign w:val="center"/>
                </w:tcPr>
                <w:p w14:paraId="583C512F">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水温</w:t>
                  </w:r>
                </w:p>
              </w:tc>
              <w:tc>
                <w:tcPr>
                  <w:tcW w:w="759" w:type="pct"/>
                  <w:vAlign w:val="center"/>
                </w:tcPr>
                <w:p w14:paraId="1D0351EA">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w:t>
                  </w:r>
                </w:p>
              </w:tc>
              <w:tc>
                <w:tcPr>
                  <w:tcW w:w="745" w:type="pct"/>
                  <w:vAlign w:val="center"/>
                </w:tcPr>
                <w:p w14:paraId="236A4FAF">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27.2</w:t>
                  </w:r>
                </w:p>
              </w:tc>
              <w:tc>
                <w:tcPr>
                  <w:tcW w:w="745" w:type="pct"/>
                  <w:vAlign w:val="center"/>
                </w:tcPr>
                <w:p w14:paraId="407F9F9A">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27.4</w:t>
                  </w:r>
                </w:p>
              </w:tc>
              <w:tc>
                <w:tcPr>
                  <w:tcW w:w="872" w:type="pct"/>
                  <w:vAlign w:val="center"/>
                </w:tcPr>
                <w:p w14:paraId="7B1AA52B">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26.8</w:t>
                  </w:r>
                </w:p>
              </w:tc>
            </w:tr>
            <w:tr w14:paraId="6BFF3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98" w:type="pct"/>
                  <w:vMerge w:val="continue"/>
                  <w:vAlign w:val="center"/>
                </w:tcPr>
                <w:p w14:paraId="1EC3857F">
                  <w:pPr>
                    <w:pStyle w:val="34"/>
                    <w:adjustRightInd/>
                    <w:snapToGrid/>
                    <w:ind w:firstLine="0"/>
                    <w:jc w:val="center"/>
                    <w:rPr>
                      <w:rFonts w:ascii="Times New Roman" w:hAnsi="Times New Roman" w:eastAsia="宋体"/>
                      <w:w w:val="100"/>
                      <w:kern w:val="0"/>
                      <w:szCs w:val="22"/>
                      <w:lang w:bidi="ar"/>
                    </w:rPr>
                  </w:pPr>
                </w:p>
              </w:tc>
              <w:tc>
                <w:tcPr>
                  <w:tcW w:w="979" w:type="pct"/>
                  <w:vAlign w:val="center"/>
                </w:tcPr>
                <w:p w14:paraId="4DE508CA">
                  <w:pPr>
                    <w:pStyle w:val="34"/>
                    <w:adjustRightInd/>
                    <w:snapToGrid/>
                    <w:ind w:firstLine="0"/>
                    <w:jc w:val="center"/>
                    <w:rPr>
                      <w:rFonts w:ascii="Times New Roman" w:hAnsi="Times New Roman" w:eastAsia="宋体"/>
                      <w:w w:val="100"/>
                      <w:kern w:val="0"/>
                      <w:szCs w:val="22"/>
                      <w:lang w:eastAsia="zh-Hans" w:bidi="ar"/>
                    </w:rPr>
                  </w:pPr>
                  <w:r>
                    <w:rPr>
                      <w:rFonts w:ascii="Times New Roman" w:hAnsi="Times New Roman" w:eastAsia="宋体"/>
                      <w:w w:val="100"/>
                      <w:kern w:val="0"/>
                      <w:szCs w:val="22"/>
                      <w:lang w:bidi="ar"/>
                    </w:rPr>
                    <w:t>化学需氧量</w:t>
                  </w:r>
                </w:p>
              </w:tc>
              <w:tc>
                <w:tcPr>
                  <w:tcW w:w="759" w:type="pct"/>
                  <w:vAlign w:val="center"/>
                </w:tcPr>
                <w:p w14:paraId="668F1B4D">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mg/L</w:t>
                  </w:r>
                </w:p>
              </w:tc>
              <w:tc>
                <w:tcPr>
                  <w:tcW w:w="745" w:type="pct"/>
                  <w:vAlign w:val="center"/>
                </w:tcPr>
                <w:p w14:paraId="1B1744B9">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18</w:t>
                  </w:r>
                </w:p>
              </w:tc>
              <w:tc>
                <w:tcPr>
                  <w:tcW w:w="745" w:type="pct"/>
                  <w:vAlign w:val="center"/>
                </w:tcPr>
                <w:p w14:paraId="66B42853">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17</w:t>
                  </w:r>
                </w:p>
              </w:tc>
              <w:tc>
                <w:tcPr>
                  <w:tcW w:w="872" w:type="pct"/>
                  <w:vAlign w:val="center"/>
                </w:tcPr>
                <w:p w14:paraId="287BDE0E">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17</w:t>
                  </w:r>
                </w:p>
              </w:tc>
            </w:tr>
            <w:tr w14:paraId="658F3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98" w:type="pct"/>
                  <w:vMerge w:val="continue"/>
                  <w:vAlign w:val="center"/>
                </w:tcPr>
                <w:p w14:paraId="38CF6379">
                  <w:pPr>
                    <w:pStyle w:val="34"/>
                    <w:adjustRightInd/>
                    <w:snapToGrid/>
                    <w:ind w:firstLine="0"/>
                    <w:jc w:val="center"/>
                    <w:rPr>
                      <w:rFonts w:ascii="Times New Roman" w:hAnsi="Times New Roman" w:eastAsia="宋体"/>
                      <w:w w:val="100"/>
                      <w:kern w:val="0"/>
                      <w:szCs w:val="22"/>
                      <w:lang w:bidi="ar"/>
                    </w:rPr>
                  </w:pPr>
                </w:p>
              </w:tc>
              <w:tc>
                <w:tcPr>
                  <w:tcW w:w="979" w:type="pct"/>
                  <w:vAlign w:val="center"/>
                </w:tcPr>
                <w:p w14:paraId="0727F918">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五日生化需氧量</w:t>
                  </w:r>
                </w:p>
              </w:tc>
              <w:tc>
                <w:tcPr>
                  <w:tcW w:w="759" w:type="pct"/>
                  <w:vAlign w:val="center"/>
                </w:tcPr>
                <w:p w14:paraId="238BC2EB">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mg/L</w:t>
                  </w:r>
                </w:p>
              </w:tc>
              <w:tc>
                <w:tcPr>
                  <w:tcW w:w="745" w:type="pct"/>
                  <w:vAlign w:val="center"/>
                </w:tcPr>
                <w:p w14:paraId="43C189DD">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3.8</w:t>
                  </w:r>
                </w:p>
              </w:tc>
              <w:tc>
                <w:tcPr>
                  <w:tcW w:w="745" w:type="pct"/>
                  <w:vAlign w:val="center"/>
                </w:tcPr>
                <w:p w14:paraId="72D2AA9D">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3.6</w:t>
                  </w:r>
                </w:p>
              </w:tc>
              <w:tc>
                <w:tcPr>
                  <w:tcW w:w="872" w:type="pct"/>
                  <w:vAlign w:val="center"/>
                </w:tcPr>
                <w:p w14:paraId="16E8463E">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3.5</w:t>
                  </w:r>
                </w:p>
              </w:tc>
            </w:tr>
            <w:tr w14:paraId="7CC676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98" w:type="pct"/>
                  <w:vMerge w:val="continue"/>
                  <w:vAlign w:val="center"/>
                </w:tcPr>
                <w:p w14:paraId="41BA4E04">
                  <w:pPr>
                    <w:pStyle w:val="34"/>
                    <w:adjustRightInd/>
                    <w:snapToGrid/>
                    <w:ind w:firstLine="0"/>
                    <w:jc w:val="center"/>
                    <w:rPr>
                      <w:rFonts w:ascii="Times New Roman" w:hAnsi="Times New Roman" w:eastAsia="宋体"/>
                      <w:w w:val="100"/>
                      <w:kern w:val="0"/>
                      <w:szCs w:val="22"/>
                      <w:lang w:bidi="ar"/>
                    </w:rPr>
                  </w:pPr>
                </w:p>
              </w:tc>
              <w:tc>
                <w:tcPr>
                  <w:tcW w:w="979" w:type="pct"/>
                  <w:vAlign w:val="center"/>
                </w:tcPr>
                <w:p w14:paraId="234FD176">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阴离子表面活性剂</w:t>
                  </w:r>
                </w:p>
              </w:tc>
              <w:tc>
                <w:tcPr>
                  <w:tcW w:w="759" w:type="pct"/>
                  <w:vAlign w:val="center"/>
                </w:tcPr>
                <w:p w14:paraId="482365D2">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mg/L</w:t>
                  </w:r>
                </w:p>
              </w:tc>
              <w:tc>
                <w:tcPr>
                  <w:tcW w:w="745" w:type="pct"/>
                  <w:vAlign w:val="center"/>
                </w:tcPr>
                <w:p w14:paraId="11060DD9">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ND</w:t>
                  </w:r>
                </w:p>
              </w:tc>
              <w:tc>
                <w:tcPr>
                  <w:tcW w:w="745" w:type="pct"/>
                  <w:vAlign w:val="center"/>
                </w:tcPr>
                <w:p w14:paraId="304DE82B">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ND</w:t>
                  </w:r>
                </w:p>
              </w:tc>
              <w:tc>
                <w:tcPr>
                  <w:tcW w:w="872" w:type="pct"/>
                  <w:vAlign w:val="center"/>
                </w:tcPr>
                <w:p w14:paraId="37D08526">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ND</w:t>
                  </w:r>
                </w:p>
              </w:tc>
            </w:tr>
            <w:tr w14:paraId="2245E5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98" w:type="pct"/>
                  <w:vMerge w:val="continue"/>
                  <w:vAlign w:val="center"/>
                </w:tcPr>
                <w:p w14:paraId="64B07C8E">
                  <w:pPr>
                    <w:pStyle w:val="34"/>
                    <w:adjustRightInd/>
                    <w:snapToGrid/>
                    <w:ind w:firstLine="0"/>
                    <w:jc w:val="center"/>
                    <w:rPr>
                      <w:rFonts w:ascii="Times New Roman" w:hAnsi="Times New Roman" w:eastAsia="宋体"/>
                      <w:w w:val="100"/>
                      <w:kern w:val="0"/>
                      <w:szCs w:val="22"/>
                      <w:lang w:bidi="ar"/>
                    </w:rPr>
                  </w:pPr>
                </w:p>
              </w:tc>
              <w:tc>
                <w:tcPr>
                  <w:tcW w:w="979" w:type="pct"/>
                  <w:vAlign w:val="center"/>
                </w:tcPr>
                <w:p w14:paraId="61A7361D">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氨氮</w:t>
                  </w:r>
                </w:p>
              </w:tc>
              <w:tc>
                <w:tcPr>
                  <w:tcW w:w="759" w:type="pct"/>
                  <w:vAlign w:val="center"/>
                </w:tcPr>
                <w:p w14:paraId="66D3F144">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mg/L</w:t>
                  </w:r>
                </w:p>
              </w:tc>
              <w:tc>
                <w:tcPr>
                  <w:tcW w:w="745" w:type="pct"/>
                  <w:vAlign w:val="center"/>
                </w:tcPr>
                <w:p w14:paraId="6BDBABC5">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0.537</w:t>
                  </w:r>
                </w:p>
              </w:tc>
              <w:tc>
                <w:tcPr>
                  <w:tcW w:w="745" w:type="pct"/>
                  <w:vAlign w:val="center"/>
                </w:tcPr>
                <w:p w14:paraId="65599E3F">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0.644</w:t>
                  </w:r>
                </w:p>
              </w:tc>
              <w:tc>
                <w:tcPr>
                  <w:tcW w:w="872" w:type="pct"/>
                  <w:vAlign w:val="center"/>
                </w:tcPr>
                <w:p w14:paraId="3A18D67E">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0.472</w:t>
                  </w:r>
                </w:p>
              </w:tc>
            </w:tr>
            <w:tr w14:paraId="56D72D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98" w:type="pct"/>
                  <w:vMerge w:val="continue"/>
                  <w:vAlign w:val="center"/>
                </w:tcPr>
                <w:p w14:paraId="6E7F6E85">
                  <w:pPr>
                    <w:pStyle w:val="34"/>
                    <w:adjustRightInd/>
                    <w:snapToGrid/>
                    <w:ind w:firstLine="0"/>
                    <w:jc w:val="center"/>
                    <w:rPr>
                      <w:rFonts w:ascii="Times New Roman" w:hAnsi="Times New Roman" w:eastAsia="宋体"/>
                      <w:w w:val="100"/>
                      <w:kern w:val="0"/>
                      <w:szCs w:val="22"/>
                      <w:lang w:bidi="ar"/>
                    </w:rPr>
                  </w:pPr>
                </w:p>
              </w:tc>
              <w:tc>
                <w:tcPr>
                  <w:tcW w:w="979" w:type="pct"/>
                  <w:vAlign w:val="center"/>
                </w:tcPr>
                <w:p w14:paraId="29BFE20C">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总磷</w:t>
                  </w:r>
                </w:p>
              </w:tc>
              <w:tc>
                <w:tcPr>
                  <w:tcW w:w="759" w:type="pct"/>
                  <w:vAlign w:val="center"/>
                </w:tcPr>
                <w:p w14:paraId="414FB868">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mg/L</w:t>
                  </w:r>
                </w:p>
              </w:tc>
              <w:tc>
                <w:tcPr>
                  <w:tcW w:w="745" w:type="pct"/>
                  <w:vAlign w:val="center"/>
                </w:tcPr>
                <w:p w14:paraId="2A6243A7">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0.09</w:t>
                  </w:r>
                </w:p>
              </w:tc>
              <w:tc>
                <w:tcPr>
                  <w:tcW w:w="745" w:type="pct"/>
                  <w:vAlign w:val="center"/>
                </w:tcPr>
                <w:p w14:paraId="16CA174A">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0.12</w:t>
                  </w:r>
                </w:p>
              </w:tc>
              <w:tc>
                <w:tcPr>
                  <w:tcW w:w="872" w:type="pct"/>
                  <w:vAlign w:val="center"/>
                </w:tcPr>
                <w:p w14:paraId="61EC3F82">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0.05</w:t>
                  </w:r>
                </w:p>
              </w:tc>
            </w:tr>
            <w:tr w14:paraId="638DC5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98" w:type="pct"/>
                  <w:vMerge w:val="continue"/>
                  <w:vAlign w:val="center"/>
                </w:tcPr>
                <w:p w14:paraId="17EC6E97">
                  <w:pPr>
                    <w:pStyle w:val="34"/>
                    <w:adjustRightInd/>
                    <w:snapToGrid/>
                    <w:ind w:firstLine="0"/>
                    <w:jc w:val="center"/>
                    <w:rPr>
                      <w:rFonts w:ascii="Times New Roman" w:hAnsi="Times New Roman" w:eastAsia="宋体"/>
                      <w:w w:val="100"/>
                      <w:kern w:val="0"/>
                      <w:szCs w:val="22"/>
                      <w:lang w:bidi="ar"/>
                    </w:rPr>
                  </w:pPr>
                </w:p>
              </w:tc>
              <w:tc>
                <w:tcPr>
                  <w:tcW w:w="979" w:type="pct"/>
                  <w:vAlign w:val="center"/>
                </w:tcPr>
                <w:p w14:paraId="645B5186">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石油类</w:t>
                  </w:r>
                </w:p>
              </w:tc>
              <w:tc>
                <w:tcPr>
                  <w:tcW w:w="759" w:type="pct"/>
                  <w:vAlign w:val="center"/>
                </w:tcPr>
                <w:p w14:paraId="1E536423">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mg/L</w:t>
                  </w:r>
                </w:p>
              </w:tc>
              <w:tc>
                <w:tcPr>
                  <w:tcW w:w="745" w:type="pct"/>
                  <w:vAlign w:val="center"/>
                </w:tcPr>
                <w:p w14:paraId="0035601F">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0.03</w:t>
                  </w:r>
                </w:p>
              </w:tc>
              <w:tc>
                <w:tcPr>
                  <w:tcW w:w="745" w:type="pct"/>
                  <w:vAlign w:val="center"/>
                </w:tcPr>
                <w:p w14:paraId="1AB52ABA">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0.04</w:t>
                  </w:r>
                </w:p>
              </w:tc>
              <w:tc>
                <w:tcPr>
                  <w:tcW w:w="872" w:type="pct"/>
                  <w:vAlign w:val="center"/>
                </w:tcPr>
                <w:p w14:paraId="3334F485">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0.03</w:t>
                  </w:r>
                </w:p>
              </w:tc>
            </w:tr>
            <w:tr w14:paraId="5B803E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98" w:type="pct"/>
                  <w:vMerge w:val="continue"/>
                  <w:vAlign w:val="center"/>
                </w:tcPr>
                <w:p w14:paraId="50CB8F67">
                  <w:pPr>
                    <w:pStyle w:val="34"/>
                    <w:ind w:firstLine="0"/>
                    <w:jc w:val="center"/>
                    <w:rPr>
                      <w:rFonts w:ascii="Times New Roman" w:hAnsi="Times New Roman" w:eastAsia="宋体"/>
                    </w:rPr>
                  </w:pPr>
                </w:p>
              </w:tc>
              <w:tc>
                <w:tcPr>
                  <w:tcW w:w="979" w:type="pct"/>
                  <w:vAlign w:val="center"/>
                </w:tcPr>
                <w:p w14:paraId="2C494CAB">
                  <w:pPr>
                    <w:pStyle w:val="34"/>
                    <w:adjustRightInd/>
                    <w:snapToGrid/>
                    <w:ind w:firstLine="0"/>
                    <w:jc w:val="center"/>
                    <w:rPr>
                      <w:rFonts w:ascii="Times New Roman" w:hAnsi="Times New Roman" w:eastAsia="宋体"/>
                      <w:kern w:val="0"/>
                      <w:lang w:bidi="ar"/>
                    </w:rPr>
                  </w:pPr>
                  <w:r>
                    <w:rPr>
                      <w:rFonts w:ascii="Times New Roman" w:hAnsi="Times New Roman" w:eastAsia="宋体"/>
                      <w:w w:val="100"/>
                      <w:kern w:val="0"/>
                      <w:szCs w:val="22"/>
                      <w:lang w:bidi="ar"/>
                    </w:rPr>
                    <w:t>粪大肠菌群</w:t>
                  </w:r>
                </w:p>
              </w:tc>
              <w:tc>
                <w:tcPr>
                  <w:tcW w:w="759" w:type="pct"/>
                  <w:vAlign w:val="center"/>
                </w:tcPr>
                <w:p w14:paraId="130F0554">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MPN/L</w:t>
                  </w:r>
                </w:p>
              </w:tc>
              <w:tc>
                <w:tcPr>
                  <w:tcW w:w="745" w:type="pct"/>
                  <w:vAlign w:val="center"/>
                </w:tcPr>
                <w:p w14:paraId="424C2CC0">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0.2×10</w:t>
                  </w:r>
                  <w:r>
                    <w:rPr>
                      <w:rFonts w:ascii="Times New Roman" w:hAnsi="Times New Roman" w:eastAsia="宋体"/>
                      <w:w w:val="100"/>
                      <w:kern w:val="0"/>
                      <w:szCs w:val="22"/>
                      <w:vertAlign w:val="superscript"/>
                      <w:lang w:bidi="ar"/>
                    </w:rPr>
                    <w:t>2</w:t>
                  </w:r>
                </w:p>
              </w:tc>
              <w:tc>
                <w:tcPr>
                  <w:tcW w:w="745" w:type="pct"/>
                  <w:vAlign w:val="center"/>
                </w:tcPr>
                <w:p w14:paraId="7F5D954B">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0.2×10</w:t>
                  </w:r>
                  <w:r>
                    <w:rPr>
                      <w:rFonts w:ascii="Times New Roman" w:hAnsi="Times New Roman" w:eastAsia="宋体"/>
                      <w:w w:val="100"/>
                      <w:kern w:val="0"/>
                      <w:szCs w:val="22"/>
                      <w:vertAlign w:val="superscript"/>
                      <w:lang w:bidi="ar"/>
                    </w:rPr>
                    <w:t>2</w:t>
                  </w:r>
                </w:p>
              </w:tc>
              <w:tc>
                <w:tcPr>
                  <w:tcW w:w="872" w:type="pct"/>
                  <w:vAlign w:val="center"/>
                </w:tcPr>
                <w:p w14:paraId="44354C64">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0.2×10</w:t>
                  </w:r>
                  <w:r>
                    <w:rPr>
                      <w:rFonts w:ascii="Times New Roman" w:hAnsi="Times New Roman" w:eastAsia="宋体"/>
                      <w:w w:val="100"/>
                      <w:kern w:val="0"/>
                      <w:szCs w:val="22"/>
                      <w:vertAlign w:val="superscript"/>
                      <w:lang w:bidi="ar"/>
                    </w:rPr>
                    <w:t>2</w:t>
                  </w:r>
                </w:p>
              </w:tc>
            </w:tr>
            <w:tr w14:paraId="2F40E4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98" w:type="pct"/>
                  <w:vMerge w:val="restart"/>
                  <w:vAlign w:val="center"/>
                </w:tcPr>
                <w:p w14:paraId="61F4900F">
                  <w:pPr>
                    <w:pStyle w:val="34"/>
                    <w:adjustRightInd/>
                    <w:snapToGrid/>
                    <w:ind w:firstLine="0"/>
                    <w:jc w:val="center"/>
                    <w:rPr>
                      <w:rFonts w:ascii="Times New Roman" w:hAnsi="Times New Roman" w:eastAsia="宋体"/>
                      <w:w w:val="100"/>
                      <w:kern w:val="0"/>
                      <w:szCs w:val="22"/>
                      <w:lang w:eastAsia="zh-Hans" w:bidi="ar"/>
                    </w:rPr>
                  </w:pPr>
                  <w:r>
                    <w:rPr>
                      <w:rFonts w:ascii="Times New Roman" w:hAnsi="Times New Roman" w:eastAsia="宋体"/>
                      <w:w w:val="100"/>
                      <w:kern w:val="0"/>
                      <w:szCs w:val="22"/>
                      <w:lang w:bidi="ar"/>
                    </w:rPr>
                    <w:t>2023.07.09</w:t>
                  </w:r>
                </w:p>
              </w:tc>
              <w:tc>
                <w:tcPr>
                  <w:tcW w:w="979" w:type="pct"/>
                  <w:vAlign w:val="center"/>
                </w:tcPr>
                <w:p w14:paraId="7E478BC0">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pH</w:t>
                  </w:r>
                </w:p>
              </w:tc>
              <w:tc>
                <w:tcPr>
                  <w:tcW w:w="759" w:type="pct"/>
                  <w:vAlign w:val="center"/>
                </w:tcPr>
                <w:p w14:paraId="19C95211">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无量纲</w:t>
                  </w:r>
                </w:p>
              </w:tc>
              <w:tc>
                <w:tcPr>
                  <w:tcW w:w="745" w:type="pct"/>
                  <w:vAlign w:val="center"/>
                </w:tcPr>
                <w:p w14:paraId="5B5E1FD4">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7.4</w:t>
                  </w:r>
                </w:p>
              </w:tc>
              <w:tc>
                <w:tcPr>
                  <w:tcW w:w="745" w:type="pct"/>
                  <w:vAlign w:val="center"/>
                </w:tcPr>
                <w:p w14:paraId="44F7F70F">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7.5</w:t>
                  </w:r>
                </w:p>
              </w:tc>
              <w:tc>
                <w:tcPr>
                  <w:tcW w:w="872" w:type="pct"/>
                  <w:vAlign w:val="center"/>
                </w:tcPr>
                <w:p w14:paraId="77CDDBA1">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7.3</w:t>
                  </w:r>
                </w:p>
              </w:tc>
            </w:tr>
            <w:tr w14:paraId="5EB54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98" w:type="pct"/>
                  <w:vMerge w:val="continue"/>
                  <w:vAlign w:val="center"/>
                </w:tcPr>
                <w:p w14:paraId="679AD745">
                  <w:pPr>
                    <w:pStyle w:val="34"/>
                    <w:adjustRightInd/>
                    <w:snapToGrid/>
                    <w:ind w:firstLine="0"/>
                    <w:jc w:val="center"/>
                    <w:rPr>
                      <w:rFonts w:ascii="Times New Roman" w:hAnsi="Times New Roman" w:eastAsia="宋体"/>
                      <w:w w:val="100"/>
                      <w:kern w:val="0"/>
                      <w:szCs w:val="22"/>
                      <w:lang w:bidi="ar"/>
                    </w:rPr>
                  </w:pPr>
                </w:p>
              </w:tc>
              <w:tc>
                <w:tcPr>
                  <w:tcW w:w="979" w:type="pct"/>
                  <w:vAlign w:val="center"/>
                </w:tcPr>
                <w:p w14:paraId="3A417258">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水温</w:t>
                  </w:r>
                </w:p>
              </w:tc>
              <w:tc>
                <w:tcPr>
                  <w:tcW w:w="759" w:type="pct"/>
                  <w:vAlign w:val="center"/>
                </w:tcPr>
                <w:p w14:paraId="7BCC729B">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w:t>
                  </w:r>
                </w:p>
              </w:tc>
              <w:tc>
                <w:tcPr>
                  <w:tcW w:w="745" w:type="pct"/>
                  <w:vAlign w:val="center"/>
                </w:tcPr>
                <w:p w14:paraId="6D559FF0">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28.1</w:t>
                  </w:r>
                </w:p>
              </w:tc>
              <w:tc>
                <w:tcPr>
                  <w:tcW w:w="745" w:type="pct"/>
                  <w:vAlign w:val="center"/>
                </w:tcPr>
                <w:p w14:paraId="08E5AF4E">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27.8</w:t>
                  </w:r>
                </w:p>
              </w:tc>
              <w:tc>
                <w:tcPr>
                  <w:tcW w:w="872" w:type="pct"/>
                  <w:vAlign w:val="center"/>
                </w:tcPr>
                <w:p w14:paraId="6E82F336">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27.4</w:t>
                  </w:r>
                </w:p>
              </w:tc>
            </w:tr>
            <w:tr w14:paraId="51178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98" w:type="pct"/>
                  <w:vMerge w:val="continue"/>
                  <w:vAlign w:val="center"/>
                </w:tcPr>
                <w:p w14:paraId="6AF1F094">
                  <w:pPr>
                    <w:pStyle w:val="34"/>
                    <w:adjustRightInd/>
                    <w:snapToGrid/>
                    <w:ind w:firstLine="0"/>
                    <w:jc w:val="center"/>
                    <w:rPr>
                      <w:rFonts w:ascii="Times New Roman" w:hAnsi="Times New Roman" w:eastAsia="宋体"/>
                      <w:w w:val="100"/>
                      <w:kern w:val="0"/>
                      <w:szCs w:val="22"/>
                      <w:lang w:bidi="ar"/>
                    </w:rPr>
                  </w:pPr>
                </w:p>
              </w:tc>
              <w:tc>
                <w:tcPr>
                  <w:tcW w:w="979" w:type="pct"/>
                  <w:vAlign w:val="center"/>
                </w:tcPr>
                <w:p w14:paraId="5EA74876">
                  <w:pPr>
                    <w:pStyle w:val="34"/>
                    <w:adjustRightInd/>
                    <w:snapToGrid/>
                    <w:ind w:firstLine="0"/>
                    <w:jc w:val="center"/>
                    <w:rPr>
                      <w:rFonts w:ascii="Times New Roman" w:hAnsi="Times New Roman" w:eastAsia="宋体"/>
                      <w:w w:val="100"/>
                      <w:kern w:val="0"/>
                      <w:szCs w:val="22"/>
                      <w:lang w:eastAsia="zh-Hans" w:bidi="ar"/>
                    </w:rPr>
                  </w:pPr>
                  <w:r>
                    <w:rPr>
                      <w:rFonts w:ascii="Times New Roman" w:hAnsi="Times New Roman" w:eastAsia="宋体"/>
                      <w:w w:val="100"/>
                      <w:kern w:val="0"/>
                      <w:szCs w:val="22"/>
                      <w:lang w:bidi="ar"/>
                    </w:rPr>
                    <w:t>化学需氧量</w:t>
                  </w:r>
                </w:p>
              </w:tc>
              <w:tc>
                <w:tcPr>
                  <w:tcW w:w="759" w:type="pct"/>
                  <w:vAlign w:val="center"/>
                </w:tcPr>
                <w:p w14:paraId="5293C9E2">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mg/L</w:t>
                  </w:r>
                </w:p>
              </w:tc>
              <w:tc>
                <w:tcPr>
                  <w:tcW w:w="745" w:type="pct"/>
                  <w:vAlign w:val="center"/>
                </w:tcPr>
                <w:p w14:paraId="0AB4B5FA">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16</w:t>
                  </w:r>
                </w:p>
              </w:tc>
              <w:tc>
                <w:tcPr>
                  <w:tcW w:w="745" w:type="pct"/>
                  <w:vAlign w:val="center"/>
                </w:tcPr>
                <w:p w14:paraId="51B5E740">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16</w:t>
                  </w:r>
                </w:p>
              </w:tc>
              <w:tc>
                <w:tcPr>
                  <w:tcW w:w="872" w:type="pct"/>
                  <w:vAlign w:val="center"/>
                </w:tcPr>
                <w:p w14:paraId="4A755B44">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15</w:t>
                  </w:r>
                </w:p>
              </w:tc>
            </w:tr>
            <w:tr w14:paraId="6F7ED7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98" w:type="pct"/>
                  <w:vMerge w:val="continue"/>
                  <w:vAlign w:val="center"/>
                </w:tcPr>
                <w:p w14:paraId="0FA87D6B">
                  <w:pPr>
                    <w:pStyle w:val="34"/>
                    <w:adjustRightInd/>
                    <w:snapToGrid/>
                    <w:ind w:firstLine="0"/>
                    <w:jc w:val="center"/>
                    <w:rPr>
                      <w:rFonts w:ascii="Times New Roman" w:hAnsi="Times New Roman" w:eastAsia="宋体"/>
                      <w:w w:val="100"/>
                      <w:kern w:val="0"/>
                      <w:szCs w:val="22"/>
                      <w:lang w:bidi="ar"/>
                    </w:rPr>
                  </w:pPr>
                </w:p>
              </w:tc>
              <w:tc>
                <w:tcPr>
                  <w:tcW w:w="979" w:type="pct"/>
                  <w:vAlign w:val="center"/>
                </w:tcPr>
                <w:p w14:paraId="4DE03A54">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五日生化需氧量</w:t>
                  </w:r>
                </w:p>
              </w:tc>
              <w:tc>
                <w:tcPr>
                  <w:tcW w:w="759" w:type="pct"/>
                  <w:vAlign w:val="center"/>
                </w:tcPr>
                <w:p w14:paraId="2E2A74CB">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mg/L</w:t>
                  </w:r>
                </w:p>
              </w:tc>
              <w:tc>
                <w:tcPr>
                  <w:tcW w:w="745" w:type="pct"/>
                  <w:vAlign w:val="center"/>
                </w:tcPr>
                <w:p w14:paraId="2DCF6624">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3.4</w:t>
                  </w:r>
                </w:p>
              </w:tc>
              <w:tc>
                <w:tcPr>
                  <w:tcW w:w="745" w:type="pct"/>
                  <w:vAlign w:val="center"/>
                </w:tcPr>
                <w:p w14:paraId="088E371E">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3.3</w:t>
                  </w:r>
                </w:p>
              </w:tc>
              <w:tc>
                <w:tcPr>
                  <w:tcW w:w="872" w:type="pct"/>
                  <w:vAlign w:val="center"/>
                </w:tcPr>
                <w:p w14:paraId="52E52AAD">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3.1</w:t>
                  </w:r>
                </w:p>
              </w:tc>
            </w:tr>
            <w:tr w14:paraId="76FAE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898" w:type="pct"/>
                  <w:vMerge w:val="continue"/>
                  <w:vAlign w:val="center"/>
                </w:tcPr>
                <w:p w14:paraId="7011B0C9">
                  <w:pPr>
                    <w:pStyle w:val="34"/>
                    <w:adjustRightInd/>
                    <w:snapToGrid/>
                    <w:ind w:firstLine="0"/>
                    <w:jc w:val="center"/>
                    <w:rPr>
                      <w:rFonts w:ascii="Times New Roman" w:hAnsi="Times New Roman" w:eastAsia="宋体"/>
                      <w:w w:val="100"/>
                      <w:kern w:val="0"/>
                      <w:szCs w:val="22"/>
                      <w:lang w:bidi="ar"/>
                    </w:rPr>
                  </w:pPr>
                </w:p>
              </w:tc>
              <w:tc>
                <w:tcPr>
                  <w:tcW w:w="979" w:type="pct"/>
                  <w:vAlign w:val="center"/>
                </w:tcPr>
                <w:p w14:paraId="71B80E52">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阴离子表面活性剂</w:t>
                  </w:r>
                </w:p>
              </w:tc>
              <w:tc>
                <w:tcPr>
                  <w:tcW w:w="759" w:type="pct"/>
                  <w:vAlign w:val="center"/>
                </w:tcPr>
                <w:p w14:paraId="3D0A5102">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mg/L</w:t>
                  </w:r>
                </w:p>
              </w:tc>
              <w:tc>
                <w:tcPr>
                  <w:tcW w:w="745" w:type="pct"/>
                  <w:vAlign w:val="center"/>
                </w:tcPr>
                <w:p w14:paraId="4FD27EE2">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ND</w:t>
                  </w:r>
                </w:p>
              </w:tc>
              <w:tc>
                <w:tcPr>
                  <w:tcW w:w="745" w:type="pct"/>
                  <w:vAlign w:val="center"/>
                </w:tcPr>
                <w:p w14:paraId="595A970A">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ND</w:t>
                  </w:r>
                </w:p>
              </w:tc>
              <w:tc>
                <w:tcPr>
                  <w:tcW w:w="872" w:type="pct"/>
                  <w:vAlign w:val="center"/>
                </w:tcPr>
                <w:p w14:paraId="03614CE7">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ND</w:t>
                  </w:r>
                </w:p>
              </w:tc>
            </w:tr>
            <w:tr w14:paraId="232F5C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98" w:type="pct"/>
                  <w:vMerge w:val="continue"/>
                  <w:vAlign w:val="center"/>
                </w:tcPr>
                <w:p w14:paraId="133F16C7">
                  <w:pPr>
                    <w:pStyle w:val="34"/>
                    <w:adjustRightInd/>
                    <w:snapToGrid/>
                    <w:ind w:firstLine="0"/>
                    <w:jc w:val="center"/>
                    <w:rPr>
                      <w:rFonts w:ascii="Times New Roman" w:hAnsi="Times New Roman" w:eastAsia="宋体"/>
                      <w:w w:val="100"/>
                      <w:kern w:val="0"/>
                      <w:szCs w:val="22"/>
                      <w:lang w:bidi="ar"/>
                    </w:rPr>
                  </w:pPr>
                </w:p>
              </w:tc>
              <w:tc>
                <w:tcPr>
                  <w:tcW w:w="979" w:type="pct"/>
                  <w:vAlign w:val="center"/>
                </w:tcPr>
                <w:p w14:paraId="76599899">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氨氮</w:t>
                  </w:r>
                </w:p>
              </w:tc>
              <w:tc>
                <w:tcPr>
                  <w:tcW w:w="759" w:type="pct"/>
                  <w:vAlign w:val="center"/>
                </w:tcPr>
                <w:p w14:paraId="66400A49">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mg/L</w:t>
                  </w:r>
                </w:p>
              </w:tc>
              <w:tc>
                <w:tcPr>
                  <w:tcW w:w="745" w:type="pct"/>
                  <w:vAlign w:val="center"/>
                </w:tcPr>
                <w:p w14:paraId="41D77127">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0.531</w:t>
                  </w:r>
                </w:p>
              </w:tc>
              <w:tc>
                <w:tcPr>
                  <w:tcW w:w="745" w:type="pct"/>
                  <w:vAlign w:val="center"/>
                </w:tcPr>
                <w:p w14:paraId="011CCED2">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0.590</w:t>
                  </w:r>
                </w:p>
              </w:tc>
              <w:tc>
                <w:tcPr>
                  <w:tcW w:w="872" w:type="pct"/>
                  <w:vAlign w:val="center"/>
                </w:tcPr>
                <w:p w14:paraId="4937061C">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0.484</w:t>
                  </w:r>
                </w:p>
              </w:tc>
            </w:tr>
            <w:tr w14:paraId="5AD4DA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98" w:type="pct"/>
                  <w:vMerge w:val="continue"/>
                  <w:vAlign w:val="center"/>
                </w:tcPr>
                <w:p w14:paraId="6AF8B062">
                  <w:pPr>
                    <w:pStyle w:val="34"/>
                    <w:adjustRightInd/>
                    <w:snapToGrid/>
                    <w:ind w:firstLine="0"/>
                    <w:jc w:val="center"/>
                    <w:rPr>
                      <w:rFonts w:ascii="Times New Roman" w:hAnsi="Times New Roman" w:eastAsia="宋体"/>
                      <w:w w:val="100"/>
                      <w:kern w:val="0"/>
                      <w:szCs w:val="22"/>
                      <w:lang w:bidi="ar"/>
                    </w:rPr>
                  </w:pPr>
                </w:p>
              </w:tc>
              <w:tc>
                <w:tcPr>
                  <w:tcW w:w="979" w:type="pct"/>
                  <w:vAlign w:val="center"/>
                </w:tcPr>
                <w:p w14:paraId="61939F0E">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总磷</w:t>
                  </w:r>
                </w:p>
              </w:tc>
              <w:tc>
                <w:tcPr>
                  <w:tcW w:w="759" w:type="pct"/>
                  <w:vAlign w:val="center"/>
                </w:tcPr>
                <w:p w14:paraId="7749B4DF">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mg/L</w:t>
                  </w:r>
                </w:p>
              </w:tc>
              <w:tc>
                <w:tcPr>
                  <w:tcW w:w="745" w:type="pct"/>
                  <w:vAlign w:val="center"/>
                </w:tcPr>
                <w:p w14:paraId="61ACD894">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0.09</w:t>
                  </w:r>
                </w:p>
              </w:tc>
              <w:tc>
                <w:tcPr>
                  <w:tcW w:w="745" w:type="pct"/>
                  <w:vAlign w:val="center"/>
                </w:tcPr>
                <w:p w14:paraId="3EFD927D">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0.11</w:t>
                  </w:r>
                </w:p>
              </w:tc>
              <w:tc>
                <w:tcPr>
                  <w:tcW w:w="872" w:type="pct"/>
                  <w:vAlign w:val="center"/>
                </w:tcPr>
                <w:p w14:paraId="20E98E64">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0.05</w:t>
                  </w:r>
                </w:p>
              </w:tc>
            </w:tr>
            <w:tr w14:paraId="2ACC6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98" w:type="pct"/>
                  <w:vMerge w:val="continue"/>
                  <w:vAlign w:val="center"/>
                </w:tcPr>
                <w:p w14:paraId="32C4C7ED">
                  <w:pPr>
                    <w:pStyle w:val="34"/>
                    <w:adjustRightInd/>
                    <w:snapToGrid/>
                    <w:ind w:firstLine="0"/>
                    <w:jc w:val="center"/>
                    <w:rPr>
                      <w:rFonts w:ascii="Times New Roman" w:hAnsi="Times New Roman" w:eastAsia="宋体"/>
                      <w:w w:val="100"/>
                      <w:kern w:val="0"/>
                      <w:szCs w:val="22"/>
                      <w:lang w:bidi="ar"/>
                    </w:rPr>
                  </w:pPr>
                </w:p>
              </w:tc>
              <w:tc>
                <w:tcPr>
                  <w:tcW w:w="979" w:type="pct"/>
                  <w:vAlign w:val="center"/>
                </w:tcPr>
                <w:p w14:paraId="4236954E">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石油类</w:t>
                  </w:r>
                </w:p>
              </w:tc>
              <w:tc>
                <w:tcPr>
                  <w:tcW w:w="759" w:type="pct"/>
                  <w:vAlign w:val="center"/>
                </w:tcPr>
                <w:p w14:paraId="430AB2BE">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mg/L</w:t>
                  </w:r>
                </w:p>
              </w:tc>
              <w:tc>
                <w:tcPr>
                  <w:tcW w:w="745" w:type="pct"/>
                  <w:vAlign w:val="center"/>
                </w:tcPr>
                <w:p w14:paraId="0C7801F6">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0.04</w:t>
                  </w:r>
                </w:p>
              </w:tc>
              <w:tc>
                <w:tcPr>
                  <w:tcW w:w="745" w:type="pct"/>
                  <w:vAlign w:val="center"/>
                </w:tcPr>
                <w:p w14:paraId="72EFF329">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0.04</w:t>
                  </w:r>
                </w:p>
              </w:tc>
              <w:tc>
                <w:tcPr>
                  <w:tcW w:w="872" w:type="pct"/>
                  <w:vAlign w:val="center"/>
                </w:tcPr>
                <w:p w14:paraId="7A505FF5">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0.03</w:t>
                  </w:r>
                </w:p>
              </w:tc>
            </w:tr>
            <w:tr w14:paraId="0C8062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98" w:type="pct"/>
                  <w:vMerge w:val="continue"/>
                  <w:vAlign w:val="center"/>
                </w:tcPr>
                <w:p w14:paraId="7EE7EE4B">
                  <w:pPr>
                    <w:pStyle w:val="34"/>
                    <w:adjustRightInd/>
                    <w:snapToGrid/>
                    <w:ind w:firstLine="0"/>
                    <w:jc w:val="center"/>
                    <w:rPr>
                      <w:rFonts w:ascii="Times New Roman" w:hAnsi="Times New Roman" w:eastAsia="宋体"/>
                      <w:w w:val="100"/>
                      <w:kern w:val="0"/>
                      <w:szCs w:val="22"/>
                      <w:lang w:bidi="ar"/>
                    </w:rPr>
                  </w:pPr>
                </w:p>
              </w:tc>
              <w:tc>
                <w:tcPr>
                  <w:tcW w:w="979" w:type="pct"/>
                  <w:vAlign w:val="center"/>
                </w:tcPr>
                <w:p w14:paraId="22AD9EC5">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粪大肠菌群</w:t>
                  </w:r>
                </w:p>
              </w:tc>
              <w:tc>
                <w:tcPr>
                  <w:tcW w:w="759" w:type="pct"/>
                  <w:vAlign w:val="center"/>
                </w:tcPr>
                <w:p w14:paraId="79B0B837">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MPN/L</w:t>
                  </w:r>
                </w:p>
              </w:tc>
              <w:tc>
                <w:tcPr>
                  <w:tcW w:w="745" w:type="pct"/>
                  <w:vAlign w:val="center"/>
                </w:tcPr>
                <w:p w14:paraId="0B980F38">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0.2×10</w:t>
                  </w:r>
                  <w:r>
                    <w:rPr>
                      <w:rFonts w:ascii="Times New Roman" w:hAnsi="Times New Roman" w:eastAsia="宋体"/>
                      <w:w w:val="100"/>
                      <w:kern w:val="0"/>
                      <w:szCs w:val="22"/>
                      <w:vertAlign w:val="superscript"/>
                      <w:lang w:bidi="ar"/>
                    </w:rPr>
                    <w:t>2</w:t>
                  </w:r>
                </w:p>
              </w:tc>
              <w:tc>
                <w:tcPr>
                  <w:tcW w:w="745" w:type="pct"/>
                  <w:vAlign w:val="center"/>
                </w:tcPr>
                <w:p w14:paraId="638C86EC">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0.2×10</w:t>
                  </w:r>
                  <w:r>
                    <w:rPr>
                      <w:rFonts w:ascii="Times New Roman" w:hAnsi="Times New Roman" w:eastAsia="宋体"/>
                      <w:w w:val="100"/>
                      <w:kern w:val="0"/>
                      <w:szCs w:val="22"/>
                      <w:vertAlign w:val="superscript"/>
                      <w:lang w:bidi="ar"/>
                    </w:rPr>
                    <w:t>2</w:t>
                  </w:r>
                </w:p>
              </w:tc>
              <w:tc>
                <w:tcPr>
                  <w:tcW w:w="872" w:type="pct"/>
                  <w:vAlign w:val="center"/>
                </w:tcPr>
                <w:p w14:paraId="2120F2B0">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未检出</w:t>
                  </w:r>
                </w:p>
              </w:tc>
            </w:tr>
            <w:tr w14:paraId="603294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98" w:type="pct"/>
                  <w:vMerge w:val="restart"/>
                  <w:vAlign w:val="center"/>
                </w:tcPr>
                <w:p w14:paraId="34611A49">
                  <w:pPr>
                    <w:pStyle w:val="34"/>
                    <w:adjustRightInd/>
                    <w:snapToGrid/>
                    <w:ind w:firstLine="0"/>
                    <w:jc w:val="center"/>
                    <w:rPr>
                      <w:rFonts w:ascii="Times New Roman" w:hAnsi="Times New Roman" w:eastAsia="宋体"/>
                      <w:w w:val="100"/>
                      <w:kern w:val="0"/>
                      <w:szCs w:val="22"/>
                      <w:lang w:eastAsia="zh-Hans" w:bidi="ar"/>
                    </w:rPr>
                  </w:pPr>
                  <w:r>
                    <w:rPr>
                      <w:rFonts w:ascii="Times New Roman" w:hAnsi="Times New Roman" w:eastAsia="宋体"/>
                      <w:w w:val="100"/>
                      <w:kern w:val="0"/>
                      <w:szCs w:val="22"/>
                      <w:lang w:bidi="ar"/>
                    </w:rPr>
                    <w:t>2023.07.10</w:t>
                  </w:r>
                </w:p>
              </w:tc>
              <w:tc>
                <w:tcPr>
                  <w:tcW w:w="979" w:type="pct"/>
                  <w:vAlign w:val="center"/>
                </w:tcPr>
                <w:p w14:paraId="0C3A2EBA">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pH</w:t>
                  </w:r>
                </w:p>
              </w:tc>
              <w:tc>
                <w:tcPr>
                  <w:tcW w:w="759" w:type="pct"/>
                  <w:vAlign w:val="center"/>
                </w:tcPr>
                <w:p w14:paraId="2F1F3EA2">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无量纲</w:t>
                  </w:r>
                </w:p>
              </w:tc>
              <w:tc>
                <w:tcPr>
                  <w:tcW w:w="745" w:type="pct"/>
                  <w:vAlign w:val="center"/>
                </w:tcPr>
                <w:p w14:paraId="5CB29502">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7.4</w:t>
                  </w:r>
                </w:p>
              </w:tc>
              <w:tc>
                <w:tcPr>
                  <w:tcW w:w="745" w:type="pct"/>
                  <w:vAlign w:val="center"/>
                </w:tcPr>
                <w:p w14:paraId="4A0B447E">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7.3</w:t>
                  </w:r>
                </w:p>
              </w:tc>
              <w:tc>
                <w:tcPr>
                  <w:tcW w:w="872" w:type="pct"/>
                  <w:vAlign w:val="center"/>
                </w:tcPr>
                <w:p w14:paraId="2D4F7CA7">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7.2</w:t>
                  </w:r>
                </w:p>
              </w:tc>
            </w:tr>
            <w:tr w14:paraId="375BFE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98" w:type="pct"/>
                  <w:vMerge w:val="continue"/>
                  <w:vAlign w:val="center"/>
                </w:tcPr>
                <w:p w14:paraId="0F88FB15">
                  <w:pPr>
                    <w:pStyle w:val="34"/>
                    <w:adjustRightInd/>
                    <w:snapToGrid/>
                    <w:ind w:firstLine="0"/>
                    <w:jc w:val="center"/>
                    <w:rPr>
                      <w:rFonts w:ascii="Times New Roman" w:hAnsi="Times New Roman" w:eastAsia="宋体"/>
                      <w:w w:val="100"/>
                      <w:kern w:val="0"/>
                      <w:szCs w:val="22"/>
                      <w:lang w:bidi="ar"/>
                    </w:rPr>
                  </w:pPr>
                </w:p>
              </w:tc>
              <w:tc>
                <w:tcPr>
                  <w:tcW w:w="979" w:type="pct"/>
                  <w:vAlign w:val="center"/>
                </w:tcPr>
                <w:p w14:paraId="15150F13">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水温</w:t>
                  </w:r>
                </w:p>
              </w:tc>
              <w:tc>
                <w:tcPr>
                  <w:tcW w:w="759" w:type="pct"/>
                  <w:vAlign w:val="center"/>
                </w:tcPr>
                <w:p w14:paraId="63F01974">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w:t>
                  </w:r>
                </w:p>
              </w:tc>
              <w:tc>
                <w:tcPr>
                  <w:tcW w:w="745" w:type="pct"/>
                  <w:vAlign w:val="center"/>
                </w:tcPr>
                <w:p w14:paraId="0D0D50E8">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28.6</w:t>
                  </w:r>
                </w:p>
              </w:tc>
              <w:tc>
                <w:tcPr>
                  <w:tcW w:w="745" w:type="pct"/>
                  <w:vAlign w:val="center"/>
                </w:tcPr>
                <w:p w14:paraId="52E59EFC">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28.4</w:t>
                  </w:r>
                </w:p>
              </w:tc>
              <w:tc>
                <w:tcPr>
                  <w:tcW w:w="872" w:type="pct"/>
                  <w:vAlign w:val="center"/>
                </w:tcPr>
                <w:p w14:paraId="4E11070F">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28.1</w:t>
                  </w:r>
                </w:p>
              </w:tc>
            </w:tr>
            <w:tr w14:paraId="15369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98" w:type="pct"/>
                  <w:vMerge w:val="continue"/>
                  <w:vAlign w:val="center"/>
                </w:tcPr>
                <w:p w14:paraId="5F43E058">
                  <w:pPr>
                    <w:pStyle w:val="34"/>
                    <w:adjustRightInd/>
                    <w:snapToGrid/>
                    <w:ind w:firstLine="0"/>
                    <w:jc w:val="center"/>
                    <w:rPr>
                      <w:rFonts w:ascii="Times New Roman" w:hAnsi="Times New Roman" w:eastAsia="宋体"/>
                      <w:w w:val="100"/>
                      <w:kern w:val="0"/>
                      <w:szCs w:val="22"/>
                      <w:lang w:bidi="ar"/>
                    </w:rPr>
                  </w:pPr>
                </w:p>
              </w:tc>
              <w:tc>
                <w:tcPr>
                  <w:tcW w:w="979" w:type="pct"/>
                  <w:vAlign w:val="center"/>
                </w:tcPr>
                <w:p w14:paraId="4A026DDB">
                  <w:pPr>
                    <w:pStyle w:val="34"/>
                    <w:adjustRightInd/>
                    <w:snapToGrid/>
                    <w:ind w:firstLine="0"/>
                    <w:jc w:val="center"/>
                    <w:rPr>
                      <w:rFonts w:ascii="Times New Roman" w:hAnsi="Times New Roman" w:eastAsia="宋体"/>
                      <w:w w:val="100"/>
                      <w:kern w:val="0"/>
                      <w:szCs w:val="22"/>
                      <w:lang w:eastAsia="zh-Hans" w:bidi="ar"/>
                    </w:rPr>
                  </w:pPr>
                  <w:r>
                    <w:rPr>
                      <w:rFonts w:ascii="Times New Roman" w:hAnsi="Times New Roman" w:eastAsia="宋体"/>
                      <w:w w:val="100"/>
                      <w:kern w:val="0"/>
                      <w:szCs w:val="22"/>
                      <w:lang w:bidi="ar"/>
                    </w:rPr>
                    <w:t>化学需氧量</w:t>
                  </w:r>
                </w:p>
              </w:tc>
              <w:tc>
                <w:tcPr>
                  <w:tcW w:w="759" w:type="pct"/>
                  <w:vAlign w:val="center"/>
                </w:tcPr>
                <w:p w14:paraId="5A3D34E3">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mg/L</w:t>
                  </w:r>
                </w:p>
              </w:tc>
              <w:tc>
                <w:tcPr>
                  <w:tcW w:w="745" w:type="pct"/>
                  <w:vAlign w:val="center"/>
                </w:tcPr>
                <w:p w14:paraId="7922C97E">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17</w:t>
                  </w:r>
                </w:p>
              </w:tc>
              <w:tc>
                <w:tcPr>
                  <w:tcW w:w="745" w:type="pct"/>
                  <w:vAlign w:val="center"/>
                </w:tcPr>
                <w:p w14:paraId="4698EF98">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16</w:t>
                  </w:r>
                </w:p>
              </w:tc>
              <w:tc>
                <w:tcPr>
                  <w:tcW w:w="872" w:type="pct"/>
                  <w:vAlign w:val="center"/>
                </w:tcPr>
                <w:p w14:paraId="742C67C4">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16</w:t>
                  </w:r>
                </w:p>
              </w:tc>
            </w:tr>
            <w:tr w14:paraId="63008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98" w:type="pct"/>
                  <w:vMerge w:val="continue"/>
                  <w:vAlign w:val="center"/>
                </w:tcPr>
                <w:p w14:paraId="6A33F335">
                  <w:pPr>
                    <w:pStyle w:val="34"/>
                    <w:adjustRightInd/>
                    <w:snapToGrid/>
                    <w:ind w:firstLine="0"/>
                    <w:jc w:val="center"/>
                    <w:rPr>
                      <w:rFonts w:ascii="Times New Roman" w:hAnsi="Times New Roman" w:eastAsia="宋体"/>
                      <w:w w:val="100"/>
                      <w:kern w:val="0"/>
                      <w:szCs w:val="22"/>
                      <w:lang w:bidi="ar"/>
                    </w:rPr>
                  </w:pPr>
                </w:p>
              </w:tc>
              <w:tc>
                <w:tcPr>
                  <w:tcW w:w="979" w:type="pct"/>
                  <w:vAlign w:val="center"/>
                </w:tcPr>
                <w:p w14:paraId="66062EA3">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五日生化需氧量</w:t>
                  </w:r>
                </w:p>
              </w:tc>
              <w:tc>
                <w:tcPr>
                  <w:tcW w:w="759" w:type="pct"/>
                  <w:vAlign w:val="center"/>
                </w:tcPr>
                <w:p w14:paraId="1638231F">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mg/L</w:t>
                  </w:r>
                </w:p>
              </w:tc>
              <w:tc>
                <w:tcPr>
                  <w:tcW w:w="745" w:type="pct"/>
                  <w:vAlign w:val="center"/>
                </w:tcPr>
                <w:p w14:paraId="02A81210">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3.5</w:t>
                  </w:r>
                </w:p>
              </w:tc>
              <w:tc>
                <w:tcPr>
                  <w:tcW w:w="745" w:type="pct"/>
                  <w:vAlign w:val="center"/>
                </w:tcPr>
                <w:p w14:paraId="04C9B354">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3.3</w:t>
                  </w:r>
                </w:p>
              </w:tc>
              <w:tc>
                <w:tcPr>
                  <w:tcW w:w="872" w:type="pct"/>
                  <w:vAlign w:val="center"/>
                </w:tcPr>
                <w:p w14:paraId="48F143E2">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3.2</w:t>
                  </w:r>
                </w:p>
              </w:tc>
            </w:tr>
            <w:tr w14:paraId="05333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98" w:type="pct"/>
                  <w:vMerge w:val="continue"/>
                  <w:vAlign w:val="center"/>
                </w:tcPr>
                <w:p w14:paraId="267D82E1">
                  <w:pPr>
                    <w:pStyle w:val="34"/>
                    <w:adjustRightInd/>
                    <w:snapToGrid/>
                    <w:ind w:firstLine="0"/>
                    <w:jc w:val="center"/>
                    <w:rPr>
                      <w:rFonts w:ascii="Times New Roman" w:hAnsi="Times New Roman" w:eastAsia="宋体"/>
                      <w:w w:val="100"/>
                      <w:kern w:val="0"/>
                      <w:szCs w:val="22"/>
                      <w:lang w:bidi="ar"/>
                    </w:rPr>
                  </w:pPr>
                </w:p>
              </w:tc>
              <w:tc>
                <w:tcPr>
                  <w:tcW w:w="979" w:type="pct"/>
                  <w:vAlign w:val="center"/>
                </w:tcPr>
                <w:p w14:paraId="3812B2B4">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阴离子表面活性剂</w:t>
                  </w:r>
                </w:p>
              </w:tc>
              <w:tc>
                <w:tcPr>
                  <w:tcW w:w="759" w:type="pct"/>
                  <w:vAlign w:val="center"/>
                </w:tcPr>
                <w:p w14:paraId="405E6960">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mg/L</w:t>
                  </w:r>
                </w:p>
              </w:tc>
              <w:tc>
                <w:tcPr>
                  <w:tcW w:w="745" w:type="pct"/>
                  <w:vAlign w:val="center"/>
                </w:tcPr>
                <w:p w14:paraId="00FD5462">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ND</w:t>
                  </w:r>
                </w:p>
              </w:tc>
              <w:tc>
                <w:tcPr>
                  <w:tcW w:w="745" w:type="pct"/>
                  <w:vAlign w:val="center"/>
                </w:tcPr>
                <w:p w14:paraId="119AD22D">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ND</w:t>
                  </w:r>
                </w:p>
              </w:tc>
              <w:tc>
                <w:tcPr>
                  <w:tcW w:w="872" w:type="pct"/>
                  <w:vAlign w:val="center"/>
                </w:tcPr>
                <w:p w14:paraId="7B7DC004">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ND</w:t>
                  </w:r>
                </w:p>
              </w:tc>
            </w:tr>
            <w:tr w14:paraId="5D9A0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98" w:type="pct"/>
                  <w:vMerge w:val="continue"/>
                  <w:vAlign w:val="center"/>
                </w:tcPr>
                <w:p w14:paraId="1900F3B3">
                  <w:pPr>
                    <w:pStyle w:val="34"/>
                    <w:adjustRightInd/>
                    <w:snapToGrid/>
                    <w:ind w:firstLine="0"/>
                    <w:jc w:val="center"/>
                    <w:rPr>
                      <w:rFonts w:ascii="Times New Roman" w:hAnsi="Times New Roman" w:eastAsia="宋体"/>
                      <w:w w:val="100"/>
                      <w:kern w:val="0"/>
                      <w:szCs w:val="22"/>
                      <w:lang w:bidi="ar"/>
                    </w:rPr>
                  </w:pPr>
                </w:p>
              </w:tc>
              <w:tc>
                <w:tcPr>
                  <w:tcW w:w="979" w:type="pct"/>
                  <w:vAlign w:val="center"/>
                </w:tcPr>
                <w:p w14:paraId="5491D057">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氨氮</w:t>
                  </w:r>
                </w:p>
              </w:tc>
              <w:tc>
                <w:tcPr>
                  <w:tcW w:w="759" w:type="pct"/>
                  <w:vAlign w:val="center"/>
                </w:tcPr>
                <w:p w14:paraId="78F27EA5">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mg/L</w:t>
                  </w:r>
                </w:p>
              </w:tc>
              <w:tc>
                <w:tcPr>
                  <w:tcW w:w="745" w:type="pct"/>
                  <w:vAlign w:val="center"/>
                </w:tcPr>
                <w:p w14:paraId="09F16ACB">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0.522</w:t>
                  </w:r>
                </w:p>
              </w:tc>
              <w:tc>
                <w:tcPr>
                  <w:tcW w:w="745" w:type="pct"/>
                  <w:vAlign w:val="center"/>
                </w:tcPr>
                <w:p w14:paraId="0D9AA220">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0.599</w:t>
                  </w:r>
                </w:p>
              </w:tc>
              <w:tc>
                <w:tcPr>
                  <w:tcW w:w="872" w:type="pct"/>
                  <w:vAlign w:val="center"/>
                </w:tcPr>
                <w:p w14:paraId="004A57D5">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0.463</w:t>
                  </w:r>
                </w:p>
              </w:tc>
            </w:tr>
            <w:tr w14:paraId="659371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98" w:type="pct"/>
                  <w:vMerge w:val="continue"/>
                  <w:vAlign w:val="center"/>
                </w:tcPr>
                <w:p w14:paraId="789A1CD1">
                  <w:pPr>
                    <w:pStyle w:val="34"/>
                    <w:adjustRightInd/>
                    <w:snapToGrid/>
                    <w:ind w:firstLine="0"/>
                    <w:jc w:val="center"/>
                    <w:rPr>
                      <w:rFonts w:ascii="Times New Roman" w:hAnsi="Times New Roman" w:eastAsia="宋体"/>
                      <w:w w:val="100"/>
                      <w:kern w:val="0"/>
                      <w:szCs w:val="22"/>
                      <w:lang w:bidi="ar"/>
                    </w:rPr>
                  </w:pPr>
                </w:p>
              </w:tc>
              <w:tc>
                <w:tcPr>
                  <w:tcW w:w="979" w:type="pct"/>
                  <w:vAlign w:val="center"/>
                </w:tcPr>
                <w:p w14:paraId="4B5083AC">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总磷</w:t>
                  </w:r>
                </w:p>
              </w:tc>
              <w:tc>
                <w:tcPr>
                  <w:tcW w:w="759" w:type="pct"/>
                  <w:vAlign w:val="center"/>
                </w:tcPr>
                <w:p w14:paraId="6AD8402A">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mg/L</w:t>
                  </w:r>
                </w:p>
              </w:tc>
              <w:tc>
                <w:tcPr>
                  <w:tcW w:w="745" w:type="pct"/>
                  <w:vAlign w:val="center"/>
                </w:tcPr>
                <w:p w14:paraId="05226D91">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0.09</w:t>
                  </w:r>
                </w:p>
              </w:tc>
              <w:tc>
                <w:tcPr>
                  <w:tcW w:w="745" w:type="pct"/>
                  <w:vAlign w:val="center"/>
                </w:tcPr>
                <w:p w14:paraId="14D21325">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0.12</w:t>
                  </w:r>
                </w:p>
              </w:tc>
              <w:tc>
                <w:tcPr>
                  <w:tcW w:w="872" w:type="pct"/>
                  <w:vAlign w:val="center"/>
                </w:tcPr>
                <w:p w14:paraId="5A352025">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0.05</w:t>
                  </w:r>
                </w:p>
              </w:tc>
            </w:tr>
            <w:tr w14:paraId="26F12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98" w:type="pct"/>
                  <w:vMerge w:val="continue"/>
                  <w:vAlign w:val="center"/>
                </w:tcPr>
                <w:p w14:paraId="64790924">
                  <w:pPr>
                    <w:pStyle w:val="34"/>
                    <w:adjustRightInd/>
                    <w:snapToGrid/>
                    <w:ind w:firstLine="0"/>
                    <w:jc w:val="center"/>
                    <w:rPr>
                      <w:rFonts w:ascii="Times New Roman" w:hAnsi="Times New Roman" w:eastAsia="宋体"/>
                      <w:w w:val="100"/>
                      <w:kern w:val="0"/>
                      <w:szCs w:val="22"/>
                      <w:lang w:bidi="ar"/>
                    </w:rPr>
                  </w:pPr>
                </w:p>
              </w:tc>
              <w:tc>
                <w:tcPr>
                  <w:tcW w:w="979" w:type="pct"/>
                  <w:vAlign w:val="center"/>
                </w:tcPr>
                <w:p w14:paraId="126083C5">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石油类</w:t>
                  </w:r>
                </w:p>
              </w:tc>
              <w:tc>
                <w:tcPr>
                  <w:tcW w:w="759" w:type="pct"/>
                  <w:vAlign w:val="center"/>
                </w:tcPr>
                <w:p w14:paraId="1BABE04E">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mg/L</w:t>
                  </w:r>
                </w:p>
              </w:tc>
              <w:tc>
                <w:tcPr>
                  <w:tcW w:w="745" w:type="pct"/>
                  <w:vAlign w:val="center"/>
                </w:tcPr>
                <w:p w14:paraId="2BC8CB9B">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0.04</w:t>
                  </w:r>
                </w:p>
              </w:tc>
              <w:tc>
                <w:tcPr>
                  <w:tcW w:w="745" w:type="pct"/>
                  <w:vAlign w:val="center"/>
                </w:tcPr>
                <w:p w14:paraId="5137C6C9">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0.04</w:t>
                  </w:r>
                </w:p>
              </w:tc>
              <w:tc>
                <w:tcPr>
                  <w:tcW w:w="872" w:type="pct"/>
                  <w:vAlign w:val="center"/>
                </w:tcPr>
                <w:p w14:paraId="63D1DFD0">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0.03</w:t>
                  </w:r>
                </w:p>
              </w:tc>
            </w:tr>
            <w:tr w14:paraId="21324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98" w:type="pct"/>
                  <w:vMerge w:val="continue"/>
                  <w:vAlign w:val="center"/>
                </w:tcPr>
                <w:p w14:paraId="0D0537A0">
                  <w:pPr>
                    <w:pStyle w:val="34"/>
                    <w:adjustRightInd/>
                    <w:snapToGrid/>
                    <w:ind w:firstLine="0"/>
                    <w:jc w:val="center"/>
                    <w:rPr>
                      <w:rFonts w:ascii="Times New Roman" w:hAnsi="Times New Roman" w:eastAsia="宋体"/>
                      <w:w w:val="100"/>
                      <w:kern w:val="0"/>
                      <w:szCs w:val="22"/>
                      <w:lang w:bidi="ar"/>
                    </w:rPr>
                  </w:pPr>
                </w:p>
              </w:tc>
              <w:tc>
                <w:tcPr>
                  <w:tcW w:w="979" w:type="pct"/>
                  <w:vAlign w:val="center"/>
                </w:tcPr>
                <w:p w14:paraId="1C33AD79">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粪大肠菌群</w:t>
                  </w:r>
                </w:p>
              </w:tc>
              <w:tc>
                <w:tcPr>
                  <w:tcW w:w="759" w:type="pct"/>
                  <w:vAlign w:val="center"/>
                </w:tcPr>
                <w:p w14:paraId="0592C537">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MPN/L</w:t>
                  </w:r>
                </w:p>
              </w:tc>
              <w:tc>
                <w:tcPr>
                  <w:tcW w:w="745" w:type="pct"/>
                  <w:vAlign w:val="center"/>
                </w:tcPr>
                <w:p w14:paraId="6AA482AE">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0.2×10</w:t>
                  </w:r>
                  <w:r>
                    <w:rPr>
                      <w:rFonts w:ascii="Times New Roman" w:hAnsi="Times New Roman" w:eastAsia="宋体"/>
                      <w:w w:val="100"/>
                      <w:kern w:val="0"/>
                      <w:szCs w:val="22"/>
                      <w:vertAlign w:val="superscript"/>
                      <w:lang w:bidi="ar"/>
                    </w:rPr>
                    <w:t>2</w:t>
                  </w:r>
                </w:p>
              </w:tc>
              <w:tc>
                <w:tcPr>
                  <w:tcW w:w="745" w:type="pct"/>
                  <w:vAlign w:val="center"/>
                </w:tcPr>
                <w:p w14:paraId="443633CA">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0.2×10</w:t>
                  </w:r>
                  <w:r>
                    <w:rPr>
                      <w:rFonts w:ascii="Times New Roman" w:hAnsi="Times New Roman" w:eastAsia="宋体"/>
                      <w:w w:val="100"/>
                      <w:kern w:val="0"/>
                      <w:szCs w:val="22"/>
                      <w:vertAlign w:val="superscript"/>
                      <w:lang w:bidi="ar"/>
                    </w:rPr>
                    <w:t>2</w:t>
                  </w:r>
                </w:p>
              </w:tc>
              <w:tc>
                <w:tcPr>
                  <w:tcW w:w="872" w:type="pct"/>
                  <w:vAlign w:val="center"/>
                </w:tcPr>
                <w:p w14:paraId="6E6D9968">
                  <w:pPr>
                    <w:pStyle w:val="34"/>
                    <w:adjustRightInd/>
                    <w:snapToGrid/>
                    <w:ind w:firstLine="0"/>
                    <w:jc w:val="center"/>
                    <w:rPr>
                      <w:rFonts w:ascii="Times New Roman" w:hAnsi="Times New Roman" w:eastAsia="宋体"/>
                      <w:w w:val="100"/>
                      <w:kern w:val="0"/>
                      <w:szCs w:val="22"/>
                      <w:lang w:bidi="ar"/>
                    </w:rPr>
                  </w:pPr>
                  <w:r>
                    <w:rPr>
                      <w:rFonts w:ascii="Times New Roman" w:hAnsi="Times New Roman" w:eastAsia="宋体"/>
                      <w:w w:val="100"/>
                      <w:kern w:val="0"/>
                      <w:szCs w:val="22"/>
                      <w:lang w:bidi="ar"/>
                    </w:rPr>
                    <w:t>未检出</w:t>
                  </w:r>
                </w:p>
              </w:tc>
            </w:tr>
          </w:tbl>
          <w:p w14:paraId="22335FF9">
            <w:pPr>
              <w:pStyle w:val="6"/>
              <w:spacing w:line="360" w:lineRule="auto"/>
              <w:ind w:firstLine="480" w:firstLineChars="200"/>
              <w:jc w:val="both"/>
            </w:pPr>
            <w:r>
              <w:rPr>
                <w:b w:val="0"/>
                <w:bCs/>
                <w:sz w:val="24"/>
                <w:szCs w:val="22"/>
              </w:rPr>
              <w:t>地表水环境质量现状监测评价结果表明：在监测期间，引水沟</w:t>
            </w:r>
            <w:r>
              <w:rPr>
                <w:rFonts w:hint="eastAsia"/>
                <w:b w:val="0"/>
                <w:bCs/>
                <w:sz w:val="24"/>
                <w:szCs w:val="22"/>
              </w:rPr>
              <w:t>各</w:t>
            </w:r>
            <w:r>
              <w:rPr>
                <w:b w:val="0"/>
                <w:bCs/>
                <w:sz w:val="24"/>
                <w:szCs w:val="22"/>
              </w:rPr>
              <w:t>项污染物均满足《地表水环境质量标准》（GB3838-2002）中的IV类标准要求，新汴河各项污染物均满足《地表水环境质量标准》（GB3838-2002）中的Ⅲ类标准要求，地表水环境质量良好。</w:t>
            </w:r>
          </w:p>
          <w:p w14:paraId="27F59CBD">
            <w:pPr>
              <w:spacing w:line="360" w:lineRule="auto"/>
              <w:rPr>
                <w:b/>
                <w:bCs/>
                <w:color w:val="000000"/>
                <w:sz w:val="24"/>
                <w:szCs w:val="32"/>
              </w:rPr>
            </w:pPr>
            <w:r>
              <w:rPr>
                <w:b/>
                <w:bCs/>
                <w:color w:val="000000"/>
                <w:sz w:val="24"/>
                <w:szCs w:val="32"/>
              </w:rPr>
              <w:t>3、声环境质量状况</w:t>
            </w:r>
          </w:p>
          <w:p w14:paraId="148ACADD">
            <w:pPr>
              <w:spacing w:line="360" w:lineRule="auto"/>
              <w:ind w:firstLine="570"/>
              <w:rPr>
                <w:color w:val="000000"/>
                <w:sz w:val="24"/>
              </w:rPr>
            </w:pPr>
            <w:r>
              <w:rPr>
                <w:rFonts w:hint="eastAsia"/>
                <w:color w:val="000000"/>
                <w:sz w:val="24"/>
              </w:rPr>
              <w:t>本项目敏感点噪声监测委托安徽鑫程检测科技有限公司，监测时间为2025年7月5日</w:t>
            </w:r>
            <w:r>
              <w:rPr>
                <w:color w:val="000000"/>
                <w:sz w:val="24"/>
              </w:rPr>
              <w:t>。</w:t>
            </w:r>
            <w:r>
              <w:rPr>
                <w:rFonts w:hint="eastAsia"/>
                <w:color w:val="000000"/>
                <w:sz w:val="24"/>
              </w:rPr>
              <w:t>监测结果如下：</w:t>
            </w:r>
          </w:p>
          <w:p w14:paraId="2B954FB6">
            <w:pPr>
              <w:jc w:val="center"/>
              <w:rPr>
                <w:color w:val="000000"/>
                <w:sz w:val="24"/>
              </w:rPr>
            </w:pPr>
            <w:r>
              <w:rPr>
                <w:b/>
                <w:bCs/>
                <w:color w:val="000000"/>
                <w:sz w:val="24"/>
              </w:rPr>
              <w:t>表</w:t>
            </w:r>
            <w:r>
              <w:rPr>
                <w:rFonts w:hint="eastAsia"/>
                <w:b/>
                <w:bCs/>
                <w:color w:val="000000"/>
                <w:sz w:val="24"/>
              </w:rPr>
              <w:t>3-6</w:t>
            </w:r>
            <w:r>
              <w:rPr>
                <w:b/>
                <w:bCs/>
                <w:color w:val="000000"/>
                <w:sz w:val="24"/>
              </w:rPr>
              <w:t xml:space="preserve">  声环境监测结果一览表</w:t>
            </w:r>
            <w:r>
              <w:rPr>
                <w:color w:val="000000"/>
                <w:sz w:val="24"/>
              </w:rPr>
              <w:t xml:space="preserve">  </w:t>
            </w:r>
            <w:r>
              <w:rPr>
                <w:b/>
                <w:bCs/>
                <w:color w:val="000000"/>
                <w:sz w:val="24"/>
              </w:rPr>
              <w:t>单位：dB(A)</w:t>
            </w:r>
          </w:p>
          <w:tbl>
            <w:tblPr>
              <w:tblStyle w:val="23"/>
              <w:tblW w:w="498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738"/>
              <w:gridCol w:w="1904"/>
              <w:gridCol w:w="4418"/>
            </w:tblGrid>
            <w:tr w14:paraId="5C7172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259" w:type="pct"/>
                  <w:gridSpan w:val="2"/>
                  <w:vMerge w:val="restart"/>
                  <w:tcBorders>
                    <w:tl2br w:val="nil"/>
                    <w:tr2bl w:val="nil"/>
                  </w:tcBorders>
                  <w:vAlign w:val="center"/>
                </w:tcPr>
                <w:p w14:paraId="1A1FC147">
                  <w:pPr>
                    <w:autoSpaceDE w:val="0"/>
                    <w:jc w:val="center"/>
                    <w:rPr>
                      <w:color w:val="000000"/>
                      <w:szCs w:val="21"/>
                    </w:rPr>
                  </w:pPr>
                  <w:r>
                    <w:rPr>
                      <w:color w:val="000000"/>
                      <w:szCs w:val="21"/>
                    </w:rPr>
                    <w:t>检测位置</w:t>
                  </w:r>
                </w:p>
              </w:tc>
              <w:tc>
                <w:tcPr>
                  <w:tcW w:w="2740" w:type="pct"/>
                  <w:tcBorders>
                    <w:tl2br w:val="nil"/>
                    <w:tr2bl w:val="nil"/>
                  </w:tcBorders>
                  <w:vAlign w:val="center"/>
                </w:tcPr>
                <w:p w14:paraId="4F467132">
                  <w:pPr>
                    <w:autoSpaceDE w:val="0"/>
                    <w:jc w:val="center"/>
                    <w:rPr>
                      <w:color w:val="000000"/>
                      <w:szCs w:val="21"/>
                    </w:rPr>
                  </w:pPr>
                  <w:r>
                    <w:rPr>
                      <w:color w:val="000000"/>
                      <w:szCs w:val="21"/>
                    </w:rPr>
                    <w:t>检测结果</w:t>
                  </w:r>
                </w:p>
              </w:tc>
            </w:tr>
            <w:tr w14:paraId="44FE7F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259" w:type="pct"/>
                  <w:gridSpan w:val="2"/>
                  <w:vMerge w:val="continue"/>
                  <w:tcBorders>
                    <w:tl2br w:val="nil"/>
                    <w:tr2bl w:val="nil"/>
                  </w:tcBorders>
                  <w:vAlign w:val="center"/>
                </w:tcPr>
                <w:p w14:paraId="0730D289">
                  <w:pPr>
                    <w:widowControl/>
                    <w:jc w:val="center"/>
                    <w:rPr>
                      <w:color w:val="000000"/>
                      <w:szCs w:val="21"/>
                    </w:rPr>
                  </w:pPr>
                </w:p>
              </w:tc>
              <w:tc>
                <w:tcPr>
                  <w:tcW w:w="2740" w:type="pct"/>
                  <w:tcBorders>
                    <w:tl2br w:val="nil"/>
                    <w:tr2bl w:val="nil"/>
                  </w:tcBorders>
                  <w:vAlign w:val="center"/>
                </w:tcPr>
                <w:p w14:paraId="770990A2">
                  <w:pPr>
                    <w:autoSpaceDE w:val="0"/>
                    <w:jc w:val="center"/>
                    <w:rPr>
                      <w:color w:val="000000"/>
                      <w:szCs w:val="21"/>
                    </w:rPr>
                  </w:pPr>
                  <w:r>
                    <w:rPr>
                      <w:color w:val="000000"/>
                      <w:szCs w:val="21"/>
                    </w:rPr>
                    <w:t>昼间dB(A)</w:t>
                  </w:r>
                </w:p>
              </w:tc>
            </w:tr>
            <w:tr w14:paraId="1F2324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259" w:type="pct"/>
                  <w:gridSpan w:val="2"/>
                  <w:vMerge w:val="continue"/>
                  <w:tcBorders>
                    <w:tl2br w:val="nil"/>
                    <w:tr2bl w:val="nil"/>
                  </w:tcBorders>
                  <w:vAlign w:val="center"/>
                </w:tcPr>
                <w:p w14:paraId="727D8DDE">
                  <w:pPr>
                    <w:widowControl/>
                    <w:jc w:val="center"/>
                    <w:rPr>
                      <w:color w:val="000000"/>
                      <w:szCs w:val="21"/>
                    </w:rPr>
                  </w:pPr>
                </w:p>
              </w:tc>
              <w:tc>
                <w:tcPr>
                  <w:tcW w:w="2740" w:type="pct"/>
                  <w:tcBorders>
                    <w:tl2br w:val="nil"/>
                    <w:tr2bl w:val="nil"/>
                  </w:tcBorders>
                  <w:vAlign w:val="center"/>
                </w:tcPr>
                <w:p w14:paraId="55B86C64">
                  <w:pPr>
                    <w:autoSpaceDE w:val="0"/>
                    <w:jc w:val="center"/>
                    <w:rPr>
                      <w:color w:val="000000"/>
                      <w:szCs w:val="21"/>
                    </w:rPr>
                  </w:pPr>
                  <w:r>
                    <w:rPr>
                      <w:color w:val="000000"/>
                      <w:szCs w:val="21"/>
                    </w:rPr>
                    <w:t>Leq</w:t>
                  </w:r>
                </w:p>
              </w:tc>
            </w:tr>
            <w:tr w14:paraId="41EF59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078" w:type="pct"/>
                  <w:tcBorders>
                    <w:tl2br w:val="nil"/>
                    <w:tr2bl w:val="nil"/>
                  </w:tcBorders>
                  <w:vAlign w:val="center"/>
                </w:tcPr>
                <w:p w14:paraId="222EAE42">
                  <w:pPr>
                    <w:widowControl/>
                    <w:jc w:val="center"/>
                    <w:rPr>
                      <w:color w:val="000000"/>
                      <w:szCs w:val="21"/>
                    </w:rPr>
                  </w:pPr>
                  <w:r>
                    <w:rPr>
                      <w:color w:val="000000"/>
                      <w:szCs w:val="21"/>
                    </w:rPr>
                    <w:t>N1</w:t>
                  </w:r>
                </w:p>
              </w:tc>
              <w:tc>
                <w:tcPr>
                  <w:tcW w:w="1181" w:type="pct"/>
                  <w:tcBorders>
                    <w:tl2br w:val="nil"/>
                    <w:tr2bl w:val="nil"/>
                  </w:tcBorders>
                  <w:vAlign w:val="center"/>
                </w:tcPr>
                <w:p w14:paraId="73DFD564">
                  <w:pPr>
                    <w:autoSpaceDE w:val="0"/>
                    <w:jc w:val="center"/>
                    <w:rPr>
                      <w:color w:val="000000"/>
                      <w:szCs w:val="21"/>
                    </w:rPr>
                  </w:pPr>
                  <w:r>
                    <w:rPr>
                      <w:rFonts w:hint="eastAsia"/>
                      <w:color w:val="000000"/>
                      <w:szCs w:val="21"/>
                    </w:rPr>
                    <w:t>东厂界</w:t>
                  </w:r>
                </w:p>
              </w:tc>
              <w:tc>
                <w:tcPr>
                  <w:tcW w:w="2740" w:type="pct"/>
                  <w:tcBorders>
                    <w:tl2br w:val="nil"/>
                    <w:tr2bl w:val="nil"/>
                  </w:tcBorders>
                  <w:vAlign w:val="center"/>
                </w:tcPr>
                <w:p w14:paraId="6D0A5F1A">
                  <w:pPr>
                    <w:autoSpaceDE w:val="0"/>
                    <w:jc w:val="center"/>
                    <w:rPr>
                      <w:color w:val="000000"/>
                      <w:szCs w:val="21"/>
                    </w:rPr>
                  </w:pPr>
                  <w:r>
                    <w:rPr>
                      <w:rFonts w:hint="eastAsia"/>
                      <w:color w:val="000000"/>
                      <w:szCs w:val="21"/>
                    </w:rPr>
                    <w:t>57.4</w:t>
                  </w:r>
                </w:p>
              </w:tc>
            </w:tr>
            <w:tr w14:paraId="7AC439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078" w:type="pct"/>
                  <w:tcBorders>
                    <w:tl2br w:val="nil"/>
                    <w:tr2bl w:val="nil"/>
                  </w:tcBorders>
                  <w:vAlign w:val="center"/>
                </w:tcPr>
                <w:p w14:paraId="16441470">
                  <w:pPr>
                    <w:widowControl/>
                    <w:jc w:val="center"/>
                    <w:rPr>
                      <w:color w:val="000000"/>
                      <w:szCs w:val="21"/>
                    </w:rPr>
                  </w:pPr>
                  <w:r>
                    <w:rPr>
                      <w:color w:val="000000"/>
                      <w:szCs w:val="21"/>
                    </w:rPr>
                    <w:t>N</w:t>
                  </w:r>
                  <w:r>
                    <w:rPr>
                      <w:rFonts w:hint="eastAsia"/>
                      <w:color w:val="000000"/>
                      <w:szCs w:val="21"/>
                    </w:rPr>
                    <w:t>2</w:t>
                  </w:r>
                </w:p>
              </w:tc>
              <w:tc>
                <w:tcPr>
                  <w:tcW w:w="1181" w:type="pct"/>
                  <w:tcBorders>
                    <w:tl2br w:val="nil"/>
                    <w:tr2bl w:val="nil"/>
                  </w:tcBorders>
                  <w:vAlign w:val="center"/>
                </w:tcPr>
                <w:p w14:paraId="4CD0C362">
                  <w:pPr>
                    <w:autoSpaceDE w:val="0"/>
                    <w:jc w:val="center"/>
                    <w:rPr>
                      <w:color w:val="000000"/>
                      <w:szCs w:val="21"/>
                    </w:rPr>
                  </w:pPr>
                  <w:r>
                    <w:rPr>
                      <w:rFonts w:hint="eastAsia"/>
                      <w:color w:val="000000"/>
                      <w:szCs w:val="21"/>
                    </w:rPr>
                    <w:t>南厂界</w:t>
                  </w:r>
                </w:p>
              </w:tc>
              <w:tc>
                <w:tcPr>
                  <w:tcW w:w="2740" w:type="pct"/>
                  <w:tcBorders>
                    <w:tl2br w:val="nil"/>
                    <w:tr2bl w:val="nil"/>
                  </w:tcBorders>
                  <w:vAlign w:val="center"/>
                </w:tcPr>
                <w:p w14:paraId="7FE4775D">
                  <w:pPr>
                    <w:autoSpaceDE w:val="0"/>
                    <w:jc w:val="center"/>
                    <w:rPr>
                      <w:color w:val="000000"/>
                      <w:szCs w:val="21"/>
                    </w:rPr>
                  </w:pPr>
                  <w:r>
                    <w:rPr>
                      <w:rFonts w:hint="eastAsia"/>
                      <w:color w:val="000000"/>
                      <w:szCs w:val="21"/>
                    </w:rPr>
                    <w:t>51.3</w:t>
                  </w:r>
                </w:p>
              </w:tc>
            </w:tr>
            <w:tr w14:paraId="30EC9D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078" w:type="pct"/>
                  <w:tcBorders>
                    <w:tl2br w:val="nil"/>
                    <w:tr2bl w:val="nil"/>
                  </w:tcBorders>
                  <w:vAlign w:val="center"/>
                </w:tcPr>
                <w:p w14:paraId="54D14523">
                  <w:pPr>
                    <w:widowControl/>
                    <w:jc w:val="center"/>
                    <w:rPr>
                      <w:color w:val="000000"/>
                      <w:szCs w:val="21"/>
                    </w:rPr>
                  </w:pPr>
                  <w:r>
                    <w:rPr>
                      <w:color w:val="000000"/>
                      <w:szCs w:val="21"/>
                    </w:rPr>
                    <w:t>N</w:t>
                  </w:r>
                  <w:r>
                    <w:rPr>
                      <w:rFonts w:hint="eastAsia"/>
                      <w:color w:val="000000"/>
                      <w:szCs w:val="21"/>
                    </w:rPr>
                    <w:t>3</w:t>
                  </w:r>
                </w:p>
              </w:tc>
              <w:tc>
                <w:tcPr>
                  <w:tcW w:w="1181" w:type="pct"/>
                  <w:tcBorders>
                    <w:tl2br w:val="nil"/>
                    <w:tr2bl w:val="nil"/>
                  </w:tcBorders>
                  <w:vAlign w:val="center"/>
                </w:tcPr>
                <w:p w14:paraId="7B5643ED">
                  <w:pPr>
                    <w:autoSpaceDE w:val="0"/>
                    <w:jc w:val="center"/>
                    <w:rPr>
                      <w:color w:val="000000"/>
                      <w:szCs w:val="21"/>
                    </w:rPr>
                  </w:pPr>
                  <w:r>
                    <w:rPr>
                      <w:rFonts w:hint="eastAsia"/>
                      <w:color w:val="000000"/>
                      <w:szCs w:val="21"/>
                    </w:rPr>
                    <w:t>西厂界</w:t>
                  </w:r>
                </w:p>
              </w:tc>
              <w:tc>
                <w:tcPr>
                  <w:tcW w:w="2740" w:type="pct"/>
                  <w:tcBorders>
                    <w:tl2br w:val="nil"/>
                    <w:tr2bl w:val="nil"/>
                  </w:tcBorders>
                  <w:vAlign w:val="center"/>
                </w:tcPr>
                <w:p w14:paraId="3778D0BC">
                  <w:pPr>
                    <w:autoSpaceDE w:val="0"/>
                    <w:jc w:val="center"/>
                    <w:rPr>
                      <w:color w:val="000000"/>
                      <w:szCs w:val="21"/>
                    </w:rPr>
                  </w:pPr>
                  <w:r>
                    <w:rPr>
                      <w:rFonts w:hint="eastAsia"/>
                      <w:color w:val="000000"/>
                      <w:szCs w:val="21"/>
                    </w:rPr>
                    <w:t>53.0</w:t>
                  </w:r>
                </w:p>
              </w:tc>
            </w:tr>
            <w:tr w14:paraId="41906A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078" w:type="pct"/>
                  <w:tcBorders>
                    <w:tl2br w:val="nil"/>
                    <w:tr2bl w:val="nil"/>
                  </w:tcBorders>
                  <w:vAlign w:val="center"/>
                </w:tcPr>
                <w:p w14:paraId="0051027E">
                  <w:pPr>
                    <w:widowControl/>
                    <w:jc w:val="center"/>
                    <w:rPr>
                      <w:color w:val="000000"/>
                      <w:szCs w:val="21"/>
                    </w:rPr>
                  </w:pPr>
                  <w:r>
                    <w:rPr>
                      <w:color w:val="000000"/>
                      <w:szCs w:val="21"/>
                    </w:rPr>
                    <w:t>N</w:t>
                  </w:r>
                  <w:r>
                    <w:rPr>
                      <w:rFonts w:hint="eastAsia"/>
                      <w:color w:val="000000"/>
                      <w:szCs w:val="21"/>
                    </w:rPr>
                    <w:t>4</w:t>
                  </w:r>
                </w:p>
              </w:tc>
              <w:tc>
                <w:tcPr>
                  <w:tcW w:w="1181" w:type="pct"/>
                  <w:tcBorders>
                    <w:tl2br w:val="nil"/>
                    <w:tr2bl w:val="nil"/>
                  </w:tcBorders>
                  <w:vAlign w:val="center"/>
                </w:tcPr>
                <w:p w14:paraId="3ED9534C">
                  <w:pPr>
                    <w:autoSpaceDE w:val="0"/>
                    <w:jc w:val="center"/>
                    <w:rPr>
                      <w:color w:val="000000"/>
                      <w:szCs w:val="21"/>
                    </w:rPr>
                  </w:pPr>
                  <w:r>
                    <w:rPr>
                      <w:rFonts w:hint="eastAsia"/>
                      <w:color w:val="000000"/>
                      <w:szCs w:val="21"/>
                    </w:rPr>
                    <w:t>北厂界</w:t>
                  </w:r>
                </w:p>
              </w:tc>
              <w:tc>
                <w:tcPr>
                  <w:tcW w:w="2740" w:type="pct"/>
                  <w:tcBorders>
                    <w:tl2br w:val="nil"/>
                    <w:tr2bl w:val="nil"/>
                  </w:tcBorders>
                  <w:vAlign w:val="center"/>
                </w:tcPr>
                <w:p w14:paraId="325D54F1">
                  <w:pPr>
                    <w:autoSpaceDE w:val="0"/>
                    <w:jc w:val="center"/>
                    <w:rPr>
                      <w:color w:val="000000"/>
                      <w:szCs w:val="21"/>
                    </w:rPr>
                  </w:pPr>
                  <w:r>
                    <w:rPr>
                      <w:rFonts w:hint="eastAsia"/>
                      <w:color w:val="000000"/>
                      <w:szCs w:val="21"/>
                    </w:rPr>
                    <w:t>51.4</w:t>
                  </w:r>
                </w:p>
              </w:tc>
            </w:tr>
            <w:tr w14:paraId="7AB1D4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078" w:type="pct"/>
                  <w:tcBorders>
                    <w:tl2br w:val="nil"/>
                    <w:tr2bl w:val="nil"/>
                  </w:tcBorders>
                  <w:vAlign w:val="center"/>
                </w:tcPr>
                <w:p w14:paraId="5C5699F8">
                  <w:pPr>
                    <w:widowControl/>
                    <w:jc w:val="center"/>
                    <w:rPr>
                      <w:color w:val="000000"/>
                      <w:szCs w:val="21"/>
                    </w:rPr>
                  </w:pPr>
                  <w:r>
                    <w:rPr>
                      <w:color w:val="000000"/>
                      <w:szCs w:val="21"/>
                    </w:rPr>
                    <w:t>N</w:t>
                  </w:r>
                  <w:r>
                    <w:rPr>
                      <w:rFonts w:hint="eastAsia"/>
                      <w:color w:val="000000"/>
                      <w:szCs w:val="21"/>
                    </w:rPr>
                    <w:t>5</w:t>
                  </w:r>
                </w:p>
              </w:tc>
              <w:tc>
                <w:tcPr>
                  <w:tcW w:w="1181" w:type="pct"/>
                  <w:tcBorders>
                    <w:tl2br w:val="nil"/>
                    <w:tr2bl w:val="nil"/>
                  </w:tcBorders>
                  <w:vAlign w:val="center"/>
                </w:tcPr>
                <w:p w14:paraId="015D9AE3">
                  <w:pPr>
                    <w:autoSpaceDE w:val="0"/>
                    <w:jc w:val="center"/>
                    <w:rPr>
                      <w:color w:val="000000"/>
                      <w:szCs w:val="21"/>
                    </w:rPr>
                  </w:pPr>
                  <w:r>
                    <w:rPr>
                      <w:rFonts w:hint="eastAsia"/>
                      <w:color w:val="000000"/>
                      <w:szCs w:val="21"/>
                    </w:rPr>
                    <w:t>大童家 厂界南侧</w:t>
                  </w:r>
                </w:p>
              </w:tc>
              <w:tc>
                <w:tcPr>
                  <w:tcW w:w="2740" w:type="pct"/>
                  <w:tcBorders>
                    <w:tl2br w:val="nil"/>
                    <w:tr2bl w:val="nil"/>
                  </w:tcBorders>
                  <w:vAlign w:val="center"/>
                </w:tcPr>
                <w:p w14:paraId="7F0B9721">
                  <w:pPr>
                    <w:autoSpaceDE w:val="0"/>
                    <w:jc w:val="center"/>
                    <w:rPr>
                      <w:color w:val="000000"/>
                      <w:szCs w:val="21"/>
                    </w:rPr>
                  </w:pPr>
                  <w:r>
                    <w:rPr>
                      <w:rFonts w:hint="eastAsia"/>
                      <w:color w:val="000000"/>
                      <w:szCs w:val="21"/>
                    </w:rPr>
                    <w:t>48.6</w:t>
                  </w:r>
                </w:p>
              </w:tc>
            </w:tr>
            <w:tr w14:paraId="2FFAA4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078" w:type="pct"/>
                  <w:tcBorders>
                    <w:tl2br w:val="nil"/>
                    <w:tr2bl w:val="nil"/>
                  </w:tcBorders>
                  <w:vAlign w:val="center"/>
                </w:tcPr>
                <w:p w14:paraId="13392128">
                  <w:pPr>
                    <w:widowControl/>
                    <w:jc w:val="center"/>
                    <w:rPr>
                      <w:color w:val="000000"/>
                      <w:szCs w:val="21"/>
                    </w:rPr>
                  </w:pPr>
                  <w:r>
                    <w:rPr>
                      <w:color w:val="000000"/>
                      <w:szCs w:val="21"/>
                    </w:rPr>
                    <w:t>N</w:t>
                  </w:r>
                  <w:r>
                    <w:rPr>
                      <w:rFonts w:hint="eastAsia"/>
                      <w:color w:val="000000"/>
                      <w:szCs w:val="21"/>
                    </w:rPr>
                    <w:t>6</w:t>
                  </w:r>
                </w:p>
              </w:tc>
              <w:tc>
                <w:tcPr>
                  <w:tcW w:w="1181" w:type="pct"/>
                  <w:tcBorders>
                    <w:tl2br w:val="nil"/>
                    <w:tr2bl w:val="nil"/>
                  </w:tcBorders>
                  <w:vAlign w:val="center"/>
                </w:tcPr>
                <w:p w14:paraId="11B9BE72">
                  <w:pPr>
                    <w:autoSpaceDE w:val="0"/>
                    <w:jc w:val="center"/>
                    <w:rPr>
                      <w:color w:val="000000"/>
                      <w:szCs w:val="21"/>
                    </w:rPr>
                  </w:pPr>
                  <w:r>
                    <w:rPr>
                      <w:rFonts w:hint="eastAsia"/>
                      <w:color w:val="000000"/>
                      <w:szCs w:val="21"/>
                    </w:rPr>
                    <w:t>大童家 厂界东侧</w:t>
                  </w:r>
                </w:p>
              </w:tc>
              <w:tc>
                <w:tcPr>
                  <w:tcW w:w="2740" w:type="pct"/>
                  <w:tcBorders>
                    <w:tl2br w:val="nil"/>
                    <w:tr2bl w:val="nil"/>
                  </w:tcBorders>
                  <w:vAlign w:val="center"/>
                </w:tcPr>
                <w:p w14:paraId="1DCBD6C2">
                  <w:pPr>
                    <w:autoSpaceDE w:val="0"/>
                    <w:jc w:val="center"/>
                    <w:rPr>
                      <w:color w:val="000000"/>
                      <w:szCs w:val="21"/>
                    </w:rPr>
                  </w:pPr>
                  <w:r>
                    <w:rPr>
                      <w:rFonts w:hint="eastAsia"/>
                      <w:color w:val="000000"/>
                      <w:szCs w:val="21"/>
                    </w:rPr>
                    <w:t>53.0</w:t>
                  </w:r>
                </w:p>
              </w:tc>
            </w:tr>
          </w:tbl>
          <w:p w14:paraId="3D95C069">
            <w:pPr>
              <w:spacing w:line="360" w:lineRule="auto"/>
              <w:ind w:firstLine="480" w:firstLineChars="200"/>
              <w:rPr>
                <w:color w:val="000000"/>
                <w:sz w:val="24"/>
              </w:rPr>
            </w:pPr>
            <w:r>
              <w:rPr>
                <w:rFonts w:hint="eastAsia"/>
                <w:color w:val="000000"/>
                <w:sz w:val="24"/>
              </w:rPr>
              <w:t>敏感点</w:t>
            </w:r>
            <w:r>
              <w:rPr>
                <w:color w:val="000000"/>
                <w:sz w:val="24"/>
              </w:rPr>
              <w:t>声环境质量执行《声环境质量标准》（GB3096-2008）中</w:t>
            </w:r>
            <w:r>
              <w:rPr>
                <w:rFonts w:hint="eastAsia"/>
                <w:color w:val="000000"/>
                <w:sz w:val="24"/>
              </w:rPr>
              <w:t>2</w:t>
            </w:r>
            <w:r>
              <w:rPr>
                <w:color w:val="000000"/>
                <w:sz w:val="24"/>
              </w:rPr>
              <w:t>类标准，各监测点均未出现超标现象，表明当地声环境质量较好。</w:t>
            </w:r>
          </w:p>
          <w:p w14:paraId="35034B58">
            <w:pPr>
              <w:spacing w:line="360" w:lineRule="auto"/>
              <w:ind w:firstLine="482" w:firstLineChars="200"/>
              <w:rPr>
                <w:b/>
                <w:bCs/>
                <w:color w:val="000000"/>
                <w:sz w:val="24"/>
              </w:rPr>
            </w:pPr>
            <w:r>
              <w:rPr>
                <w:b/>
                <w:bCs/>
                <w:color w:val="000000"/>
                <w:sz w:val="24"/>
              </w:rPr>
              <w:t>4、生态环境</w:t>
            </w:r>
          </w:p>
          <w:p w14:paraId="5A6E4895">
            <w:pPr>
              <w:spacing w:line="360" w:lineRule="auto"/>
              <w:ind w:firstLine="480" w:firstLineChars="200"/>
              <w:rPr>
                <w:color w:val="000000"/>
                <w:sz w:val="24"/>
              </w:rPr>
            </w:pPr>
            <w:r>
              <w:rPr>
                <w:color w:val="000000"/>
                <w:sz w:val="24"/>
              </w:rPr>
              <w:t>本项目位于宿州市埇桥区</w:t>
            </w:r>
            <w:r>
              <w:rPr>
                <w:rFonts w:hint="eastAsia"/>
                <w:color w:val="000000"/>
                <w:sz w:val="24"/>
              </w:rPr>
              <w:t>埇桥区灰古镇国家现代农业示范区东三环与北三环交叉口</w:t>
            </w:r>
            <w:r>
              <w:rPr>
                <w:color w:val="000000"/>
                <w:sz w:val="24"/>
              </w:rPr>
              <w:t>，</w:t>
            </w:r>
            <w:r>
              <w:rPr>
                <w:rFonts w:hint="eastAsia"/>
                <w:color w:val="000000"/>
                <w:sz w:val="24"/>
              </w:rPr>
              <w:t>本项目不新增用地</w:t>
            </w:r>
            <w:r>
              <w:rPr>
                <w:color w:val="000000"/>
                <w:sz w:val="24"/>
              </w:rPr>
              <w:t>无生态环境保护目标，不进行生态现状调查。</w:t>
            </w:r>
          </w:p>
          <w:p w14:paraId="53E35F42">
            <w:pPr>
              <w:spacing w:line="360" w:lineRule="auto"/>
              <w:ind w:firstLine="482" w:firstLineChars="200"/>
              <w:rPr>
                <w:b/>
                <w:bCs/>
                <w:color w:val="000000"/>
                <w:sz w:val="24"/>
              </w:rPr>
            </w:pPr>
            <w:r>
              <w:rPr>
                <w:b/>
                <w:bCs/>
                <w:color w:val="000000"/>
                <w:sz w:val="24"/>
              </w:rPr>
              <w:t>5、电磁辐射</w:t>
            </w:r>
          </w:p>
          <w:p w14:paraId="54CA4CBA">
            <w:pPr>
              <w:spacing w:line="360" w:lineRule="auto"/>
              <w:ind w:firstLine="480" w:firstLineChars="200"/>
              <w:rPr>
                <w:color w:val="000000"/>
                <w:sz w:val="24"/>
              </w:rPr>
            </w:pPr>
            <w:r>
              <w:rPr>
                <w:color w:val="000000"/>
                <w:sz w:val="24"/>
              </w:rPr>
              <w:t>本项目不涉及电磁辐射类项目，不进行电磁辐射现状调查与评价。</w:t>
            </w:r>
          </w:p>
          <w:p w14:paraId="32BE35E7">
            <w:pPr>
              <w:spacing w:line="360" w:lineRule="auto"/>
              <w:ind w:firstLine="482" w:firstLineChars="200"/>
              <w:rPr>
                <w:b/>
                <w:bCs/>
                <w:color w:val="000000"/>
                <w:sz w:val="24"/>
              </w:rPr>
            </w:pPr>
            <w:r>
              <w:rPr>
                <w:b/>
                <w:bCs/>
                <w:color w:val="000000"/>
                <w:sz w:val="24"/>
              </w:rPr>
              <w:t>6、地下水</w:t>
            </w:r>
            <w:r>
              <w:rPr>
                <w:rFonts w:hint="eastAsia"/>
                <w:b/>
                <w:bCs/>
                <w:color w:val="000000"/>
                <w:sz w:val="24"/>
              </w:rPr>
              <w:t>、土壤</w:t>
            </w:r>
            <w:r>
              <w:rPr>
                <w:b/>
                <w:bCs/>
                <w:color w:val="000000"/>
                <w:sz w:val="24"/>
              </w:rPr>
              <w:t>环境</w:t>
            </w:r>
          </w:p>
          <w:p w14:paraId="29268297">
            <w:pPr>
              <w:spacing w:line="360" w:lineRule="auto"/>
              <w:ind w:firstLine="480" w:firstLineChars="200"/>
            </w:pPr>
            <w:r>
              <w:rPr>
                <w:rFonts w:hint="eastAsia" w:ascii="Times New Roman" w:hAnsi="Times New Roman" w:eastAsia="宋体" w:cs="Times New Roman"/>
                <w:spacing w:val="0"/>
                <w:position w:val="0"/>
                <w:sz w:val="24"/>
                <w:highlight w:val="none"/>
                <w:lang w:val="en-US" w:eastAsia="zh-CN"/>
              </w:rPr>
              <w:t>本项目厂区地面</w:t>
            </w:r>
            <w:r>
              <w:rPr>
                <w:rFonts w:hint="default" w:ascii="Times New Roman" w:hAnsi="Times New Roman" w:eastAsia="宋体" w:cs="Times New Roman"/>
                <w:spacing w:val="0"/>
                <w:position w:val="0"/>
                <w:sz w:val="24"/>
                <w:highlight w:val="none"/>
                <w:lang w:val="en-US" w:eastAsia="zh-CN"/>
              </w:rPr>
              <w:t>已完成硬化，地面采取C30</w:t>
            </w:r>
            <w:r>
              <w:rPr>
                <w:rFonts w:hint="eastAsia" w:ascii="Times New Roman" w:hAnsi="Times New Roman" w:eastAsia="宋体" w:cs="Times New Roman"/>
                <w:spacing w:val="0"/>
                <w:position w:val="0"/>
                <w:sz w:val="24"/>
                <w:highlight w:val="none"/>
                <w:lang w:val="en-US" w:eastAsia="zh-CN"/>
              </w:rPr>
              <w:t>防渗</w:t>
            </w:r>
            <w:r>
              <w:rPr>
                <w:rFonts w:hint="default" w:ascii="Times New Roman" w:hAnsi="Times New Roman" w:eastAsia="宋体" w:cs="Times New Roman"/>
                <w:spacing w:val="0"/>
                <w:position w:val="0"/>
                <w:sz w:val="24"/>
                <w:highlight w:val="none"/>
                <w:lang w:val="en-US" w:eastAsia="zh-CN"/>
              </w:rPr>
              <w:t>混凝土硬化</w:t>
            </w:r>
            <w:r>
              <w:rPr>
                <w:rFonts w:hint="eastAsia" w:ascii="Times New Roman" w:hAnsi="Times New Roman" w:eastAsia="宋体" w:cs="Times New Roman"/>
                <w:spacing w:val="0"/>
                <w:position w:val="0"/>
                <w:sz w:val="24"/>
                <w:highlight w:val="none"/>
                <w:lang w:val="en-US" w:eastAsia="zh-CN"/>
              </w:rPr>
              <w:t>方式，可满足一般防渗要求</w:t>
            </w:r>
            <w:r>
              <w:rPr>
                <w:color w:val="FF0000"/>
                <w:sz w:val="24"/>
              </w:rPr>
              <w:t>，</w:t>
            </w:r>
            <w:r>
              <w:rPr>
                <w:rFonts w:hint="default" w:ascii="Times New Roman" w:hAnsi="Times New Roman" w:eastAsia="宋体" w:cs="Times New Roman"/>
                <w:spacing w:val="0"/>
                <w:position w:val="0"/>
                <w:sz w:val="24"/>
                <w:highlight w:val="none"/>
                <w:lang w:val="en-US" w:eastAsia="zh-CN"/>
              </w:rPr>
              <w:t>项目不存在土壤、地下水环境污染途径。</w:t>
            </w:r>
          </w:p>
        </w:tc>
      </w:tr>
      <w:tr w14:paraId="5E4BAD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1" w:type="pct"/>
            <w:vAlign w:val="center"/>
          </w:tcPr>
          <w:p w14:paraId="720D13FF">
            <w:pPr>
              <w:adjustRightInd w:val="0"/>
              <w:snapToGrid w:val="0"/>
              <w:jc w:val="center"/>
              <w:rPr>
                <w:color w:val="000000"/>
                <w:kern w:val="0"/>
                <w:szCs w:val="21"/>
              </w:rPr>
            </w:pPr>
            <w:r>
              <w:rPr>
                <w:color w:val="000000"/>
                <w:kern w:val="0"/>
                <w:sz w:val="24"/>
              </w:rPr>
              <w:t>环境保护目标</w:t>
            </w:r>
          </w:p>
        </w:tc>
        <w:tc>
          <w:tcPr>
            <w:tcW w:w="4658" w:type="pct"/>
            <w:vAlign w:val="center"/>
          </w:tcPr>
          <w:p w14:paraId="7AC5009D">
            <w:pPr>
              <w:pStyle w:val="37"/>
              <w:spacing w:line="360" w:lineRule="auto"/>
              <w:ind w:right="90" w:firstLine="480" w:firstLineChars="200"/>
              <w:jc w:val="left"/>
              <w:rPr>
                <w:color w:val="000000"/>
                <w:sz w:val="24"/>
              </w:rPr>
            </w:pPr>
            <w:r>
              <w:rPr>
                <w:color w:val="000000"/>
                <w:sz w:val="24"/>
                <w:lang w:val="zh-CN"/>
              </w:rPr>
              <w:t>1.大气环境。</w:t>
            </w:r>
            <w:r>
              <w:rPr>
                <w:color w:val="000000"/>
                <w:sz w:val="24"/>
              </w:rPr>
              <w:t>本项目厂界外500米范围内</w:t>
            </w:r>
            <w:r>
              <w:rPr>
                <w:rFonts w:hint="eastAsia"/>
                <w:color w:val="000000"/>
                <w:sz w:val="24"/>
              </w:rPr>
              <w:t>有</w:t>
            </w:r>
            <w:r>
              <w:rPr>
                <w:color w:val="000000"/>
                <w:sz w:val="24"/>
              </w:rPr>
              <w:t>农村地区中人群较集中的区域。</w:t>
            </w:r>
          </w:p>
          <w:p w14:paraId="72B58549">
            <w:pPr>
              <w:pStyle w:val="37"/>
              <w:spacing w:line="360" w:lineRule="auto"/>
              <w:ind w:firstLine="480" w:firstLineChars="200"/>
              <w:jc w:val="left"/>
              <w:rPr>
                <w:color w:val="000000"/>
                <w:sz w:val="24"/>
              </w:rPr>
            </w:pPr>
            <w:r>
              <w:rPr>
                <w:rFonts w:hint="eastAsia"/>
                <w:color w:val="000000"/>
                <w:sz w:val="24"/>
              </w:rPr>
              <w:t>2.</w:t>
            </w:r>
            <w:r>
              <w:rPr>
                <w:color w:val="000000"/>
                <w:sz w:val="24"/>
                <w:lang w:val="zh-CN"/>
              </w:rPr>
              <w:t>声环境。</w:t>
            </w:r>
            <w:r>
              <w:rPr>
                <w:color w:val="000000"/>
                <w:sz w:val="24"/>
              </w:rPr>
              <w:t>本项目厂界外50米范围内</w:t>
            </w:r>
            <w:r>
              <w:rPr>
                <w:rFonts w:hint="eastAsia"/>
                <w:color w:val="000000"/>
                <w:sz w:val="24"/>
              </w:rPr>
              <w:t>有</w:t>
            </w:r>
            <w:r>
              <w:rPr>
                <w:color w:val="000000"/>
                <w:sz w:val="24"/>
              </w:rPr>
              <w:t>声环境保护目标。</w:t>
            </w:r>
          </w:p>
          <w:p w14:paraId="38C74445">
            <w:pPr>
              <w:snapToGrid w:val="0"/>
              <w:spacing w:line="360" w:lineRule="auto"/>
              <w:ind w:firstLine="480" w:firstLineChars="200"/>
              <w:rPr>
                <w:color w:val="000000"/>
                <w:sz w:val="24"/>
              </w:rPr>
            </w:pPr>
            <w:r>
              <w:rPr>
                <w:rFonts w:hint="eastAsia"/>
                <w:color w:val="000000"/>
                <w:sz w:val="24"/>
              </w:rPr>
              <w:t>3</w:t>
            </w:r>
            <w:r>
              <w:rPr>
                <w:color w:val="000000"/>
                <w:sz w:val="24"/>
                <w:lang w:val="zh-CN"/>
              </w:rPr>
              <w:t>.</w:t>
            </w:r>
            <w:r>
              <w:rPr>
                <w:rFonts w:hint="eastAsia"/>
                <w:color w:val="000000"/>
                <w:sz w:val="24"/>
              </w:rPr>
              <w:t>地表水环境。</w:t>
            </w:r>
            <w:r>
              <w:rPr>
                <w:color w:val="000000"/>
                <w:sz w:val="24"/>
              </w:rPr>
              <w:t>本项目</w:t>
            </w:r>
            <w:r>
              <w:rPr>
                <w:rFonts w:hint="eastAsia"/>
                <w:color w:val="000000"/>
                <w:sz w:val="24"/>
              </w:rPr>
              <w:t>附近有保护水体。</w:t>
            </w:r>
          </w:p>
          <w:p w14:paraId="4F92E38E">
            <w:pPr>
              <w:snapToGrid w:val="0"/>
              <w:spacing w:line="360" w:lineRule="auto"/>
              <w:ind w:firstLine="480" w:firstLineChars="200"/>
              <w:rPr>
                <w:color w:val="000000"/>
                <w:sz w:val="24"/>
                <w:lang w:val="zh-CN"/>
              </w:rPr>
            </w:pPr>
            <w:r>
              <w:rPr>
                <w:rFonts w:hint="eastAsia"/>
                <w:color w:val="000000"/>
                <w:sz w:val="24"/>
              </w:rPr>
              <w:t>4</w:t>
            </w:r>
            <w:r>
              <w:rPr>
                <w:color w:val="000000"/>
                <w:sz w:val="24"/>
                <w:lang w:val="zh-CN"/>
              </w:rPr>
              <w:t>.地下水环境。厂界外500米范围内</w:t>
            </w:r>
            <w:r>
              <w:rPr>
                <w:color w:val="000000"/>
                <w:sz w:val="24"/>
              </w:rPr>
              <w:t>无</w:t>
            </w:r>
            <w:r>
              <w:rPr>
                <w:color w:val="000000"/>
                <w:sz w:val="24"/>
                <w:lang w:val="zh-CN"/>
              </w:rPr>
              <w:t>地下水集中式饮用水水源和热水、矿泉水、温泉等特殊地下水资源。</w:t>
            </w:r>
          </w:p>
          <w:p w14:paraId="5130AC48">
            <w:pPr>
              <w:spacing w:line="360" w:lineRule="auto"/>
              <w:ind w:firstLine="480" w:firstLineChars="200"/>
              <w:rPr>
                <w:color w:val="000000"/>
                <w:sz w:val="24"/>
              </w:rPr>
            </w:pPr>
            <w:r>
              <w:rPr>
                <w:rFonts w:hint="eastAsia"/>
                <w:color w:val="000000"/>
                <w:sz w:val="24"/>
              </w:rPr>
              <w:t>5</w:t>
            </w:r>
            <w:r>
              <w:rPr>
                <w:color w:val="000000"/>
                <w:sz w:val="24"/>
                <w:lang w:val="zh-CN"/>
              </w:rPr>
              <w:t>.生态环境。</w:t>
            </w:r>
            <w:r>
              <w:rPr>
                <w:color w:val="000000"/>
                <w:sz w:val="24"/>
              </w:rPr>
              <w:t>本项目新增用地范围内，无生态环境保护目标。</w:t>
            </w:r>
          </w:p>
          <w:p w14:paraId="534E1CFF">
            <w:pPr>
              <w:spacing w:line="360" w:lineRule="auto"/>
              <w:ind w:firstLine="480" w:firstLineChars="200"/>
              <w:jc w:val="left"/>
              <w:rPr>
                <w:b/>
                <w:color w:val="000000"/>
                <w:sz w:val="24"/>
                <w:szCs w:val="32"/>
              </w:rPr>
            </w:pPr>
            <w:r>
              <w:rPr>
                <w:color w:val="000000"/>
                <w:sz w:val="24"/>
              </w:rPr>
              <w:t>具体环境保护</w:t>
            </w:r>
            <w:r>
              <w:rPr>
                <w:rFonts w:hint="eastAsia"/>
                <w:color w:val="000000"/>
                <w:sz w:val="24"/>
              </w:rPr>
              <w:t>目标</w:t>
            </w:r>
            <w:r>
              <w:rPr>
                <w:color w:val="000000"/>
                <w:sz w:val="24"/>
              </w:rPr>
              <w:t>见下表：</w:t>
            </w:r>
          </w:p>
          <w:p w14:paraId="76BB507B">
            <w:pPr>
              <w:tabs>
                <w:tab w:val="left" w:pos="420"/>
              </w:tabs>
              <w:jc w:val="center"/>
              <w:rPr>
                <w:b/>
                <w:color w:val="000000"/>
                <w:sz w:val="24"/>
                <w:szCs w:val="32"/>
              </w:rPr>
            </w:pPr>
            <w:r>
              <w:rPr>
                <w:rFonts w:hint="eastAsia"/>
                <w:b/>
                <w:color w:val="000000"/>
                <w:sz w:val="24"/>
                <w:szCs w:val="32"/>
              </w:rPr>
              <w:t xml:space="preserve">表3-7  </w:t>
            </w:r>
            <w:r>
              <w:rPr>
                <w:b/>
                <w:color w:val="000000"/>
                <w:sz w:val="24"/>
                <w:szCs w:val="32"/>
              </w:rPr>
              <w:t>环境保护目标及保护级别</w:t>
            </w:r>
          </w:p>
          <w:tbl>
            <w:tblPr>
              <w:tblStyle w:val="2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6"/>
              <w:gridCol w:w="1379"/>
              <w:gridCol w:w="706"/>
              <w:gridCol w:w="679"/>
              <w:gridCol w:w="698"/>
              <w:gridCol w:w="735"/>
              <w:gridCol w:w="1838"/>
              <w:gridCol w:w="729"/>
              <w:gridCol w:w="709"/>
            </w:tblGrid>
            <w:tr w14:paraId="2D722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79" w:type="pct"/>
                  <w:vMerge w:val="restart"/>
                  <w:vAlign w:val="center"/>
                </w:tcPr>
                <w:p w14:paraId="0B0B6377">
                  <w:pPr>
                    <w:pStyle w:val="28"/>
                    <w:jc w:val="center"/>
                    <w:rPr>
                      <w:rFonts w:ascii="Times New Roman" w:cs="Times New Roman"/>
                      <w:sz w:val="21"/>
                      <w:szCs w:val="21"/>
                    </w:rPr>
                  </w:pPr>
                  <w:r>
                    <w:rPr>
                      <w:rFonts w:ascii="Times New Roman" w:cs="Times New Roman"/>
                      <w:sz w:val="21"/>
                      <w:szCs w:val="21"/>
                    </w:rPr>
                    <w:t>环境要素</w:t>
                  </w:r>
                </w:p>
              </w:tc>
              <w:tc>
                <w:tcPr>
                  <w:tcW w:w="857" w:type="pct"/>
                  <w:vMerge w:val="restart"/>
                  <w:vAlign w:val="center"/>
                </w:tcPr>
                <w:p w14:paraId="4EF38B8B">
                  <w:pPr>
                    <w:pStyle w:val="28"/>
                    <w:jc w:val="center"/>
                    <w:rPr>
                      <w:rFonts w:ascii="Times New Roman" w:cs="Times New Roman"/>
                      <w:sz w:val="21"/>
                      <w:szCs w:val="21"/>
                    </w:rPr>
                  </w:pPr>
                  <w:r>
                    <w:rPr>
                      <w:rFonts w:ascii="Times New Roman" w:cs="Times New Roman"/>
                      <w:sz w:val="21"/>
                      <w:szCs w:val="21"/>
                    </w:rPr>
                    <w:t>保护目标名称</w:t>
                  </w:r>
                </w:p>
              </w:tc>
              <w:tc>
                <w:tcPr>
                  <w:tcW w:w="852" w:type="pct"/>
                  <w:gridSpan w:val="2"/>
                  <w:vAlign w:val="center"/>
                </w:tcPr>
                <w:p w14:paraId="703D3FFD">
                  <w:pPr>
                    <w:pStyle w:val="28"/>
                    <w:jc w:val="center"/>
                    <w:rPr>
                      <w:rFonts w:ascii="Times New Roman" w:cs="Times New Roman"/>
                      <w:sz w:val="21"/>
                      <w:szCs w:val="21"/>
                    </w:rPr>
                  </w:pPr>
                  <w:r>
                    <w:rPr>
                      <w:rFonts w:ascii="Times New Roman" w:cs="Times New Roman"/>
                      <w:sz w:val="21"/>
                      <w:szCs w:val="21"/>
                    </w:rPr>
                    <w:t>坐标</w:t>
                  </w:r>
                </w:p>
              </w:tc>
              <w:tc>
                <w:tcPr>
                  <w:tcW w:w="436" w:type="pct"/>
                  <w:vMerge w:val="restart"/>
                  <w:vAlign w:val="center"/>
                </w:tcPr>
                <w:p w14:paraId="78CCCDB5">
                  <w:pPr>
                    <w:pStyle w:val="28"/>
                    <w:jc w:val="center"/>
                    <w:rPr>
                      <w:rFonts w:ascii="Times New Roman" w:cs="Times New Roman"/>
                      <w:sz w:val="21"/>
                      <w:szCs w:val="21"/>
                    </w:rPr>
                  </w:pPr>
                  <w:r>
                    <w:rPr>
                      <w:rFonts w:ascii="Times New Roman" w:cs="Times New Roman"/>
                      <w:sz w:val="21"/>
                      <w:szCs w:val="21"/>
                    </w:rPr>
                    <w:t>保护对象</w:t>
                  </w:r>
                </w:p>
              </w:tc>
              <w:tc>
                <w:tcPr>
                  <w:tcW w:w="459" w:type="pct"/>
                  <w:vMerge w:val="restart"/>
                  <w:vAlign w:val="center"/>
                </w:tcPr>
                <w:p w14:paraId="63FCA23F">
                  <w:pPr>
                    <w:pStyle w:val="28"/>
                    <w:jc w:val="center"/>
                    <w:rPr>
                      <w:rFonts w:ascii="Times New Roman" w:cs="Times New Roman"/>
                      <w:sz w:val="21"/>
                      <w:szCs w:val="21"/>
                    </w:rPr>
                  </w:pPr>
                  <w:r>
                    <w:rPr>
                      <w:rFonts w:ascii="Times New Roman" w:cs="Times New Roman"/>
                      <w:sz w:val="21"/>
                      <w:szCs w:val="21"/>
                    </w:rPr>
                    <w:t>保护内容</w:t>
                  </w:r>
                </w:p>
              </w:tc>
              <w:tc>
                <w:tcPr>
                  <w:tcW w:w="1116" w:type="pct"/>
                  <w:vMerge w:val="restart"/>
                  <w:vAlign w:val="center"/>
                </w:tcPr>
                <w:p w14:paraId="6DE930B6">
                  <w:pPr>
                    <w:pStyle w:val="28"/>
                    <w:jc w:val="center"/>
                    <w:rPr>
                      <w:rFonts w:ascii="Times New Roman" w:cs="Times New Roman"/>
                      <w:sz w:val="21"/>
                      <w:szCs w:val="21"/>
                    </w:rPr>
                  </w:pPr>
                  <w:r>
                    <w:rPr>
                      <w:rFonts w:ascii="Times New Roman" w:cs="Times New Roman"/>
                      <w:sz w:val="21"/>
                      <w:szCs w:val="21"/>
                    </w:rPr>
                    <w:t>环境功能区</w:t>
                  </w:r>
                </w:p>
              </w:tc>
              <w:tc>
                <w:tcPr>
                  <w:tcW w:w="455" w:type="pct"/>
                  <w:vMerge w:val="restart"/>
                  <w:vAlign w:val="center"/>
                </w:tcPr>
                <w:p w14:paraId="25FEB08D">
                  <w:pPr>
                    <w:pStyle w:val="28"/>
                    <w:jc w:val="center"/>
                    <w:rPr>
                      <w:rFonts w:ascii="Times New Roman" w:cs="Times New Roman"/>
                      <w:sz w:val="21"/>
                      <w:szCs w:val="21"/>
                    </w:rPr>
                  </w:pPr>
                  <w:r>
                    <w:rPr>
                      <w:rFonts w:ascii="Times New Roman" w:cs="Times New Roman"/>
                      <w:sz w:val="21"/>
                      <w:szCs w:val="21"/>
                    </w:rPr>
                    <w:t>相对厂址方位</w:t>
                  </w:r>
                </w:p>
              </w:tc>
              <w:tc>
                <w:tcPr>
                  <w:tcW w:w="442" w:type="pct"/>
                  <w:vMerge w:val="restart"/>
                  <w:vAlign w:val="center"/>
                </w:tcPr>
                <w:p w14:paraId="36C7E392">
                  <w:pPr>
                    <w:pStyle w:val="28"/>
                    <w:jc w:val="center"/>
                    <w:rPr>
                      <w:rFonts w:ascii="Times New Roman" w:cs="Times New Roman"/>
                      <w:sz w:val="21"/>
                      <w:szCs w:val="21"/>
                    </w:rPr>
                  </w:pPr>
                  <w:r>
                    <w:rPr>
                      <w:rFonts w:ascii="Times New Roman" w:cs="Times New Roman"/>
                      <w:sz w:val="21"/>
                      <w:szCs w:val="21"/>
                    </w:rPr>
                    <w:t>相对厂界距离/m</w:t>
                  </w:r>
                </w:p>
              </w:tc>
            </w:tr>
            <w:tr w14:paraId="53551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79" w:type="pct"/>
                  <w:vMerge w:val="continue"/>
                  <w:vAlign w:val="center"/>
                </w:tcPr>
                <w:p w14:paraId="0EC58F60">
                  <w:pPr>
                    <w:pStyle w:val="28"/>
                    <w:jc w:val="center"/>
                    <w:rPr>
                      <w:rFonts w:ascii="Times New Roman" w:cs="Times New Roman"/>
                      <w:sz w:val="21"/>
                      <w:szCs w:val="21"/>
                    </w:rPr>
                  </w:pPr>
                </w:p>
              </w:tc>
              <w:tc>
                <w:tcPr>
                  <w:tcW w:w="857" w:type="pct"/>
                  <w:vMerge w:val="continue"/>
                  <w:vAlign w:val="center"/>
                </w:tcPr>
                <w:p w14:paraId="4C19FEA3">
                  <w:pPr>
                    <w:pStyle w:val="28"/>
                    <w:jc w:val="center"/>
                    <w:rPr>
                      <w:rFonts w:ascii="Times New Roman" w:cs="Times New Roman"/>
                      <w:sz w:val="21"/>
                      <w:szCs w:val="21"/>
                    </w:rPr>
                  </w:pPr>
                </w:p>
              </w:tc>
              <w:tc>
                <w:tcPr>
                  <w:tcW w:w="428" w:type="pct"/>
                  <w:vAlign w:val="center"/>
                </w:tcPr>
                <w:p w14:paraId="1C4A85DD">
                  <w:pPr>
                    <w:pStyle w:val="28"/>
                    <w:jc w:val="center"/>
                    <w:rPr>
                      <w:rFonts w:ascii="Times New Roman" w:cs="Times New Roman"/>
                      <w:sz w:val="21"/>
                      <w:szCs w:val="21"/>
                    </w:rPr>
                  </w:pPr>
                  <w:r>
                    <w:rPr>
                      <w:rFonts w:ascii="Times New Roman" w:cs="Times New Roman"/>
                      <w:sz w:val="21"/>
                      <w:szCs w:val="21"/>
                    </w:rPr>
                    <w:t>X</w:t>
                  </w:r>
                </w:p>
              </w:tc>
              <w:tc>
                <w:tcPr>
                  <w:tcW w:w="424" w:type="pct"/>
                  <w:vAlign w:val="center"/>
                </w:tcPr>
                <w:p w14:paraId="71FE302C">
                  <w:pPr>
                    <w:pStyle w:val="28"/>
                    <w:jc w:val="center"/>
                    <w:rPr>
                      <w:rFonts w:ascii="Times New Roman" w:cs="Times New Roman"/>
                      <w:sz w:val="21"/>
                      <w:szCs w:val="21"/>
                    </w:rPr>
                  </w:pPr>
                  <w:r>
                    <w:rPr>
                      <w:rFonts w:ascii="Times New Roman" w:cs="Times New Roman"/>
                      <w:sz w:val="21"/>
                      <w:szCs w:val="21"/>
                    </w:rPr>
                    <w:t>Y</w:t>
                  </w:r>
                </w:p>
              </w:tc>
              <w:tc>
                <w:tcPr>
                  <w:tcW w:w="436" w:type="pct"/>
                  <w:vMerge w:val="continue"/>
                  <w:vAlign w:val="center"/>
                </w:tcPr>
                <w:p w14:paraId="3F8AED5D">
                  <w:pPr>
                    <w:pStyle w:val="28"/>
                    <w:jc w:val="center"/>
                    <w:rPr>
                      <w:rFonts w:ascii="Times New Roman" w:cs="Times New Roman"/>
                      <w:sz w:val="21"/>
                      <w:szCs w:val="21"/>
                    </w:rPr>
                  </w:pPr>
                </w:p>
              </w:tc>
              <w:tc>
                <w:tcPr>
                  <w:tcW w:w="459" w:type="pct"/>
                  <w:vMerge w:val="continue"/>
                  <w:vAlign w:val="center"/>
                </w:tcPr>
                <w:p w14:paraId="4FC0D97B">
                  <w:pPr>
                    <w:pStyle w:val="28"/>
                    <w:jc w:val="center"/>
                    <w:rPr>
                      <w:rFonts w:ascii="Times New Roman" w:cs="Times New Roman"/>
                      <w:sz w:val="21"/>
                      <w:szCs w:val="21"/>
                    </w:rPr>
                  </w:pPr>
                </w:p>
              </w:tc>
              <w:tc>
                <w:tcPr>
                  <w:tcW w:w="1116" w:type="pct"/>
                  <w:vMerge w:val="continue"/>
                  <w:vAlign w:val="center"/>
                </w:tcPr>
                <w:p w14:paraId="34643593">
                  <w:pPr>
                    <w:pStyle w:val="28"/>
                    <w:jc w:val="center"/>
                    <w:rPr>
                      <w:rFonts w:ascii="Times New Roman" w:cs="Times New Roman"/>
                      <w:sz w:val="21"/>
                      <w:szCs w:val="21"/>
                    </w:rPr>
                  </w:pPr>
                </w:p>
              </w:tc>
              <w:tc>
                <w:tcPr>
                  <w:tcW w:w="455" w:type="pct"/>
                  <w:vMerge w:val="continue"/>
                  <w:vAlign w:val="center"/>
                </w:tcPr>
                <w:p w14:paraId="036825D8">
                  <w:pPr>
                    <w:pStyle w:val="28"/>
                    <w:jc w:val="center"/>
                    <w:rPr>
                      <w:rFonts w:ascii="Times New Roman" w:cs="Times New Roman"/>
                      <w:sz w:val="21"/>
                      <w:szCs w:val="21"/>
                    </w:rPr>
                  </w:pPr>
                </w:p>
              </w:tc>
              <w:tc>
                <w:tcPr>
                  <w:tcW w:w="442" w:type="pct"/>
                  <w:vMerge w:val="continue"/>
                  <w:vAlign w:val="center"/>
                </w:tcPr>
                <w:p w14:paraId="4D806FFD">
                  <w:pPr>
                    <w:pStyle w:val="28"/>
                    <w:jc w:val="center"/>
                    <w:rPr>
                      <w:rFonts w:ascii="Times New Roman" w:cs="Times New Roman"/>
                      <w:sz w:val="21"/>
                      <w:szCs w:val="21"/>
                    </w:rPr>
                  </w:pPr>
                </w:p>
              </w:tc>
            </w:tr>
            <w:tr w14:paraId="7548D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79" w:type="pct"/>
                  <w:vMerge w:val="restart"/>
                  <w:vAlign w:val="center"/>
                </w:tcPr>
                <w:p w14:paraId="015F608C">
                  <w:pPr>
                    <w:autoSpaceDE w:val="0"/>
                    <w:autoSpaceDN w:val="0"/>
                    <w:adjustRightInd w:val="0"/>
                    <w:jc w:val="center"/>
                    <w:rPr>
                      <w:color w:val="000000"/>
                      <w:szCs w:val="21"/>
                    </w:rPr>
                  </w:pPr>
                  <w:r>
                    <w:rPr>
                      <w:color w:val="000000"/>
                      <w:szCs w:val="21"/>
                    </w:rPr>
                    <w:t>环境空气</w:t>
                  </w:r>
                </w:p>
              </w:tc>
              <w:tc>
                <w:tcPr>
                  <w:tcW w:w="857" w:type="pct"/>
                  <w:vAlign w:val="center"/>
                </w:tcPr>
                <w:p w14:paraId="43079707">
                  <w:pPr>
                    <w:pStyle w:val="28"/>
                    <w:jc w:val="center"/>
                    <w:rPr>
                      <w:rFonts w:ascii="Times New Roman" w:hAnsi="Times New Roman" w:cs="Times New Roman"/>
                      <w:sz w:val="21"/>
                      <w:szCs w:val="21"/>
                    </w:rPr>
                  </w:pPr>
                  <w:r>
                    <w:rPr>
                      <w:rFonts w:hint="eastAsia" w:ascii="Times New Roman" w:hAnsi="Times New Roman" w:cs="Times New Roman"/>
                      <w:sz w:val="21"/>
                      <w:szCs w:val="21"/>
                    </w:rPr>
                    <w:t>大童家</w:t>
                  </w:r>
                </w:p>
              </w:tc>
              <w:tc>
                <w:tcPr>
                  <w:tcW w:w="428" w:type="pct"/>
                  <w:vAlign w:val="center"/>
                </w:tcPr>
                <w:p w14:paraId="1539BBEB">
                  <w:pPr>
                    <w:pStyle w:val="28"/>
                    <w:jc w:val="center"/>
                    <w:rPr>
                      <w:rFonts w:ascii="Times New Roman" w:hAnsi="Times New Roman" w:cs="Times New Roman"/>
                      <w:sz w:val="21"/>
                      <w:szCs w:val="21"/>
                    </w:rPr>
                  </w:pPr>
                  <w:r>
                    <w:rPr>
                      <w:rFonts w:hint="eastAsia" w:ascii="Times New Roman" w:hAnsi="Times New Roman" w:cs="Times New Roman"/>
                      <w:sz w:val="21"/>
                      <w:szCs w:val="21"/>
                    </w:rPr>
                    <w:t>92</w:t>
                  </w:r>
                </w:p>
              </w:tc>
              <w:tc>
                <w:tcPr>
                  <w:tcW w:w="424" w:type="pct"/>
                  <w:vAlign w:val="center"/>
                </w:tcPr>
                <w:p w14:paraId="62EAD32D">
                  <w:pPr>
                    <w:pStyle w:val="28"/>
                    <w:jc w:val="center"/>
                    <w:rPr>
                      <w:rFonts w:ascii="Times New Roman" w:hAnsi="Times New Roman" w:cs="Times New Roman"/>
                      <w:sz w:val="21"/>
                      <w:szCs w:val="21"/>
                    </w:rPr>
                  </w:pPr>
                  <w:r>
                    <w:rPr>
                      <w:rFonts w:hint="eastAsia" w:ascii="Times New Roman" w:hAnsi="Times New Roman" w:cs="Times New Roman"/>
                      <w:sz w:val="21"/>
                      <w:szCs w:val="21"/>
                    </w:rPr>
                    <w:t>0</w:t>
                  </w:r>
                </w:p>
              </w:tc>
              <w:tc>
                <w:tcPr>
                  <w:tcW w:w="436" w:type="pct"/>
                  <w:vAlign w:val="center"/>
                </w:tcPr>
                <w:p w14:paraId="65B45703">
                  <w:pPr>
                    <w:jc w:val="center"/>
                    <w:rPr>
                      <w:color w:val="000000"/>
                    </w:rPr>
                  </w:pPr>
                  <w:r>
                    <w:rPr>
                      <w:rFonts w:hint="eastAsia"/>
                      <w:color w:val="000000"/>
                      <w:szCs w:val="21"/>
                    </w:rPr>
                    <w:t>居民</w:t>
                  </w:r>
                </w:p>
              </w:tc>
              <w:tc>
                <w:tcPr>
                  <w:tcW w:w="459" w:type="pct"/>
                  <w:vAlign w:val="center"/>
                </w:tcPr>
                <w:p w14:paraId="527AFCFC">
                  <w:pPr>
                    <w:pStyle w:val="28"/>
                    <w:jc w:val="center"/>
                    <w:rPr>
                      <w:rFonts w:ascii="Times New Roman" w:hAnsi="Times New Roman" w:cs="Times New Roman"/>
                      <w:sz w:val="21"/>
                      <w:szCs w:val="21"/>
                    </w:rPr>
                  </w:pPr>
                  <w:r>
                    <w:rPr>
                      <w:rFonts w:hint="eastAsia" w:ascii="Times New Roman" w:hAnsi="Times New Roman" w:cs="Times New Roman"/>
                      <w:sz w:val="21"/>
                      <w:szCs w:val="21"/>
                    </w:rPr>
                    <w:t>200人</w:t>
                  </w:r>
                </w:p>
              </w:tc>
              <w:tc>
                <w:tcPr>
                  <w:tcW w:w="1116" w:type="pct"/>
                  <w:vMerge w:val="restart"/>
                  <w:vAlign w:val="center"/>
                </w:tcPr>
                <w:p w14:paraId="534822CB">
                  <w:pPr>
                    <w:jc w:val="center"/>
                    <w:rPr>
                      <w:color w:val="000000"/>
                      <w:szCs w:val="21"/>
                    </w:rPr>
                  </w:pPr>
                  <w:r>
                    <w:rPr>
                      <w:color w:val="000000"/>
                      <w:szCs w:val="21"/>
                    </w:rPr>
                    <w:t>（GB3095-2012）中二级标准</w:t>
                  </w:r>
                </w:p>
              </w:tc>
              <w:tc>
                <w:tcPr>
                  <w:tcW w:w="455" w:type="pct"/>
                  <w:vAlign w:val="center"/>
                </w:tcPr>
                <w:p w14:paraId="116B9805">
                  <w:pPr>
                    <w:pStyle w:val="28"/>
                    <w:jc w:val="center"/>
                    <w:rPr>
                      <w:rFonts w:ascii="Times New Roman" w:hAnsi="Times New Roman" w:cs="Times New Roman"/>
                      <w:sz w:val="21"/>
                      <w:szCs w:val="21"/>
                    </w:rPr>
                  </w:pPr>
                  <w:r>
                    <w:rPr>
                      <w:rFonts w:hint="eastAsia" w:ascii="Times New Roman" w:hAnsi="Times New Roman" w:cs="Times New Roman"/>
                      <w:sz w:val="21"/>
                      <w:szCs w:val="21"/>
                    </w:rPr>
                    <w:t>E</w:t>
                  </w:r>
                </w:p>
              </w:tc>
              <w:tc>
                <w:tcPr>
                  <w:tcW w:w="442" w:type="pct"/>
                  <w:vAlign w:val="center"/>
                </w:tcPr>
                <w:p w14:paraId="67B3BC39">
                  <w:pPr>
                    <w:pStyle w:val="28"/>
                    <w:jc w:val="center"/>
                    <w:rPr>
                      <w:rFonts w:ascii="Times New Roman" w:hAnsi="Times New Roman" w:cs="Times New Roman"/>
                      <w:sz w:val="21"/>
                      <w:szCs w:val="21"/>
                    </w:rPr>
                  </w:pPr>
                  <w:r>
                    <w:rPr>
                      <w:rFonts w:hint="eastAsia" w:ascii="Times New Roman" w:hAnsi="Times New Roman" w:cs="Times New Roman"/>
                      <w:sz w:val="21"/>
                      <w:szCs w:val="21"/>
                    </w:rPr>
                    <w:t>10</w:t>
                  </w:r>
                </w:p>
              </w:tc>
            </w:tr>
            <w:tr w14:paraId="2791A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79" w:type="pct"/>
                  <w:vMerge w:val="continue"/>
                  <w:vAlign w:val="center"/>
                </w:tcPr>
                <w:p w14:paraId="057AE50E">
                  <w:pPr>
                    <w:autoSpaceDE w:val="0"/>
                    <w:autoSpaceDN w:val="0"/>
                    <w:adjustRightInd w:val="0"/>
                    <w:jc w:val="center"/>
                    <w:rPr>
                      <w:color w:val="000000"/>
                      <w:szCs w:val="21"/>
                    </w:rPr>
                  </w:pPr>
                </w:p>
              </w:tc>
              <w:tc>
                <w:tcPr>
                  <w:tcW w:w="857" w:type="pct"/>
                  <w:vAlign w:val="center"/>
                </w:tcPr>
                <w:p w14:paraId="56B1F9F7">
                  <w:pPr>
                    <w:pStyle w:val="28"/>
                    <w:jc w:val="center"/>
                    <w:rPr>
                      <w:rFonts w:ascii="Times New Roman" w:hAnsi="Times New Roman" w:cs="Times New Roman"/>
                      <w:sz w:val="21"/>
                      <w:szCs w:val="21"/>
                    </w:rPr>
                  </w:pPr>
                  <w:r>
                    <w:rPr>
                      <w:rFonts w:hint="eastAsia" w:ascii="Times New Roman" w:hAnsi="Times New Roman" w:cs="Times New Roman"/>
                      <w:sz w:val="21"/>
                      <w:szCs w:val="21"/>
                    </w:rPr>
                    <w:t>后傅家</w:t>
                  </w:r>
                </w:p>
              </w:tc>
              <w:tc>
                <w:tcPr>
                  <w:tcW w:w="428" w:type="pct"/>
                  <w:vAlign w:val="center"/>
                </w:tcPr>
                <w:p w14:paraId="04CF5532">
                  <w:pPr>
                    <w:pStyle w:val="28"/>
                    <w:jc w:val="center"/>
                    <w:rPr>
                      <w:rFonts w:ascii="Times New Roman" w:hAnsi="Times New Roman" w:cs="Times New Roman"/>
                      <w:sz w:val="21"/>
                      <w:szCs w:val="21"/>
                    </w:rPr>
                  </w:pPr>
                  <w:r>
                    <w:rPr>
                      <w:rFonts w:hint="eastAsia" w:ascii="Times New Roman" w:hAnsi="Times New Roman" w:cs="Times New Roman"/>
                      <w:sz w:val="21"/>
                      <w:szCs w:val="21"/>
                    </w:rPr>
                    <w:t>197</w:t>
                  </w:r>
                </w:p>
              </w:tc>
              <w:tc>
                <w:tcPr>
                  <w:tcW w:w="424" w:type="pct"/>
                  <w:vAlign w:val="center"/>
                </w:tcPr>
                <w:p w14:paraId="21041830">
                  <w:pPr>
                    <w:pStyle w:val="28"/>
                    <w:jc w:val="center"/>
                    <w:rPr>
                      <w:rFonts w:ascii="Times New Roman" w:hAnsi="Times New Roman" w:cs="Times New Roman"/>
                      <w:sz w:val="21"/>
                      <w:szCs w:val="21"/>
                    </w:rPr>
                  </w:pPr>
                  <w:r>
                    <w:rPr>
                      <w:rFonts w:hint="eastAsia" w:ascii="Times New Roman" w:hAnsi="Times New Roman" w:cs="Times New Roman"/>
                      <w:sz w:val="21"/>
                      <w:szCs w:val="21"/>
                    </w:rPr>
                    <w:t>0</w:t>
                  </w:r>
                </w:p>
              </w:tc>
              <w:tc>
                <w:tcPr>
                  <w:tcW w:w="436" w:type="pct"/>
                  <w:vAlign w:val="center"/>
                </w:tcPr>
                <w:p w14:paraId="3520A5AE">
                  <w:pPr>
                    <w:jc w:val="center"/>
                    <w:rPr>
                      <w:color w:val="000000"/>
                      <w:szCs w:val="21"/>
                    </w:rPr>
                  </w:pPr>
                  <w:r>
                    <w:rPr>
                      <w:rFonts w:hint="eastAsia"/>
                      <w:color w:val="000000"/>
                      <w:szCs w:val="21"/>
                    </w:rPr>
                    <w:t>居民</w:t>
                  </w:r>
                </w:p>
              </w:tc>
              <w:tc>
                <w:tcPr>
                  <w:tcW w:w="459" w:type="pct"/>
                  <w:vAlign w:val="center"/>
                </w:tcPr>
                <w:p w14:paraId="4080DF8C">
                  <w:pPr>
                    <w:pStyle w:val="28"/>
                    <w:jc w:val="center"/>
                    <w:rPr>
                      <w:rFonts w:ascii="Times New Roman" w:hAnsi="Times New Roman" w:cs="Times New Roman"/>
                      <w:sz w:val="21"/>
                      <w:szCs w:val="21"/>
                    </w:rPr>
                  </w:pPr>
                  <w:r>
                    <w:rPr>
                      <w:rFonts w:hint="eastAsia" w:ascii="Times New Roman" w:hAnsi="Times New Roman" w:cs="Times New Roman"/>
                      <w:sz w:val="21"/>
                      <w:szCs w:val="21"/>
                    </w:rPr>
                    <w:t>300人</w:t>
                  </w:r>
                </w:p>
              </w:tc>
              <w:tc>
                <w:tcPr>
                  <w:tcW w:w="1116" w:type="pct"/>
                  <w:vMerge w:val="continue"/>
                  <w:vAlign w:val="center"/>
                </w:tcPr>
                <w:p w14:paraId="2B0CE7CF">
                  <w:pPr>
                    <w:jc w:val="center"/>
                    <w:rPr>
                      <w:color w:val="000000"/>
                      <w:szCs w:val="21"/>
                    </w:rPr>
                  </w:pPr>
                </w:p>
              </w:tc>
              <w:tc>
                <w:tcPr>
                  <w:tcW w:w="455" w:type="pct"/>
                  <w:vAlign w:val="center"/>
                </w:tcPr>
                <w:p w14:paraId="2925C3E5">
                  <w:pPr>
                    <w:pStyle w:val="28"/>
                    <w:jc w:val="center"/>
                    <w:rPr>
                      <w:rFonts w:ascii="Times New Roman" w:hAnsi="Times New Roman" w:cs="Times New Roman"/>
                      <w:sz w:val="21"/>
                      <w:szCs w:val="21"/>
                    </w:rPr>
                  </w:pPr>
                  <w:r>
                    <w:rPr>
                      <w:rFonts w:hint="eastAsia" w:ascii="Times New Roman" w:hAnsi="Times New Roman" w:cs="Times New Roman"/>
                      <w:sz w:val="21"/>
                      <w:szCs w:val="21"/>
                    </w:rPr>
                    <w:t>E</w:t>
                  </w:r>
                </w:p>
              </w:tc>
              <w:tc>
                <w:tcPr>
                  <w:tcW w:w="442" w:type="pct"/>
                  <w:vAlign w:val="center"/>
                </w:tcPr>
                <w:p w14:paraId="28D8FDE9">
                  <w:pPr>
                    <w:pStyle w:val="28"/>
                    <w:jc w:val="center"/>
                    <w:rPr>
                      <w:rFonts w:ascii="Times New Roman" w:hAnsi="Times New Roman" w:cs="Times New Roman"/>
                      <w:sz w:val="21"/>
                      <w:szCs w:val="21"/>
                    </w:rPr>
                  </w:pPr>
                  <w:r>
                    <w:rPr>
                      <w:rFonts w:hint="eastAsia" w:ascii="Times New Roman" w:hAnsi="Times New Roman" w:cs="Times New Roman"/>
                      <w:sz w:val="21"/>
                      <w:szCs w:val="21"/>
                    </w:rPr>
                    <w:t>120</w:t>
                  </w:r>
                </w:p>
              </w:tc>
            </w:tr>
            <w:tr w14:paraId="6A763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79" w:type="pct"/>
                  <w:vMerge w:val="continue"/>
                  <w:vAlign w:val="center"/>
                </w:tcPr>
                <w:p w14:paraId="198E4D2C">
                  <w:pPr>
                    <w:autoSpaceDE w:val="0"/>
                    <w:autoSpaceDN w:val="0"/>
                    <w:adjustRightInd w:val="0"/>
                    <w:jc w:val="center"/>
                    <w:rPr>
                      <w:color w:val="000000"/>
                      <w:szCs w:val="21"/>
                    </w:rPr>
                  </w:pPr>
                </w:p>
              </w:tc>
              <w:tc>
                <w:tcPr>
                  <w:tcW w:w="857" w:type="pct"/>
                  <w:vAlign w:val="center"/>
                </w:tcPr>
                <w:p w14:paraId="03334A9C">
                  <w:pPr>
                    <w:pStyle w:val="28"/>
                    <w:jc w:val="center"/>
                    <w:rPr>
                      <w:rFonts w:ascii="Times New Roman" w:hAnsi="Times New Roman" w:cs="Times New Roman"/>
                      <w:sz w:val="21"/>
                      <w:szCs w:val="21"/>
                    </w:rPr>
                  </w:pPr>
                  <w:r>
                    <w:rPr>
                      <w:rFonts w:hint="eastAsia" w:ascii="Times New Roman" w:hAnsi="Times New Roman" w:cs="Times New Roman"/>
                      <w:sz w:val="21"/>
                      <w:szCs w:val="21"/>
                    </w:rPr>
                    <w:t>前傅家</w:t>
                  </w:r>
                </w:p>
              </w:tc>
              <w:tc>
                <w:tcPr>
                  <w:tcW w:w="428" w:type="pct"/>
                  <w:vAlign w:val="center"/>
                </w:tcPr>
                <w:p w14:paraId="61C1E9EF">
                  <w:pPr>
                    <w:pStyle w:val="28"/>
                    <w:jc w:val="center"/>
                    <w:rPr>
                      <w:rFonts w:ascii="Times New Roman" w:hAnsi="Times New Roman" w:cs="Times New Roman"/>
                      <w:sz w:val="21"/>
                      <w:szCs w:val="21"/>
                    </w:rPr>
                  </w:pPr>
                  <w:r>
                    <w:rPr>
                      <w:rFonts w:hint="eastAsia" w:ascii="Times New Roman" w:hAnsi="Times New Roman" w:cs="Times New Roman"/>
                      <w:sz w:val="21"/>
                      <w:szCs w:val="21"/>
                    </w:rPr>
                    <w:t>72</w:t>
                  </w:r>
                </w:p>
              </w:tc>
              <w:tc>
                <w:tcPr>
                  <w:tcW w:w="424" w:type="pct"/>
                  <w:vAlign w:val="center"/>
                </w:tcPr>
                <w:p w14:paraId="6738568F">
                  <w:pPr>
                    <w:pStyle w:val="28"/>
                    <w:jc w:val="center"/>
                    <w:rPr>
                      <w:rFonts w:ascii="Times New Roman" w:hAnsi="Times New Roman" w:cs="Times New Roman"/>
                      <w:sz w:val="21"/>
                      <w:szCs w:val="21"/>
                    </w:rPr>
                  </w:pPr>
                  <w:r>
                    <w:rPr>
                      <w:rFonts w:hint="eastAsia" w:ascii="Times New Roman" w:hAnsi="Times New Roman" w:cs="Times New Roman"/>
                      <w:sz w:val="21"/>
                      <w:szCs w:val="21"/>
                    </w:rPr>
                    <w:t>-274</w:t>
                  </w:r>
                </w:p>
              </w:tc>
              <w:tc>
                <w:tcPr>
                  <w:tcW w:w="436" w:type="pct"/>
                  <w:vAlign w:val="center"/>
                </w:tcPr>
                <w:p w14:paraId="775D8988">
                  <w:pPr>
                    <w:jc w:val="center"/>
                    <w:rPr>
                      <w:color w:val="000000"/>
                      <w:szCs w:val="21"/>
                    </w:rPr>
                  </w:pPr>
                  <w:r>
                    <w:rPr>
                      <w:rFonts w:hint="eastAsia"/>
                      <w:color w:val="000000"/>
                      <w:szCs w:val="21"/>
                    </w:rPr>
                    <w:t>居民</w:t>
                  </w:r>
                </w:p>
              </w:tc>
              <w:tc>
                <w:tcPr>
                  <w:tcW w:w="459" w:type="pct"/>
                  <w:vAlign w:val="center"/>
                </w:tcPr>
                <w:p w14:paraId="5A722196">
                  <w:pPr>
                    <w:pStyle w:val="28"/>
                    <w:jc w:val="center"/>
                    <w:rPr>
                      <w:rFonts w:ascii="Times New Roman" w:hAnsi="Times New Roman" w:cs="Times New Roman"/>
                      <w:bCs/>
                      <w:sz w:val="21"/>
                      <w:szCs w:val="21"/>
                    </w:rPr>
                  </w:pPr>
                  <w:r>
                    <w:rPr>
                      <w:rFonts w:hint="eastAsia" w:ascii="Times New Roman" w:hAnsi="Times New Roman" w:cs="Times New Roman"/>
                      <w:sz w:val="21"/>
                      <w:szCs w:val="21"/>
                    </w:rPr>
                    <w:t>300人</w:t>
                  </w:r>
                </w:p>
              </w:tc>
              <w:tc>
                <w:tcPr>
                  <w:tcW w:w="1116" w:type="pct"/>
                  <w:vMerge w:val="continue"/>
                  <w:vAlign w:val="center"/>
                </w:tcPr>
                <w:p w14:paraId="677F6902">
                  <w:pPr>
                    <w:jc w:val="center"/>
                    <w:rPr>
                      <w:color w:val="000000"/>
                      <w:szCs w:val="21"/>
                    </w:rPr>
                  </w:pPr>
                </w:p>
              </w:tc>
              <w:tc>
                <w:tcPr>
                  <w:tcW w:w="455" w:type="pct"/>
                  <w:vAlign w:val="center"/>
                </w:tcPr>
                <w:p w14:paraId="1DEC52B0">
                  <w:pPr>
                    <w:pStyle w:val="28"/>
                    <w:jc w:val="center"/>
                    <w:rPr>
                      <w:rFonts w:ascii="Times New Roman" w:hAnsi="Times New Roman" w:cs="Times New Roman"/>
                      <w:sz w:val="21"/>
                      <w:szCs w:val="21"/>
                    </w:rPr>
                  </w:pPr>
                  <w:r>
                    <w:rPr>
                      <w:rFonts w:hint="eastAsia" w:ascii="Times New Roman" w:hAnsi="Times New Roman" w:cs="Times New Roman"/>
                      <w:sz w:val="21"/>
                      <w:szCs w:val="21"/>
                    </w:rPr>
                    <w:t>SE</w:t>
                  </w:r>
                </w:p>
              </w:tc>
              <w:tc>
                <w:tcPr>
                  <w:tcW w:w="442" w:type="pct"/>
                  <w:vAlign w:val="center"/>
                </w:tcPr>
                <w:p w14:paraId="0E2CDF11">
                  <w:pPr>
                    <w:pStyle w:val="28"/>
                    <w:jc w:val="center"/>
                    <w:rPr>
                      <w:rFonts w:ascii="Times New Roman" w:hAnsi="Times New Roman" w:cs="Times New Roman"/>
                      <w:sz w:val="21"/>
                      <w:szCs w:val="21"/>
                    </w:rPr>
                  </w:pPr>
                  <w:r>
                    <w:rPr>
                      <w:rFonts w:hint="eastAsia" w:ascii="Times New Roman" w:hAnsi="Times New Roman" w:cs="Times New Roman"/>
                      <w:sz w:val="21"/>
                      <w:szCs w:val="21"/>
                    </w:rPr>
                    <w:t>199</w:t>
                  </w:r>
                </w:p>
              </w:tc>
            </w:tr>
            <w:tr w14:paraId="2B93F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79" w:type="pct"/>
                  <w:vMerge w:val="continue"/>
                  <w:vAlign w:val="center"/>
                </w:tcPr>
                <w:p w14:paraId="54A8C0B2">
                  <w:pPr>
                    <w:autoSpaceDE w:val="0"/>
                    <w:autoSpaceDN w:val="0"/>
                    <w:adjustRightInd w:val="0"/>
                    <w:jc w:val="center"/>
                    <w:rPr>
                      <w:color w:val="000000"/>
                      <w:szCs w:val="21"/>
                    </w:rPr>
                  </w:pPr>
                </w:p>
              </w:tc>
              <w:tc>
                <w:tcPr>
                  <w:tcW w:w="857" w:type="pct"/>
                  <w:vAlign w:val="center"/>
                </w:tcPr>
                <w:p w14:paraId="68F54321">
                  <w:pPr>
                    <w:pStyle w:val="28"/>
                    <w:jc w:val="center"/>
                    <w:rPr>
                      <w:rFonts w:ascii="Times New Roman" w:hAnsi="Times New Roman" w:cs="Times New Roman"/>
                      <w:sz w:val="21"/>
                      <w:szCs w:val="21"/>
                    </w:rPr>
                  </w:pPr>
                  <w:r>
                    <w:rPr>
                      <w:rFonts w:hint="eastAsia" w:ascii="Times New Roman" w:hAnsi="Times New Roman" w:cs="Times New Roman"/>
                      <w:sz w:val="21"/>
                      <w:szCs w:val="21"/>
                    </w:rPr>
                    <w:t>傅湖村</w:t>
                  </w:r>
                </w:p>
              </w:tc>
              <w:tc>
                <w:tcPr>
                  <w:tcW w:w="428" w:type="pct"/>
                  <w:vAlign w:val="center"/>
                </w:tcPr>
                <w:p w14:paraId="241D3A5B">
                  <w:pPr>
                    <w:pStyle w:val="28"/>
                    <w:jc w:val="center"/>
                    <w:rPr>
                      <w:rFonts w:ascii="Times New Roman" w:hAnsi="Times New Roman" w:cs="Times New Roman"/>
                      <w:sz w:val="21"/>
                      <w:szCs w:val="21"/>
                    </w:rPr>
                  </w:pPr>
                  <w:r>
                    <w:rPr>
                      <w:rFonts w:hint="eastAsia" w:ascii="Times New Roman" w:hAnsi="Times New Roman" w:cs="Times New Roman"/>
                      <w:sz w:val="21"/>
                      <w:szCs w:val="21"/>
                    </w:rPr>
                    <w:t>-296</w:t>
                  </w:r>
                </w:p>
              </w:tc>
              <w:tc>
                <w:tcPr>
                  <w:tcW w:w="424" w:type="pct"/>
                  <w:vAlign w:val="center"/>
                </w:tcPr>
                <w:p w14:paraId="10548815">
                  <w:pPr>
                    <w:pStyle w:val="28"/>
                    <w:jc w:val="center"/>
                    <w:rPr>
                      <w:rFonts w:ascii="Times New Roman" w:hAnsi="Times New Roman" w:cs="Times New Roman"/>
                      <w:sz w:val="21"/>
                      <w:szCs w:val="21"/>
                    </w:rPr>
                  </w:pPr>
                  <w:r>
                    <w:rPr>
                      <w:rFonts w:hint="eastAsia" w:ascii="Times New Roman" w:hAnsi="Times New Roman" w:cs="Times New Roman"/>
                      <w:sz w:val="21"/>
                      <w:szCs w:val="21"/>
                    </w:rPr>
                    <w:t>-220</w:t>
                  </w:r>
                </w:p>
              </w:tc>
              <w:tc>
                <w:tcPr>
                  <w:tcW w:w="436" w:type="pct"/>
                  <w:vAlign w:val="center"/>
                </w:tcPr>
                <w:p w14:paraId="15F54B00">
                  <w:pPr>
                    <w:jc w:val="center"/>
                    <w:rPr>
                      <w:color w:val="000000"/>
                      <w:szCs w:val="21"/>
                    </w:rPr>
                  </w:pPr>
                  <w:r>
                    <w:rPr>
                      <w:rFonts w:hint="eastAsia"/>
                      <w:color w:val="000000"/>
                      <w:szCs w:val="21"/>
                    </w:rPr>
                    <w:t>居民</w:t>
                  </w:r>
                </w:p>
              </w:tc>
              <w:tc>
                <w:tcPr>
                  <w:tcW w:w="459" w:type="pct"/>
                  <w:vAlign w:val="center"/>
                </w:tcPr>
                <w:p w14:paraId="7E4AE968">
                  <w:pPr>
                    <w:pStyle w:val="28"/>
                    <w:jc w:val="center"/>
                    <w:rPr>
                      <w:rFonts w:ascii="Times New Roman" w:hAnsi="Times New Roman" w:cs="Times New Roman"/>
                      <w:sz w:val="21"/>
                      <w:szCs w:val="21"/>
                    </w:rPr>
                  </w:pPr>
                  <w:r>
                    <w:rPr>
                      <w:rFonts w:hint="eastAsia" w:ascii="Times New Roman" w:hAnsi="Times New Roman" w:cs="Times New Roman"/>
                      <w:sz w:val="21"/>
                      <w:szCs w:val="21"/>
                    </w:rPr>
                    <w:t>200人</w:t>
                  </w:r>
                </w:p>
              </w:tc>
              <w:tc>
                <w:tcPr>
                  <w:tcW w:w="1116" w:type="pct"/>
                  <w:vMerge w:val="continue"/>
                  <w:vAlign w:val="center"/>
                </w:tcPr>
                <w:p w14:paraId="1AE933A5">
                  <w:pPr>
                    <w:jc w:val="center"/>
                    <w:rPr>
                      <w:color w:val="000000"/>
                      <w:szCs w:val="21"/>
                    </w:rPr>
                  </w:pPr>
                </w:p>
              </w:tc>
              <w:tc>
                <w:tcPr>
                  <w:tcW w:w="455" w:type="pct"/>
                  <w:vAlign w:val="center"/>
                </w:tcPr>
                <w:p w14:paraId="7F6EF3F7">
                  <w:pPr>
                    <w:pStyle w:val="28"/>
                    <w:jc w:val="center"/>
                    <w:rPr>
                      <w:rFonts w:ascii="Times New Roman" w:hAnsi="Times New Roman" w:cs="Times New Roman"/>
                      <w:sz w:val="21"/>
                      <w:szCs w:val="21"/>
                    </w:rPr>
                  </w:pPr>
                  <w:r>
                    <w:rPr>
                      <w:rFonts w:hint="eastAsia" w:ascii="Times New Roman" w:hAnsi="Times New Roman" w:cs="Times New Roman"/>
                      <w:sz w:val="21"/>
                      <w:szCs w:val="21"/>
                    </w:rPr>
                    <w:t>SW</w:t>
                  </w:r>
                </w:p>
              </w:tc>
              <w:tc>
                <w:tcPr>
                  <w:tcW w:w="442" w:type="pct"/>
                  <w:vAlign w:val="center"/>
                </w:tcPr>
                <w:p w14:paraId="5E923F51">
                  <w:pPr>
                    <w:pStyle w:val="28"/>
                    <w:jc w:val="center"/>
                    <w:rPr>
                      <w:rFonts w:ascii="Times New Roman" w:hAnsi="Times New Roman" w:cs="Times New Roman"/>
                      <w:sz w:val="21"/>
                      <w:szCs w:val="21"/>
                    </w:rPr>
                  </w:pPr>
                  <w:r>
                    <w:rPr>
                      <w:rFonts w:hint="eastAsia" w:ascii="Times New Roman" w:hAnsi="Times New Roman" w:cs="Times New Roman"/>
                      <w:sz w:val="21"/>
                      <w:szCs w:val="21"/>
                    </w:rPr>
                    <w:t>203</w:t>
                  </w:r>
                </w:p>
              </w:tc>
            </w:tr>
            <w:tr w14:paraId="43EDB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79" w:type="pct"/>
                  <w:vMerge w:val="continue"/>
                  <w:vAlign w:val="center"/>
                </w:tcPr>
                <w:p w14:paraId="66B2B879">
                  <w:pPr>
                    <w:autoSpaceDE w:val="0"/>
                    <w:autoSpaceDN w:val="0"/>
                    <w:adjustRightInd w:val="0"/>
                    <w:jc w:val="center"/>
                    <w:rPr>
                      <w:color w:val="000000"/>
                      <w:szCs w:val="21"/>
                    </w:rPr>
                  </w:pPr>
                </w:p>
              </w:tc>
              <w:tc>
                <w:tcPr>
                  <w:tcW w:w="857" w:type="pct"/>
                  <w:vAlign w:val="center"/>
                </w:tcPr>
                <w:p w14:paraId="715BDAD6">
                  <w:pPr>
                    <w:pStyle w:val="28"/>
                    <w:jc w:val="center"/>
                    <w:rPr>
                      <w:rFonts w:ascii="Times New Roman" w:hAnsi="Times New Roman" w:cs="Times New Roman"/>
                      <w:sz w:val="21"/>
                      <w:szCs w:val="21"/>
                    </w:rPr>
                  </w:pPr>
                  <w:r>
                    <w:rPr>
                      <w:rFonts w:hint="eastAsia" w:ascii="Times New Roman" w:hAnsi="Times New Roman" w:cs="Times New Roman"/>
                      <w:sz w:val="21"/>
                      <w:szCs w:val="21"/>
                    </w:rPr>
                    <w:t>前周家</w:t>
                  </w:r>
                </w:p>
              </w:tc>
              <w:tc>
                <w:tcPr>
                  <w:tcW w:w="428" w:type="pct"/>
                  <w:vAlign w:val="center"/>
                </w:tcPr>
                <w:p w14:paraId="6BE73E9F">
                  <w:pPr>
                    <w:pStyle w:val="28"/>
                    <w:jc w:val="center"/>
                    <w:rPr>
                      <w:rFonts w:ascii="Times New Roman" w:hAnsi="Times New Roman" w:cs="Times New Roman"/>
                      <w:sz w:val="21"/>
                      <w:szCs w:val="21"/>
                    </w:rPr>
                  </w:pPr>
                  <w:r>
                    <w:rPr>
                      <w:rFonts w:hint="eastAsia" w:ascii="Times New Roman" w:hAnsi="Times New Roman" w:cs="Times New Roman"/>
                      <w:sz w:val="21"/>
                      <w:szCs w:val="21"/>
                    </w:rPr>
                    <w:t>-314</w:t>
                  </w:r>
                </w:p>
              </w:tc>
              <w:tc>
                <w:tcPr>
                  <w:tcW w:w="424" w:type="pct"/>
                  <w:vAlign w:val="center"/>
                </w:tcPr>
                <w:p w14:paraId="215A55C5">
                  <w:pPr>
                    <w:pStyle w:val="28"/>
                    <w:jc w:val="center"/>
                    <w:rPr>
                      <w:rFonts w:ascii="Times New Roman" w:hAnsi="Times New Roman" w:cs="Times New Roman"/>
                      <w:sz w:val="21"/>
                      <w:szCs w:val="21"/>
                    </w:rPr>
                  </w:pPr>
                  <w:r>
                    <w:rPr>
                      <w:rFonts w:hint="eastAsia" w:ascii="Times New Roman" w:hAnsi="Times New Roman" w:cs="Times New Roman"/>
                      <w:sz w:val="21"/>
                      <w:szCs w:val="21"/>
                    </w:rPr>
                    <w:t>-415</w:t>
                  </w:r>
                </w:p>
              </w:tc>
              <w:tc>
                <w:tcPr>
                  <w:tcW w:w="436" w:type="pct"/>
                  <w:vAlign w:val="center"/>
                </w:tcPr>
                <w:p w14:paraId="219931B9">
                  <w:pPr>
                    <w:jc w:val="center"/>
                    <w:rPr>
                      <w:color w:val="000000"/>
                      <w:szCs w:val="21"/>
                    </w:rPr>
                  </w:pPr>
                  <w:r>
                    <w:rPr>
                      <w:rFonts w:hint="eastAsia"/>
                      <w:color w:val="000000"/>
                      <w:szCs w:val="21"/>
                    </w:rPr>
                    <w:t>居民</w:t>
                  </w:r>
                </w:p>
              </w:tc>
              <w:tc>
                <w:tcPr>
                  <w:tcW w:w="459" w:type="pct"/>
                  <w:vAlign w:val="center"/>
                </w:tcPr>
                <w:p w14:paraId="0D1540CE">
                  <w:pPr>
                    <w:pStyle w:val="28"/>
                    <w:jc w:val="center"/>
                    <w:rPr>
                      <w:rFonts w:ascii="Times New Roman" w:hAnsi="Times New Roman" w:cs="Times New Roman"/>
                      <w:bCs/>
                      <w:sz w:val="21"/>
                      <w:szCs w:val="21"/>
                    </w:rPr>
                  </w:pPr>
                  <w:r>
                    <w:rPr>
                      <w:rFonts w:hint="eastAsia" w:ascii="Times New Roman" w:hAnsi="Times New Roman" w:cs="Times New Roman"/>
                      <w:sz w:val="21"/>
                      <w:szCs w:val="21"/>
                    </w:rPr>
                    <w:t>400人</w:t>
                  </w:r>
                </w:p>
              </w:tc>
              <w:tc>
                <w:tcPr>
                  <w:tcW w:w="1116" w:type="pct"/>
                  <w:vMerge w:val="continue"/>
                  <w:vAlign w:val="center"/>
                </w:tcPr>
                <w:p w14:paraId="0363D3F7">
                  <w:pPr>
                    <w:jc w:val="center"/>
                    <w:rPr>
                      <w:color w:val="000000"/>
                      <w:szCs w:val="21"/>
                    </w:rPr>
                  </w:pPr>
                </w:p>
              </w:tc>
              <w:tc>
                <w:tcPr>
                  <w:tcW w:w="455" w:type="pct"/>
                  <w:vAlign w:val="center"/>
                </w:tcPr>
                <w:p w14:paraId="27C755E4">
                  <w:pPr>
                    <w:pStyle w:val="28"/>
                    <w:jc w:val="center"/>
                    <w:rPr>
                      <w:rFonts w:ascii="Times New Roman" w:hAnsi="Times New Roman" w:cs="Times New Roman"/>
                      <w:sz w:val="21"/>
                      <w:szCs w:val="21"/>
                    </w:rPr>
                  </w:pPr>
                  <w:r>
                    <w:rPr>
                      <w:rFonts w:hint="eastAsia" w:ascii="Times New Roman" w:hAnsi="Times New Roman" w:cs="Times New Roman"/>
                      <w:sz w:val="21"/>
                      <w:szCs w:val="21"/>
                    </w:rPr>
                    <w:t>SW</w:t>
                  </w:r>
                </w:p>
              </w:tc>
              <w:tc>
                <w:tcPr>
                  <w:tcW w:w="442" w:type="pct"/>
                  <w:vAlign w:val="center"/>
                </w:tcPr>
                <w:p w14:paraId="2536D748">
                  <w:pPr>
                    <w:pStyle w:val="28"/>
                    <w:jc w:val="center"/>
                    <w:rPr>
                      <w:rFonts w:ascii="Times New Roman" w:hAnsi="Times New Roman" w:cs="Times New Roman"/>
                      <w:sz w:val="21"/>
                      <w:szCs w:val="21"/>
                    </w:rPr>
                  </w:pPr>
                  <w:r>
                    <w:rPr>
                      <w:rFonts w:hint="eastAsia" w:ascii="Times New Roman" w:hAnsi="Times New Roman" w:cs="Times New Roman"/>
                      <w:sz w:val="21"/>
                      <w:szCs w:val="21"/>
                    </w:rPr>
                    <w:t>421</w:t>
                  </w:r>
                </w:p>
              </w:tc>
            </w:tr>
            <w:tr w14:paraId="31D9C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79" w:type="pct"/>
                  <w:vMerge w:val="continue"/>
                  <w:vAlign w:val="center"/>
                </w:tcPr>
                <w:p w14:paraId="1243B422">
                  <w:pPr>
                    <w:autoSpaceDE w:val="0"/>
                    <w:autoSpaceDN w:val="0"/>
                    <w:adjustRightInd w:val="0"/>
                    <w:jc w:val="center"/>
                    <w:rPr>
                      <w:color w:val="000000"/>
                      <w:szCs w:val="21"/>
                    </w:rPr>
                  </w:pPr>
                </w:p>
              </w:tc>
              <w:tc>
                <w:tcPr>
                  <w:tcW w:w="857" w:type="pct"/>
                  <w:vAlign w:val="center"/>
                </w:tcPr>
                <w:p w14:paraId="4A622902">
                  <w:pPr>
                    <w:pStyle w:val="28"/>
                    <w:jc w:val="center"/>
                    <w:rPr>
                      <w:rFonts w:ascii="Times New Roman" w:hAnsi="Times New Roman" w:cs="Times New Roman"/>
                      <w:sz w:val="21"/>
                      <w:szCs w:val="21"/>
                    </w:rPr>
                  </w:pPr>
                  <w:r>
                    <w:rPr>
                      <w:rFonts w:hint="eastAsia" w:ascii="Times New Roman" w:hAnsi="Times New Roman" w:cs="Times New Roman"/>
                      <w:sz w:val="21"/>
                      <w:szCs w:val="21"/>
                    </w:rPr>
                    <w:t>灰南初级中学</w:t>
                  </w:r>
                </w:p>
              </w:tc>
              <w:tc>
                <w:tcPr>
                  <w:tcW w:w="428" w:type="pct"/>
                  <w:vAlign w:val="center"/>
                </w:tcPr>
                <w:p w14:paraId="32CC1575">
                  <w:pPr>
                    <w:pStyle w:val="28"/>
                    <w:jc w:val="center"/>
                    <w:rPr>
                      <w:rFonts w:ascii="Times New Roman" w:hAnsi="Times New Roman" w:cs="Times New Roman"/>
                      <w:sz w:val="21"/>
                      <w:szCs w:val="21"/>
                    </w:rPr>
                  </w:pPr>
                  <w:r>
                    <w:rPr>
                      <w:rFonts w:hint="eastAsia" w:ascii="Times New Roman" w:hAnsi="Times New Roman" w:cs="Times New Roman"/>
                      <w:sz w:val="21"/>
                      <w:szCs w:val="21"/>
                    </w:rPr>
                    <w:t>-106</w:t>
                  </w:r>
                </w:p>
              </w:tc>
              <w:tc>
                <w:tcPr>
                  <w:tcW w:w="424" w:type="pct"/>
                  <w:vAlign w:val="center"/>
                </w:tcPr>
                <w:p w14:paraId="5A5FFA46">
                  <w:pPr>
                    <w:pStyle w:val="28"/>
                    <w:jc w:val="center"/>
                    <w:rPr>
                      <w:rFonts w:ascii="Times New Roman" w:hAnsi="Times New Roman" w:cs="Times New Roman"/>
                      <w:sz w:val="21"/>
                      <w:szCs w:val="21"/>
                    </w:rPr>
                  </w:pPr>
                  <w:r>
                    <w:rPr>
                      <w:rFonts w:hint="eastAsia" w:ascii="Times New Roman" w:hAnsi="Times New Roman" w:cs="Times New Roman"/>
                      <w:sz w:val="21"/>
                      <w:szCs w:val="21"/>
                    </w:rPr>
                    <w:t>473</w:t>
                  </w:r>
                </w:p>
              </w:tc>
              <w:tc>
                <w:tcPr>
                  <w:tcW w:w="436" w:type="pct"/>
                  <w:vAlign w:val="center"/>
                </w:tcPr>
                <w:p w14:paraId="2F11484A">
                  <w:pPr>
                    <w:jc w:val="center"/>
                    <w:rPr>
                      <w:color w:val="000000"/>
                      <w:szCs w:val="21"/>
                    </w:rPr>
                  </w:pPr>
                  <w:r>
                    <w:rPr>
                      <w:rFonts w:hint="eastAsia"/>
                      <w:color w:val="000000"/>
                      <w:szCs w:val="21"/>
                    </w:rPr>
                    <w:t>师生</w:t>
                  </w:r>
                </w:p>
              </w:tc>
              <w:tc>
                <w:tcPr>
                  <w:tcW w:w="459" w:type="pct"/>
                  <w:vAlign w:val="center"/>
                </w:tcPr>
                <w:p w14:paraId="450F1833">
                  <w:pPr>
                    <w:pStyle w:val="28"/>
                    <w:jc w:val="center"/>
                    <w:rPr>
                      <w:rFonts w:ascii="Times New Roman" w:hAnsi="Times New Roman" w:cs="Times New Roman"/>
                      <w:sz w:val="21"/>
                      <w:szCs w:val="21"/>
                    </w:rPr>
                  </w:pPr>
                  <w:r>
                    <w:rPr>
                      <w:rFonts w:hint="eastAsia" w:ascii="Times New Roman" w:hAnsi="Times New Roman" w:cs="Times New Roman"/>
                      <w:sz w:val="21"/>
                      <w:szCs w:val="21"/>
                      <w:lang w:val="en-US" w:eastAsia="zh-CN"/>
                    </w:rPr>
                    <w:t>600</w:t>
                  </w:r>
                  <w:r>
                    <w:rPr>
                      <w:rFonts w:hint="eastAsia" w:ascii="Times New Roman" w:hAnsi="Times New Roman" w:cs="Times New Roman"/>
                      <w:sz w:val="21"/>
                      <w:szCs w:val="21"/>
                    </w:rPr>
                    <w:t>人</w:t>
                  </w:r>
                </w:p>
              </w:tc>
              <w:tc>
                <w:tcPr>
                  <w:tcW w:w="1116" w:type="pct"/>
                  <w:vMerge w:val="continue"/>
                  <w:vAlign w:val="center"/>
                </w:tcPr>
                <w:p w14:paraId="6F2023C8">
                  <w:pPr>
                    <w:jc w:val="center"/>
                    <w:rPr>
                      <w:color w:val="000000"/>
                      <w:szCs w:val="21"/>
                    </w:rPr>
                  </w:pPr>
                </w:p>
              </w:tc>
              <w:tc>
                <w:tcPr>
                  <w:tcW w:w="455" w:type="pct"/>
                  <w:vAlign w:val="center"/>
                </w:tcPr>
                <w:p w14:paraId="3F09A5E5">
                  <w:pPr>
                    <w:pStyle w:val="28"/>
                    <w:jc w:val="center"/>
                    <w:rPr>
                      <w:rFonts w:ascii="Times New Roman" w:hAnsi="Times New Roman" w:cs="Times New Roman"/>
                      <w:sz w:val="21"/>
                      <w:szCs w:val="21"/>
                    </w:rPr>
                  </w:pPr>
                  <w:r>
                    <w:rPr>
                      <w:rFonts w:hint="eastAsia" w:ascii="Times New Roman" w:hAnsi="Times New Roman" w:cs="Times New Roman"/>
                      <w:sz w:val="21"/>
                      <w:szCs w:val="21"/>
                    </w:rPr>
                    <w:t>NW</w:t>
                  </w:r>
                </w:p>
              </w:tc>
              <w:tc>
                <w:tcPr>
                  <w:tcW w:w="442" w:type="pct"/>
                  <w:vAlign w:val="center"/>
                </w:tcPr>
                <w:p w14:paraId="702E0DF1">
                  <w:pPr>
                    <w:pStyle w:val="28"/>
                    <w:jc w:val="center"/>
                    <w:rPr>
                      <w:rFonts w:ascii="Times New Roman" w:hAnsi="Times New Roman" w:cs="Times New Roman"/>
                      <w:sz w:val="21"/>
                      <w:szCs w:val="21"/>
                    </w:rPr>
                  </w:pPr>
                  <w:r>
                    <w:rPr>
                      <w:rFonts w:hint="eastAsia" w:ascii="Times New Roman" w:hAnsi="Times New Roman" w:cs="Times New Roman"/>
                      <w:sz w:val="21"/>
                      <w:szCs w:val="21"/>
                    </w:rPr>
                    <w:t>410</w:t>
                  </w:r>
                </w:p>
              </w:tc>
            </w:tr>
            <w:tr w14:paraId="0309D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79" w:type="pct"/>
                  <w:vAlign w:val="center"/>
                </w:tcPr>
                <w:p w14:paraId="0AFCB3DD">
                  <w:pPr>
                    <w:widowControl/>
                    <w:jc w:val="center"/>
                    <w:rPr>
                      <w:color w:val="000000"/>
                      <w:szCs w:val="21"/>
                    </w:rPr>
                  </w:pPr>
                  <w:r>
                    <w:rPr>
                      <w:color w:val="000000"/>
                      <w:szCs w:val="21"/>
                    </w:rPr>
                    <w:t>地表水</w:t>
                  </w:r>
                </w:p>
              </w:tc>
              <w:tc>
                <w:tcPr>
                  <w:tcW w:w="857" w:type="pct"/>
                  <w:vAlign w:val="center"/>
                </w:tcPr>
                <w:p w14:paraId="1B8CE161">
                  <w:pPr>
                    <w:jc w:val="center"/>
                    <w:rPr>
                      <w:color w:val="000000"/>
                      <w:szCs w:val="21"/>
                    </w:rPr>
                  </w:pPr>
                  <w:r>
                    <w:rPr>
                      <w:rFonts w:hint="eastAsia"/>
                      <w:color w:val="000000"/>
                      <w:szCs w:val="21"/>
                    </w:rPr>
                    <w:t>引水沟</w:t>
                  </w:r>
                </w:p>
              </w:tc>
              <w:tc>
                <w:tcPr>
                  <w:tcW w:w="428" w:type="pct"/>
                  <w:vAlign w:val="center"/>
                </w:tcPr>
                <w:p w14:paraId="06AF13A5">
                  <w:pPr>
                    <w:jc w:val="center"/>
                    <w:rPr>
                      <w:color w:val="000000"/>
                      <w:szCs w:val="21"/>
                    </w:rPr>
                  </w:pPr>
                  <w:r>
                    <w:rPr>
                      <w:rFonts w:hint="eastAsia"/>
                      <w:color w:val="000000"/>
                      <w:szCs w:val="21"/>
                    </w:rPr>
                    <w:t>-1660</w:t>
                  </w:r>
                </w:p>
              </w:tc>
              <w:tc>
                <w:tcPr>
                  <w:tcW w:w="424" w:type="pct"/>
                  <w:vAlign w:val="center"/>
                </w:tcPr>
                <w:p w14:paraId="05914669">
                  <w:pPr>
                    <w:jc w:val="center"/>
                    <w:rPr>
                      <w:color w:val="000000"/>
                      <w:szCs w:val="21"/>
                    </w:rPr>
                  </w:pPr>
                  <w:r>
                    <w:rPr>
                      <w:rFonts w:hint="eastAsia"/>
                      <w:color w:val="000000"/>
                      <w:szCs w:val="21"/>
                    </w:rPr>
                    <w:t>-41</w:t>
                  </w:r>
                </w:p>
              </w:tc>
              <w:tc>
                <w:tcPr>
                  <w:tcW w:w="436" w:type="pct"/>
                  <w:vAlign w:val="center"/>
                </w:tcPr>
                <w:p w14:paraId="3146D6BA">
                  <w:pPr>
                    <w:jc w:val="center"/>
                    <w:rPr>
                      <w:color w:val="000000"/>
                      <w:szCs w:val="21"/>
                    </w:rPr>
                  </w:pPr>
                  <w:r>
                    <w:rPr>
                      <w:color w:val="000000"/>
                      <w:szCs w:val="21"/>
                    </w:rPr>
                    <w:t>河流</w:t>
                  </w:r>
                </w:p>
              </w:tc>
              <w:tc>
                <w:tcPr>
                  <w:tcW w:w="459" w:type="pct"/>
                  <w:vAlign w:val="center"/>
                </w:tcPr>
                <w:p w14:paraId="05A87A56">
                  <w:pPr>
                    <w:jc w:val="center"/>
                    <w:rPr>
                      <w:color w:val="000000"/>
                      <w:szCs w:val="21"/>
                    </w:rPr>
                  </w:pPr>
                  <w:r>
                    <w:rPr>
                      <w:color w:val="000000"/>
                      <w:szCs w:val="21"/>
                    </w:rPr>
                    <w:t>水质</w:t>
                  </w:r>
                </w:p>
              </w:tc>
              <w:tc>
                <w:tcPr>
                  <w:tcW w:w="1116" w:type="pct"/>
                  <w:vAlign w:val="center"/>
                </w:tcPr>
                <w:p w14:paraId="2B69E3C6">
                  <w:pPr>
                    <w:jc w:val="center"/>
                    <w:rPr>
                      <w:color w:val="000000"/>
                      <w:szCs w:val="21"/>
                    </w:rPr>
                  </w:pPr>
                  <w:r>
                    <w:t>《地表水环境质量标准》（GB3838-2002）Ⅳ类</w:t>
                  </w:r>
                </w:p>
              </w:tc>
              <w:tc>
                <w:tcPr>
                  <w:tcW w:w="455" w:type="pct"/>
                  <w:vAlign w:val="center"/>
                </w:tcPr>
                <w:p w14:paraId="1853F50E">
                  <w:pPr>
                    <w:adjustRightInd w:val="0"/>
                    <w:snapToGrid w:val="0"/>
                    <w:jc w:val="center"/>
                    <w:textAlignment w:val="center"/>
                    <w:rPr>
                      <w:color w:val="000000"/>
                      <w:szCs w:val="21"/>
                    </w:rPr>
                  </w:pPr>
                  <w:r>
                    <w:rPr>
                      <w:rFonts w:hint="eastAsia"/>
                      <w:color w:val="000000"/>
                      <w:szCs w:val="21"/>
                    </w:rPr>
                    <w:t>SW</w:t>
                  </w:r>
                </w:p>
              </w:tc>
              <w:tc>
                <w:tcPr>
                  <w:tcW w:w="442" w:type="pct"/>
                  <w:vAlign w:val="center"/>
                </w:tcPr>
                <w:p w14:paraId="67ECD08F">
                  <w:pPr>
                    <w:adjustRightInd w:val="0"/>
                    <w:snapToGrid w:val="0"/>
                    <w:jc w:val="center"/>
                    <w:textAlignment w:val="center"/>
                    <w:rPr>
                      <w:bCs/>
                      <w:color w:val="000000"/>
                      <w:szCs w:val="21"/>
                    </w:rPr>
                  </w:pPr>
                  <w:r>
                    <w:rPr>
                      <w:rFonts w:hint="eastAsia"/>
                      <w:color w:val="000000"/>
                      <w:szCs w:val="21"/>
                    </w:rPr>
                    <w:t>1705</w:t>
                  </w:r>
                </w:p>
              </w:tc>
            </w:tr>
            <w:tr w14:paraId="7C352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79" w:type="pct"/>
                  <w:vAlign w:val="center"/>
                </w:tcPr>
                <w:p w14:paraId="2BF5CE90">
                  <w:pPr>
                    <w:widowControl/>
                    <w:jc w:val="center"/>
                    <w:rPr>
                      <w:color w:val="000000"/>
                      <w:szCs w:val="21"/>
                    </w:rPr>
                  </w:pPr>
                  <w:r>
                    <w:rPr>
                      <w:color w:val="000000"/>
                      <w:szCs w:val="21"/>
                    </w:rPr>
                    <w:t>声环境</w:t>
                  </w:r>
                </w:p>
              </w:tc>
              <w:tc>
                <w:tcPr>
                  <w:tcW w:w="857" w:type="pct"/>
                  <w:vAlign w:val="center"/>
                </w:tcPr>
                <w:p w14:paraId="10024787">
                  <w:pPr>
                    <w:pStyle w:val="28"/>
                    <w:jc w:val="center"/>
                    <w:rPr>
                      <w:rFonts w:ascii="Times New Roman" w:hAnsi="Times New Roman" w:cs="Times New Roman"/>
                      <w:sz w:val="21"/>
                      <w:szCs w:val="21"/>
                    </w:rPr>
                  </w:pPr>
                  <w:r>
                    <w:rPr>
                      <w:rFonts w:ascii="Times New Roman" w:hAnsi="Times New Roman" w:cs="Times New Roman"/>
                      <w:sz w:val="21"/>
                      <w:szCs w:val="21"/>
                    </w:rPr>
                    <w:t>大童家</w:t>
                  </w:r>
                </w:p>
              </w:tc>
              <w:tc>
                <w:tcPr>
                  <w:tcW w:w="428" w:type="pct"/>
                  <w:vAlign w:val="center"/>
                </w:tcPr>
                <w:p w14:paraId="427ECF06">
                  <w:pPr>
                    <w:pStyle w:val="28"/>
                    <w:jc w:val="center"/>
                    <w:rPr>
                      <w:rFonts w:ascii="Times New Roman" w:hAnsi="Times New Roman" w:cs="Times New Roman"/>
                      <w:sz w:val="21"/>
                      <w:szCs w:val="21"/>
                    </w:rPr>
                  </w:pPr>
                  <w:r>
                    <w:rPr>
                      <w:rFonts w:ascii="Times New Roman" w:hAnsi="Times New Roman" w:cs="Times New Roman"/>
                      <w:sz w:val="21"/>
                      <w:szCs w:val="21"/>
                    </w:rPr>
                    <w:t>92</w:t>
                  </w:r>
                </w:p>
              </w:tc>
              <w:tc>
                <w:tcPr>
                  <w:tcW w:w="424" w:type="pct"/>
                  <w:vAlign w:val="center"/>
                </w:tcPr>
                <w:p w14:paraId="15D8EFE0">
                  <w:pPr>
                    <w:pStyle w:val="28"/>
                    <w:jc w:val="center"/>
                    <w:rPr>
                      <w:rFonts w:ascii="Times New Roman" w:hAnsi="Times New Roman" w:cs="Times New Roman"/>
                      <w:sz w:val="21"/>
                      <w:szCs w:val="21"/>
                    </w:rPr>
                  </w:pPr>
                  <w:r>
                    <w:rPr>
                      <w:rFonts w:ascii="Times New Roman" w:hAnsi="Times New Roman" w:cs="Times New Roman"/>
                      <w:sz w:val="21"/>
                      <w:szCs w:val="21"/>
                    </w:rPr>
                    <w:t>0</w:t>
                  </w:r>
                </w:p>
              </w:tc>
              <w:tc>
                <w:tcPr>
                  <w:tcW w:w="436" w:type="pct"/>
                  <w:vAlign w:val="center"/>
                </w:tcPr>
                <w:p w14:paraId="3E771DEC">
                  <w:pPr>
                    <w:jc w:val="center"/>
                    <w:rPr>
                      <w:color w:val="000000"/>
                    </w:rPr>
                  </w:pPr>
                  <w:r>
                    <w:rPr>
                      <w:color w:val="000000"/>
                      <w:szCs w:val="21"/>
                    </w:rPr>
                    <w:t>人群</w:t>
                  </w:r>
                </w:p>
              </w:tc>
              <w:tc>
                <w:tcPr>
                  <w:tcW w:w="459" w:type="pct"/>
                  <w:vAlign w:val="center"/>
                </w:tcPr>
                <w:p w14:paraId="7AC3AD63">
                  <w:pPr>
                    <w:pStyle w:val="28"/>
                    <w:jc w:val="center"/>
                    <w:rPr>
                      <w:rFonts w:ascii="Times New Roman" w:hAnsi="Times New Roman" w:cs="Times New Roman"/>
                      <w:sz w:val="21"/>
                      <w:szCs w:val="21"/>
                    </w:rPr>
                  </w:pPr>
                  <w:r>
                    <w:rPr>
                      <w:rFonts w:ascii="Times New Roman" w:hAnsi="Times New Roman" w:cs="Times New Roman"/>
                      <w:sz w:val="21"/>
                      <w:szCs w:val="21"/>
                    </w:rPr>
                    <w:t>216人</w:t>
                  </w:r>
                </w:p>
              </w:tc>
              <w:tc>
                <w:tcPr>
                  <w:tcW w:w="1116" w:type="pct"/>
                  <w:vAlign w:val="center"/>
                </w:tcPr>
                <w:p w14:paraId="3FDFBA2F">
                  <w:pPr>
                    <w:jc w:val="center"/>
                    <w:rPr>
                      <w:color w:val="000000"/>
                      <w:szCs w:val="21"/>
                    </w:rPr>
                  </w:pPr>
                  <w:r>
                    <w:rPr>
                      <w:color w:val="000000"/>
                      <w:szCs w:val="21"/>
                    </w:rPr>
                    <w:t>（GB3096-2008）2类区</w:t>
                  </w:r>
                </w:p>
              </w:tc>
              <w:tc>
                <w:tcPr>
                  <w:tcW w:w="455" w:type="pct"/>
                  <w:vAlign w:val="center"/>
                </w:tcPr>
                <w:p w14:paraId="04F66370">
                  <w:pPr>
                    <w:pStyle w:val="28"/>
                    <w:jc w:val="center"/>
                    <w:rPr>
                      <w:rFonts w:ascii="Times New Roman" w:hAnsi="Times New Roman" w:cs="Times New Roman"/>
                      <w:sz w:val="21"/>
                      <w:szCs w:val="21"/>
                    </w:rPr>
                  </w:pPr>
                  <w:r>
                    <w:rPr>
                      <w:rFonts w:hint="eastAsia" w:ascii="Times New Roman" w:hAnsi="Times New Roman" w:cs="Times New Roman"/>
                      <w:sz w:val="21"/>
                      <w:szCs w:val="21"/>
                    </w:rPr>
                    <w:t>E</w:t>
                  </w:r>
                </w:p>
              </w:tc>
              <w:tc>
                <w:tcPr>
                  <w:tcW w:w="442" w:type="pct"/>
                  <w:vAlign w:val="center"/>
                </w:tcPr>
                <w:p w14:paraId="7B51624D">
                  <w:pPr>
                    <w:adjustRightInd w:val="0"/>
                    <w:snapToGrid w:val="0"/>
                    <w:jc w:val="center"/>
                    <w:textAlignment w:val="center"/>
                    <w:rPr>
                      <w:bCs/>
                      <w:color w:val="000000"/>
                      <w:szCs w:val="21"/>
                    </w:rPr>
                  </w:pPr>
                  <w:r>
                    <w:rPr>
                      <w:rFonts w:hint="eastAsia"/>
                      <w:color w:val="000000"/>
                      <w:szCs w:val="21"/>
                    </w:rPr>
                    <w:t>10</w:t>
                  </w:r>
                </w:p>
              </w:tc>
            </w:tr>
          </w:tbl>
          <w:p w14:paraId="1D40E987">
            <w:pPr>
              <w:pStyle w:val="28"/>
            </w:pPr>
            <w:r>
              <w:rPr>
                <w:rFonts w:ascii="Times New Roman" w:hAnsi="Times New Roman" w:cs="Times New Roman"/>
                <w:szCs w:val="21"/>
              </w:rPr>
              <w:t>注：以厂区中</w:t>
            </w:r>
            <w:r>
              <w:rPr>
                <w:rFonts w:ascii="Times New Roman" w:hAnsi="Times New Roman" w:cs="Times New Roman"/>
                <w:kern w:val="0"/>
                <w:szCs w:val="24"/>
                <w:lang w:bidi="ar"/>
              </w:rPr>
              <w:t>部（E117°</w:t>
            </w:r>
            <w:r>
              <w:rPr>
                <w:rFonts w:hint="eastAsia" w:ascii="Times New Roman" w:hAnsi="Times New Roman" w:cs="Times New Roman"/>
                <w:kern w:val="0"/>
                <w:szCs w:val="24"/>
                <w:lang w:bidi="ar"/>
              </w:rPr>
              <w:t>10</w:t>
            </w:r>
            <w:r>
              <w:rPr>
                <w:rFonts w:ascii="Times New Roman" w:hAnsi="Times New Roman" w:cs="Times New Roman"/>
                <w:kern w:val="0"/>
                <w:szCs w:val="24"/>
                <w:lang w:bidi="ar"/>
              </w:rPr>
              <w:t>′0.</w:t>
            </w:r>
            <w:r>
              <w:rPr>
                <w:rFonts w:hint="eastAsia" w:ascii="Times New Roman" w:hAnsi="Times New Roman" w:cs="Times New Roman"/>
                <w:kern w:val="0"/>
                <w:szCs w:val="24"/>
                <w:lang w:bidi="ar"/>
              </w:rPr>
              <w:t>930</w:t>
            </w:r>
            <w:r>
              <w:rPr>
                <w:rFonts w:ascii="Times New Roman" w:hAnsi="Times New Roman" w:cs="Times New Roman"/>
                <w:kern w:val="0"/>
                <w:szCs w:val="24"/>
                <w:lang w:bidi="ar"/>
              </w:rPr>
              <w:t>″，N33°</w:t>
            </w:r>
            <w:r>
              <w:rPr>
                <w:rFonts w:hint="eastAsia" w:ascii="Times New Roman" w:hAnsi="Times New Roman" w:cs="Times New Roman"/>
                <w:kern w:val="0"/>
                <w:szCs w:val="24"/>
                <w:lang w:bidi="ar"/>
              </w:rPr>
              <w:t>69</w:t>
            </w:r>
            <w:r>
              <w:rPr>
                <w:rFonts w:ascii="Times New Roman" w:hAnsi="Times New Roman" w:cs="Times New Roman"/>
                <w:kern w:val="0"/>
                <w:szCs w:val="24"/>
                <w:lang w:bidi="ar"/>
              </w:rPr>
              <w:t>′</w:t>
            </w:r>
            <w:r>
              <w:rPr>
                <w:rFonts w:hint="eastAsia" w:ascii="Times New Roman" w:hAnsi="Times New Roman" w:cs="Times New Roman"/>
                <w:kern w:val="0"/>
                <w:szCs w:val="24"/>
                <w:lang w:bidi="ar"/>
              </w:rPr>
              <w:t>61</w:t>
            </w:r>
            <w:r>
              <w:rPr>
                <w:rFonts w:ascii="Times New Roman" w:hAnsi="Times New Roman" w:cs="Times New Roman"/>
                <w:kern w:val="0"/>
                <w:szCs w:val="24"/>
                <w:lang w:bidi="ar"/>
              </w:rPr>
              <w:t>.</w:t>
            </w:r>
            <w:r>
              <w:rPr>
                <w:rFonts w:hint="eastAsia" w:ascii="Times New Roman" w:hAnsi="Times New Roman" w:cs="Times New Roman"/>
                <w:kern w:val="0"/>
                <w:szCs w:val="24"/>
                <w:lang w:bidi="ar"/>
              </w:rPr>
              <w:t>038</w:t>
            </w:r>
            <w:r>
              <w:rPr>
                <w:rFonts w:ascii="Times New Roman" w:hAnsi="Times New Roman" w:cs="Times New Roman"/>
                <w:kern w:val="0"/>
                <w:szCs w:val="24"/>
                <w:lang w:bidi="ar"/>
              </w:rPr>
              <w:t>″）</w:t>
            </w:r>
            <w:r>
              <w:rPr>
                <w:rFonts w:ascii="Times New Roman" w:hAnsi="Times New Roman" w:cs="Times New Roman"/>
                <w:szCs w:val="21"/>
              </w:rPr>
              <w:t>为原点。</w:t>
            </w:r>
          </w:p>
        </w:tc>
      </w:tr>
      <w:tr w14:paraId="4FFF0A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1" w:type="pct"/>
            <w:tcMar>
              <w:left w:w="28" w:type="dxa"/>
              <w:right w:w="28" w:type="dxa"/>
            </w:tcMar>
            <w:vAlign w:val="center"/>
          </w:tcPr>
          <w:p w14:paraId="185539BA">
            <w:pPr>
              <w:adjustRightInd w:val="0"/>
              <w:snapToGrid w:val="0"/>
              <w:jc w:val="center"/>
              <w:rPr>
                <w:color w:val="000000"/>
                <w:kern w:val="0"/>
                <w:sz w:val="24"/>
              </w:rPr>
            </w:pPr>
            <w:r>
              <w:rPr>
                <w:color w:val="000000"/>
                <w:kern w:val="0"/>
                <w:sz w:val="24"/>
              </w:rPr>
              <w:t>污染</w:t>
            </w:r>
          </w:p>
          <w:p w14:paraId="18945709">
            <w:pPr>
              <w:adjustRightInd w:val="0"/>
              <w:snapToGrid w:val="0"/>
              <w:jc w:val="center"/>
              <w:rPr>
                <w:color w:val="000000"/>
                <w:kern w:val="0"/>
                <w:sz w:val="24"/>
              </w:rPr>
            </w:pPr>
            <w:r>
              <w:rPr>
                <w:color w:val="000000"/>
                <w:kern w:val="0"/>
                <w:sz w:val="24"/>
              </w:rPr>
              <w:t>物排</w:t>
            </w:r>
          </w:p>
          <w:p w14:paraId="0DDBAC2B">
            <w:pPr>
              <w:adjustRightInd w:val="0"/>
              <w:snapToGrid w:val="0"/>
              <w:jc w:val="center"/>
              <w:rPr>
                <w:color w:val="000000"/>
                <w:kern w:val="0"/>
                <w:sz w:val="24"/>
              </w:rPr>
            </w:pPr>
            <w:r>
              <w:rPr>
                <w:color w:val="000000"/>
                <w:kern w:val="0"/>
                <w:sz w:val="24"/>
              </w:rPr>
              <w:t>放控</w:t>
            </w:r>
          </w:p>
          <w:p w14:paraId="3F68B46E">
            <w:pPr>
              <w:adjustRightInd w:val="0"/>
              <w:snapToGrid w:val="0"/>
              <w:jc w:val="center"/>
              <w:rPr>
                <w:color w:val="000000"/>
                <w:kern w:val="0"/>
                <w:sz w:val="24"/>
              </w:rPr>
            </w:pPr>
            <w:r>
              <w:rPr>
                <w:color w:val="000000"/>
                <w:kern w:val="0"/>
                <w:sz w:val="24"/>
              </w:rPr>
              <w:t>制标</w:t>
            </w:r>
          </w:p>
          <w:p w14:paraId="2EDEAC64">
            <w:pPr>
              <w:adjustRightInd w:val="0"/>
              <w:snapToGrid w:val="0"/>
              <w:jc w:val="center"/>
              <w:rPr>
                <w:color w:val="000000"/>
                <w:kern w:val="0"/>
                <w:szCs w:val="21"/>
              </w:rPr>
            </w:pPr>
            <w:r>
              <w:rPr>
                <w:color w:val="000000"/>
                <w:kern w:val="0"/>
                <w:sz w:val="24"/>
              </w:rPr>
              <w:t>准</w:t>
            </w:r>
          </w:p>
        </w:tc>
        <w:tc>
          <w:tcPr>
            <w:tcW w:w="4658" w:type="pct"/>
            <w:vAlign w:val="center"/>
          </w:tcPr>
          <w:p w14:paraId="2F88364C">
            <w:pPr>
              <w:tabs>
                <w:tab w:val="left" w:pos="402"/>
              </w:tabs>
              <w:spacing w:line="360" w:lineRule="auto"/>
              <w:outlineLvl w:val="0"/>
              <w:rPr>
                <w:color w:val="000000"/>
                <w:sz w:val="24"/>
              </w:rPr>
            </w:pPr>
            <w:r>
              <w:rPr>
                <w:b/>
                <w:bCs/>
                <w:color w:val="000000"/>
                <w:sz w:val="24"/>
              </w:rPr>
              <w:t>一、大气污染物排放标准</w:t>
            </w:r>
          </w:p>
          <w:p w14:paraId="1797BD68">
            <w:pPr>
              <w:widowControl/>
              <w:spacing w:line="360" w:lineRule="auto"/>
              <w:ind w:firstLine="480"/>
              <w:rPr>
                <w:sz w:val="24"/>
              </w:rPr>
            </w:pPr>
            <w:r>
              <w:rPr>
                <w:rFonts w:hint="eastAsia"/>
                <w:sz w:val="24"/>
              </w:rPr>
              <w:t>卸料、筛分、烘干粉尘排放执行《大气污染物综合排放标准》（GB16297-1996）表2中二级标准及无组织监控浓度限值；生物质热风炉燃烧废气排放执行</w:t>
            </w:r>
            <w:r>
              <w:rPr>
                <w:sz w:val="24"/>
              </w:rPr>
              <w:t>《</w:t>
            </w:r>
            <w:r>
              <w:rPr>
                <w:rFonts w:hint="eastAsia"/>
                <w:sz w:val="24"/>
              </w:rPr>
              <w:t>锅炉大气</w:t>
            </w:r>
            <w:r>
              <w:rPr>
                <w:sz w:val="24"/>
              </w:rPr>
              <w:t>污染物排放标准》（GB13271-2014）表</w:t>
            </w:r>
            <w:r>
              <w:rPr>
                <w:rFonts w:hint="eastAsia"/>
                <w:sz w:val="24"/>
              </w:rPr>
              <w:t>3大气污染物特别排放标准关于</w:t>
            </w:r>
            <w:r>
              <w:rPr>
                <w:sz w:val="24"/>
                <w:lang w:val="zh-CN"/>
              </w:rPr>
              <w:t>详见下表</w:t>
            </w:r>
            <w:r>
              <w:rPr>
                <w:rFonts w:hint="eastAsia"/>
                <w:sz w:val="24"/>
                <w:lang w:val="zh-CN"/>
              </w:rPr>
              <w:t>。</w:t>
            </w:r>
          </w:p>
          <w:p w14:paraId="3349F04F">
            <w:pPr>
              <w:jc w:val="center"/>
              <w:rPr>
                <w:b/>
                <w:bCs/>
                <w:color w:val="000000"/>
                <w:sz w:val="24"/>
              </w:rPr>
            </w:pPr>
            <w:r>
              <w:rPr>
                <w:b/>
                <w:bCs/>
                <w:color w:val="000000"/>
                <w:sz w:val="24"/>
              </w:rPr>
              <w:t>表</w:t>
            </w:r>
            <w:r>
              <w:rPr>
                <w:rFonts w:hint="eastAsia"/>
                <w:b/>
                <w:bCs/>
                <w:color w:val="000000"/>
                <w:sz w:val="24"/>
              </w:rPr>
              <w:t>3-6</w:t>
            </w:r>
            <w:r>
              <w:rPr>
                <w:b/>
                <w:bCs/>
                <w:color w:val="000000"/>
                <w:sz w:val="24"/>
              </w:rPr>
              <w:t xml:space="preserve">  项目运营期大气污染物排放执行标准</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2"/>
              <w:gridCol w:w="1585"/>
              <w:gridCol w:w="307"/>
              <w:gridCol w:w="1278"/>
              <w:gridCol w:w="1949"/>
              <w:gridCol w:w="1546"/>
            </w:tblGrid>
            <w:tr w14:paraId="08D5B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000" w:type="pct"/>
                  <w:gridSpan w:val="6"/>
                  <w:vAlign w:val="center"/>
                </w:tcPr>
                <w:p w14:paraId="3694E303">
                  <w:pPr>
                    <w:autoSpaceDE w:val="0"/>
                    <w:autoSpaceDN w:val="0"/>
                    <w:jc w:val="center"/>
                    <w:rPr>
                      <w:color w:val="000000"/>
                      <w:szCs w:val="21"/>
                    </w:rPr>
                  </w:pPr>
                  <w:r>
                    <w:rPr>
                      <w:color w:val="000000"/>
                      <w:szCs w:val="21"/>
                    </w:rPr>
                    <w:t>《大气污染物综合排放标准》（GB16297-1996）</w:t>
                  </w:r>
                </w:p>
              </w:tc>
            </w:tr>
            <w:tr w14:paraId="51767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79" w:type="pct"/>
                  <w:vAlign w:val="center"/>
                </w:tcPr>
                <w:p w14:paraId="0A88619F">
                  <w:pPr>
                    <w:autoSpaceDE w:val="0"/>
                    <w:autoSpaceDN w:val="0"/>
                    <w:jc w:val="center"/>
                    <w:rPr>
                      <w:color w:val="000000"/>
                      <w:szCs w:val="21"/>
                    </w:rPr>
                  </w:pPr>
                  <w:r>
                    <w:rPr>
                      <w:color w:val="000000"/>
                      <w:szCs w:val="21"/>
                    </w:rPr>
                    <w:t>污染物项目</w:t>
                  </w:r>
                </w:p>
              </w:tc>
              <w:tc>
                <w:tcPr>
                  <w:tcW w:w="1170" w:type="pct"/>
                  <w:gridSpan w:val="2"/>
                  <w:tcBorders>
                    <w:right w:val="single" w:color="000000" w:sz="4" w:space="0"/>
                  </w:tcBorders>
                  <w:vAlign w:val="center"/>
                </w:tcPr>
                <w:p w14:paraId="2D15C4FD">
                  <w:pPr>
                    <w:autoSpaceDE w:val="0"/>
                    <w:autoSpaceDN w:val="0"/>
                    <w:jc w:val="center"/>
                    <w:rPr>
                      <w:color w:val="000000"/>
                      <w:szCs w:val="21"/>
                    </w:rPr>
                  </w:pPr>
                  <w:r>
                    <w:rPr>
                      <w:color w:val="000000"/>
                      <w:szCs w:val="21"/>
                    </w:rPr>
                    <w:t>最高允许排放浓度mg/m</w:t>
                  </w:r>
                  <w:r>
                    <w:rPr>
                      <w:color w:val="000000"/>
                      <w:szCs w:val="21"/>
                      <w:vertAlign w:val="superscript"/>
                    </w:rPr>
                    <w:t>3</w:t>
                  </w:r>
                </w:p>
              </w:tc>
              <w:tc>
                <w:tcPr>
                  <w:tcW w:w="790" w:type="pct"/>
                  <w:tcBorders>
                    <w:left w:val="single" w:color="000000" w:sz="4" w:space="0"/>
                  </w:tcBorders>
                  <w:vAlign w:val="center"/>
                </w:tcPr>
                <w:p w14:paraId="3732E88A">
                  <w:pPr>
                    <w:autoSpaceDE w:val="0"/>
                    <w:autoSpaceDN w:val="0"/>
                    <w:jc w:val="center"/>
                    <w:rPr>
                      <w:color w:val="000000"/>
                      <w:szCs w:val="21"/>
                    </w:rPr>
                  </w:pPr>
                  <w:r>
                    <w:rPr>
                      <w:color w:val="000000"/>
                      <w:szCs w:val="21"/>
                    </w:rPr>
                    <w:t>烟囱高度 m</w:t>
                  </w:r>
                </w:p>
              </w:tc>
              <w:tc>
                <w:tcPr>
                  <w:tcW w:w="1205" w:type="pct"/>
                  <w:tcBorders>
                    <w:right w:val="single" w:color="000000" w:sz="4" w:space="0"/>
                  </w:tcBorders>
                  <w:vAlign w:val="center"/>
                </w:tcPr>
                <w:p w14:paraId="370FCCAD">
                  <w:pPr>
                    <w:autoSpaceDE w:val="0"/>
                    <w:autoSpaceDN w:val="0"/>
                    <w:jc w:val="center"/>
                    <w:rPr>
                      <w:color w:val="000000"/>
                      <w:szCs w:val="21"/>
                    </w:rPr>
                  </w:pPr>
                  <w:r>
                    <w:rPr>
                      <w:color w:val="000000"/>
                      <w:szCs w:val="21"/>
                    </w:rPr>
                    <w:t>最高允许排放速率kg/h</w:t>
                  </w:r>
                </w:p>
              </w:tc>
              <w:tc>
                <w:tcPr>
                  <w:tcW w:w="953" w:type="pct"/>
                  <w:tcBorders>
                    <w:left w:val="single" w:color="000000" w:sz="4" w:space="0"/>
                  </w:tcBorders>
                  <w:vAlign w:val="center"/>
                </w:tcPr>
                <w:p w14:paraId="742BDAD1">
                  <w:pPr>
                    <w:autoSpaceDE w:val="0"/>
                    <w:autoSpaceDN w:val="0"/>
                    <w:jc w:val="center"/>
                    <w:rPr>
                      <w:color w:val="000000"/>
                      <w:szCs w:val="21"/>
                    </w:rPr>
                  </w:pPr>
                  <w:r>
                    <w:rPr>
                      <w:color w:val="000000"/>
                      <w:szCs w:val="21"/>
                    </w:rPr>
                    <w:t>周界外浓度最高点mg/m</w:t>
                  </w:r>
                  <w:r>
                    <w:rPr>
                      <w:color w:val="000000"/>
                      <w:szCs w:val="21"/>
                      <w:vertAlign w:val="superscript"/>
                    </w:rPr>
                    <w:t>3</w:t>
                  </w:r>
                </w:p>
              </w:tc>
            </w:tr>
            <w:tr w14:paraId="73766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79" w:type="pct"/>
                  <w:vAlign w:val="center"/>
                </w:tcPr>
                <w:p w14:paraId="49140A9E">
                  <w:pPr>
                    <w:autoSpaceDE w:val="0"/>
                    <w:autoSpaceDN w:val="0"/>
                    <w:jc w:val="center"/>
                    <w:rPr>
                      <w:color w:val="000000"/>
                      <w:szCs w:val="21"/>
                    </w:rPr>
                  </w:pPr>
                  <w:r>
                    <w:rPr>
                      <w:rFonts w:hint="eastAsia"/>
                      <w:color w:val="000000"/>
                      <w:szCs w:val="21"/>
                    </w:rPr>
                    <w:t>颗粒物</w:t>
                  </w:r>
                </w:p>
              </w:tc>
              <w:tc>
                <w:tcPr>
                  <w:tcW w:w="1170" w:type="pct"/>
                  <w:gridSpan w:val="2"/>
                  <w:tcBorders>
                    <w:right w:val="single" w:color="000000" w:sz="4" w:space="0"/>
                  </w:tcBorders>
                  <w:vAlign w:val="center"/>
                </w:tcPr>
                <w:p w14:paraId="20E8239F">
                  <w:pPr>
                    <w:autoSpaceDE w:val="0"/>
                    <w:autoSpaceDN w:val="0"/>
                    <w:jc w:val="center"/>
                    <w:rPr>
                      <w:color w:val="000000"/>
                      <w:szCs w:val="21"/>
                    </w:rPr>
                  </w:pPr>
                  <w:r>
                    <w:rPr>
                      <w:rFonts w:hint="eastAsia"/>
                      <w:color w:val="000000"/>
                      <w:szCs w:val="21"/>
                    </w:rPr>
                    <w:t>120</w:t>
                  </w:r>
                </w:p>
              </w:tc>
              <w:tc>
                <w:tcPr>
                  <w:tcW w:w="790" w:type="pct"/>
                  <w:tcBorders>
                    <w:left w:val="single" w:color="000000" w:sz="4" w:space="0"/>
                  </w:tcBorders>
                  <w:vAlign w:val="center"/>
                </w:tcPr>
                <w:p w14:paraId="04AB4489">
                  <w:pPr>
                    <w:autoSpaceDE w:val="0"/>
                    <w:autoSpaceDN w:val="0"/>
                    <w:jc w:val="center"/>
                    <w:rPr>
                      <w:color w:val="000000"/>
                      <w:szCs w:val="21"/>
                    </w:rPr>
                  </w:pPr>
                  <w:r>
                    <w:rPr>
                      <w:rFonts w:hint="eastAsia"/>
                      <w:color w:val="000000"/>
                      <w:szCs w:val="21"/>
                    </w:rPr>
                    <w:t>15</w:t>
                  </w:r>
                </w:p>
              </w:tc>
              <w:tc>
                <w:tcPr>
                  <w:tcW w:w="1205" w:type="pct"/>
                  <w:tcBorders>
                    <w:right w:val="single" w:color="000000" w:sz="4" w:space="0"/>
                  </w:tcBorders>
                  <w:vAlign w:val="center"/>
                </w:tcPr>
                <w:p w14:paraId="3970F0F8">
                  <w:pPr>
                    <w:autoSpaceDE w:val="0"/>
                    <w:autoSpaceDN w:val="0"/>
                    <w:jc w:val="center"/>
                    <w:rPr>
                      <w:color w:val="000000"/>
                      <w:szCs w:val="21"/>
                    </w:rPr>
                  </w:pPr>
                  <w:r>
                    <w:rPr>
                      <w:rFonts w:hint="eastAsia"/>
                      <w:color w:val="000000"/>
                      <w:szCs w:val="21"/>
                    </w:rPr>
                    <w:t>3.5</w:t>
                  </w:r>
                </w:p>
              </w:tc>
              <w:tc>
                <w:tcPr>
                  <w:tcW w:w="953" w:type="pct"/>
                  <w:tcBorders>
                    <w:left w:val="single" w:color="000000" w:sz="4" w:space="0"/>
                  </w:tcBorders>
                  <w:vAlign w:val="center"/>
                </w:tcPr>
                <w:p w14:paraId="3CD93296">
                  <w:pPr>
                    <w:autoSpaceDE w:val="0"/>
                    <w:autoSpaceDN w:val="0"/>
                    <w:jc w:val="center"/>
                    <w:rPr>
                      <w:color w:val="000000"/>
                      <w:szCs w:val="21"/>
                    </w:rPr>
                  </w:pPr>
                  <w:r>
                    <w:rPr>
                      <w:rFonts w:hint="eastAsia"/>
                      <w:color w:val="000000"/>
                      <w:szCs w:val="21"/>
                    </w:rPr>
                    <w:t>1.0</w:t>
                  </w:r>
                </w:p>
              </w:tc>
            </w:tr>
            <w:tr w14:paraId="7D9D5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000" w:type="pct"/>
                  <w:gridSpan w:val="6"/>
                  <w:vAlign w:val="center"/>
                </w:tcPr>
                <w:p w14:paraId="2113547F">
                  <w:pPr>
                    <w:autoSpaceDE w:val="0"/>
                    <w:autoSpaceDN w:val="0"/>
                    <w:jc w:val="center"/>
                    <w:rPr>
                      <w:color w:val="000000"/>
                      <w:szCs w:val="21"/>
                    </w:rPr>
                  </w:pPr>
                  <w:r>
                    <w:rPr>
                      <w:szCs w:val="21"/>
                    </w:rPr>
                    <w:t>《</w:t>
                  </w:r>
                  <w:r>
                    <w:rPr>
                      <w:rFonts w:hint="eastAsia"/>
                      <w:szCs w:val="21"/>
                    </w:rPr>
                    <w:t>锅炉大气</w:t>
                  </w:r>
                  <w:r>
                    <w:rPr>
                      <w:szCs w:val="21"/>
                    </w:rPr>
                    <w:t>污染物排放标准》（GB13271-2014）</w:t>
                  </w:r>
                </w:p>
              </w:tc>
            </w:tr>
            <w:tr w14:paraId="395BB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79" w:type="pct"/>
                  <w:vAlign w:val="center"/>
                </w:tcPr>
                <w:p w14:paraId="17A0990D">
                  <w:pPr>
                    <w:autoSpaceDE w:val="0"/>
                    <w:autoSpaceDN w:val="0"/>
                    <w:jc w:val="center"/>
                    <w:rPr>
                      <w:color w:val="000000"/>
                      <w:szCs w:val="21"/>
                    </w:rPr>
                  </w:pPr>
                  <w:r>
                    <w:rPr>
                      <w:color w:val="000000"/>
                      <w:szCs w:val="21"/>
                    </w:rPr>
                    <w:t>污染物项目</w:t>
                  </w:r>
                </w:p>
              </w:tc>
              <w:tc>
                <w:tcPr>
                  <w:tcW w:w="980" w:type="pct"/>
                  <w:vAlign w:val="center"/>
                </w:tcPr>
                <w:p w14:paraId="071C42FF">
                  <w:pPr>
                    <w:widowControl/>
                    <w:tabs>
                      <w:tab w:val="left" w:pos="630"/>
                      <w:tab w:val="left" w:pos="1260"/>
                    </w:tabs>
                    <w:jc w:val="center"/>
                    <w:textAlignment w:val="baseline"/>
                    <w:rPr>
                      <w:bCs/>
                      <w:snapToGrid w:val="0"/>
                      <w:color w:val="000000"/>
                    </w:rPr>
                  </w:pPr>
                  <w:r>
                    <w:rPr>
                      <w:bCs/>
                      <w:snapToGrid w:val="0"/>
                      <w:color w:val="000000"/>
                    </w:rPr>
                    <w:t>排放限值</w:t>
                  </w:r>
                </w:p>
              </w:tc>
              <w:tc>
                <w:tcPr>
                  <w:tcW w:w="980" w:type="pct"/>
                  <w:gridSpan w:val="2"/>
                  <w:vAlign w:val="center"/>
                </w:tcPr>
                <w:p w14:paraId="37BEFEFF">
                  <w:pPr>
                    <w:widowControl/>
                    <w:tabs>
                      <w:tab w:val="left" w:pos="630"/>
                      <w:tab w:val="left" w:pos="1260"/>
                    </w:tabs>
                    <w:jc w:val="center"/>
                    <w:textAlignment w:val="baseline"/>
                    <w:rPr>
                      <w:bCs/>
                      <w:snapToGrid w:val="0"/>
                      <w:color w:val="000000"/>
                    </w:rPr>
                  </w:pPr>
                  <w:r>
                    <w:rPr>
                      <w:color w:val="000000"/>
                      <w:szCs w:val="21"/>
                    </w:rPr>
                    <w:t>烟囱高度m</w:t>
                  </w:r>
                </w:p>
              </w:tc>
              <w:tc>
                <w:tcPr>
                  <w:tcW w:w="2158" w:type="pct"/>
                  <w:gridSpan w:val="2"/>
                  <w:vAlign w:val="center"/>
                </w:tcPr>
                <w:p w14:paraId="6242D7BF">
                  <w:pPr>
                    <w:widowControl/>
                    <w:tabs>
                      <w:tab w:val="left" w:pos="630"/>
                      <w:tab w:val="left" w:pos="1260"/>
                    </w:tabs>
                    <w:jc w:val="center"/>
                    <w:textAlignment w:val="baseline"/>
                    <w:rPr>
                      <w:bCs/>
                      <w:snapToGrid w:val="0"/>
                      <w:color w:val="000000"/>
                    </w:rPr>
                  </w:pPr>
                  <w:r>
                    <w:rPr>
                      <w:bCs/>
                      <w:snapToGrid w:val="0"/>
                      <w:color w:val="000000"/>
                    </w:rPr>
                    <w:t>污染物排放监控位置</w:t>
                  </w:r>
                </w:p>
              </w:tc>
            </w:tr>
            <w:tr w14:paraId="339B5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79" w:type="pct"/>
                  <w:vAlign w:val="center"/>
                </w:tcPr>
                <w:p w14:paraId="0E03D0B0">
                  <w:pPr>
                    <w:widowControl/>
                    <w:tabs>
                      <w:tab w:val="left" w:pos="630"/>
                      <w:tab w:val="left" w:pos="1260"/>
                    </w:tabs>
                    <w:jc w:val="center"/>
                    <w:textAlignment w:val="baseline"/>
                    <w:rPr>
                      <w:bCs/>
                      <w:snapToGrid w:val="0"/>
                      <w:color w:val="000000"/>
                    </w:rPr>
                  </w:pPr>
                  <w:r>
                    <w:rPr>
                      <w:bCs/>
                      <w:snapToGrid w:val="0"/>
                      <w:color w:val="000000"/>
                    </w:rPr>
                    <w:t>颗粒物</w:t>
                  </w:r>
                </w:p>
              </w:tc>
              <w:tc>
                <w:tcPr>
                  <w:tcW w:w="980" w:type="pct"/>
                  <w:vAlign w:val="center"/>
                </w:tcPr>
                <w:p w14:paraId="4369A6B6">
                  <w:pPr>
                    <w:widowControl/>
                    <w:tabs>
                      <w:tab w:val="left" w:pos="630"/>
                      <w:tab w:val="left" w:pos="1260"/>
                    </w:tabs>
                    <w:jc w:val="center"/>
                    <w:textAlignment w:val="baseline"/>
                    <w:rPr>
                      <w:bCs/>
                      <w:snapToGrid w:val="0"/>
                      <w:color w:val="000000"/>
                    </w:rPr>
                  </w:pPr>
                  <w:r>
                    <w:rPr>
                      <w:rFonts w:hint="eastAsia"/>
                      <w:bCs/>
                      <w:snapToGrid w:val="0"/>
                      <w:color w:val="000000"/>
                    </w:rPr>
                    <w:t>30</w:t>
                  </w:r>
                </w:p>
              </w:tc>
              <w:tc>
                <w:tcPr>
                  <w:tcW w:w="980" w:type="pct"/>
                  <w:gridSpan w:val="2"/>
                  <w:vMerge w:val="restart"/>
                  <w:vAlign w:val="center"/>
                </w:tcPr>
                <w:p w14:paraId="7AA7814C">
                  <w:pPr>
                    <w:widowControl/>
                    <w:tabs>
                      <w:tab w:val="left" w:pos="630"/>
                      <w:tab w:val="left" w:pos="1260"/>
                    </w:tabs>
                    <w:jc w:val="center"/>
                    <w:textAlignment w:val="baseline"/>
                    <w:rPr>
                      <w:bCs/>
                      <w:snapToGrid w:val="0"/>
                      <w:color w:val="000000"/>
                    </w:rPr>
                  </w:pPr>
                  <w:r>
                    <w:rPr>
                      <w:rFonts w:hint="eastAsia"/>
                      <w:bCs/>
                      <w:snapToGrid w:val="0"/>
                      <w:color w:val="000000"/>
                    </w:rPr>
                    <w:t>40</w:t>
                  </w:r>
                </w:p>
              </w:tc>
              <w:tc>
                <w:tcPr>
                  <w:tcW w:w="2158" w:type="pct"/>
                  <w:gridSpan w:val="2"/>
                  <w:vMerge w:val="restart"/>
                  <w:vAlign w:val="center"/>
                </w:tcPr>
                <w:p w14:paraId="472D657D">
                  <w:pPr>
                    <w:autoSpaceDE w:val="0"/>
                    <w:autoSpaceDN w:val="0"/>
                    <w:jc w:val="center"/>
                    <w:rPr>
                      <w:color w:val="000000"/>
                      <w:szCs w:val="21"/>
                    </w:rPr>
                  </w:pPr>
                  <w:r>
                    <w:rPr>
                      <w:bCs/>
                      <w:snapToGrid w:val="0"/>
                      <w:color w:val="000000"/>
                    </w:rPr>
                    <w:t>烟囱或烟道</w:t>
                  </w:r>
                </w:p>
              </w:tc>
            </w:tr>
            <w:tr w14:paraId="1B8D2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79" w:type="pct"/>
                  <w:vAlign w:val="center"/>
                </w:tcPr>
                <w:p w14:paraId="68640597">
                  <w:pPr>
                    <w:widowControl/>
                    <w:tabs>
                      <w:tab w:val="left" w:pos="630"/>
                      <w:tab w:val="left" w:pos="1260"/>
                    </w:tabs>
                    <w:jc w:val="center"/>
                    <w:textAlignment w:val="baseline"/>
                    <w:rPr>
                      <w:bCs/>
                      <w:snapToGrid w:val="0"/>
                      <w:color w:val="000000"/>
                    </w:rPr>
                  </w:pPr>
                  <w:r>
                    <w:rPr>
                      <w:bCs/>
                      <w:snapToGrid w:val="0"/>
                      <w:color w:val="000000"/>
                    </w:rPr>
                    <w:t>二氧化硫</w:t>
                  </w:r>
                </w:p>
              </w:tc>
              <w:tc>
                <w:tcPr>
                  <w:tcW w:w="980" w:type="pct"/>
                  <w:vAlign w:val="center"/>
                </w:tcPr>
                <w:p w14:paraId="60376279">
                  <w:pPr>
                    <w:widowControl/>
                    <w:tabs>
                      <w:tab w:val="left" w:pos="630"/>
                      <w:tab w:val="left" w:pos="1260"/>
                    </w:tabs>
                    <w:jc w:val="center"/>
                    <w:textAlignment w:val="baseline"/>
                    <w:rPr>
                      <w:bCs/>
                      <w:snapToGrid w:val="0"/>
                      <w:color w:val="000000"/>
                    </w:rPr>
                  </w:pPr>
                  <w:r>
                    <w:rPr>
                      <w:rFonts w:hint="eastAsia"/>
                      <w:bCs/>
                      <w:snapToGrid w:val="0"/>
                      <w:color w:val="000000"/>
                    </w:rPr>
                    <w:t>200</w:t>
                  </w:r>
                </w:p>
              </w:tc>
              <w:tc>
                <w:tcPr>
                  <w:tcW w:w="980" w:type="pct"/>
                  <w:gridSpan w:val="2"/>
                  <w:vMerge w:val="continue"/>
                  <w:vAlign w:val="center"/>
                </w:tcPr>
                <w:p w14:paraId="3677D6D5">
                  <w:pPr>
                    <w:widowControl/>
                    <w:tabs>
                      <w:tab w:val="left" w:pos="630"/>
                      <w:tab w:val="left" w:pos="1260"/>
                    </w:tabs>
                    <w:jc w:val="center"/>
                    <w:textAlignment w:val="baseline"/>
                    <w:rPr>
                      <w:bCs/>
                      <w:snapToGrid w:val="0"/>
                      <w:color w:val="000000"/>
                    </w:rPr>
                  </w:pPr>
                </w:p>
              </w:tc>
              <w:tc>
                <w:tcPr>
                  <w:tcW w:w="2158" w:type="pct"/>
                  <w:gridSpan w:val="2"/>
                  <w:vMerge w:val="continue"/>
                  <w:vAlign w:val="center"/>
                </w:tcPr>
                <w:p w14:paraId="6D78081E">
                  <w:pPr>
                    <w:autoSpaceDE w:val="0"/>
                    <w:autoSpaceDN w:val="0"/>
                    <w:jc w:val="center"/>
                    <w:rPr>
                      <w:color w:val="000000"/>
                      <w:szCs w:val="21"/>
                    </w:rPr>
                  </w:pPr>
                </w:p>
              </w:tc>
            </w:tr>
            <w:tr w14:paraId="52D83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79" w:type="pct"/>
                  <w:vAlign w:val="center"/>
                </w:tcPr>
                <w:p w14:paraId="10BA03B9">
                  <w:pPr>
                    <w:widowControl/>
                    <w:tabs>
                      <w:tab w:val="left" w:pos="630"/>
                      <w:tab w:val="left" w:pos="1260"/>
                    </w:tabs>
                    <w:jc w:val="center"/>
                    <w:textAlignment w:val="baseline"/>
                    <w:rPr>
                      <w:bCs/>
                      <w:snapToGrid w:val="0"/>
                      <w:color w:val="000000"/>
                    </w:rPr>
                  </w:pPr>
                  <w:r>
                    <w:rPr>
                      <w:bCs/>
                      <w:snapToGrid w:val="0"/>
                      <w:color w:val="000000"/>
                    </w:rPr>
                    <w:t>氮氧化物</w:t>
                  </w:r>
                </w:p>
              </w:tc>
              <w:tc>
                <w:tcPr>
                  <w:tcW w:w="980" w:type="pct"/>
                  <w:vAlign w:val="center"/>
                </w:tcPr>
                <w:p w14:paraId="4B2D7931">
                  <w:pPr>
                    <w:widowControl/>
                    <w:tabs>
                      <w:tab w:val="left" w:pos="630"/>
                      <w:tab w:val="left" w:pos="1260"/>
                    </w:tabs>
                    <w:jc w:val="center"/>
                    <w:textAlignment w:val="baseline"/>
                    <w:rPr>
                      <w:bCs/>
                      <w:snapToGrid w:val="0"/>
                      <w:color w:val="000000"/>
                    </w:rPr>
                  </w:pPr>
                  <w:r>
                    <w:rPr>
                      <w:rFonts w:hint="eastAsia"/>
                      <w:bCs/>
                      <w:snapToGrid w:val="0"/>
                      <w:color w:val="000000"/>
                    </w:rPr>
                    <w:t>200</w:t>
                  </w:r>
                </w:p>
              </w:tc>
              <w:tc>
                <w:tcPr>
                  <w:tcW w:w="980" w:type="pct"/>
                  <w:gridSpan w:val="2"/>
                  <w:vMerge w:val="continue"/>
                  <w:vAlign w:val="center"/>
                </w:tcPr>
                <w:p w14:paraId="300F13E2">
                  <w:pPr>
                    <w:widowControl/>
                    <w:tabs>
                      <w:tab w:val="left" w:pos="630"/>
                      <w:tab w:val="left" w:pos="1260"/>
                    </w:tabs>
                    <w:jc w:val="center"/>
                    <w:textAlignment w:val="baseline"/>
                    <w:rPr>
                      <w:bCs/>
                      <w:snapToGrid w:val="0"/>
                      <w:color w:val="000000"/>
                    </w:rPr>
                  </w:pPr>
                </w:p>
              </w:tc>
              <w:tc>
                <w:tcPr>
                  <w:tcW w:w="2158" w:type="pct"/>
                  <w:gridSpan w:val="2"/>
                  <w:vMerge w:val="continue"/>
                  <w:vAlign w:val="center"/>
                </w:tcPr>
                <w:p w14:paraId="17319B4C">
                  <w:pPr>
                    <w:autoSpaceDE w:val="0"/>
                    <w:autoSpaceDN w:val="0"/>
                    <w:jc w:val="center"/>
                    <w:rPr>
                      <w:color w:val="000000"/>
                      <w:szCs w:val="21"/>
                    </w:rPr>
                  </w:pPr>
                </w:p>
              </w:tc>
            </w:tr>
            <w:tr w14:paraId="0CD4F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79" w:type="pct"/>
                  <w:vAlign w:val="center"/>
                </w:tcPr>
                <w:p w14:paraId="4C72A9A1">
                  <w:pPr>
                    <w:pStyle w:val="32"/>
                    <w:rPr>
                      <w:bCs/>
                      <w:snapToGrid w:val="0"/>
                      <w:color w:val="000000"/>
                    </w:rPr>
                  </w:pPr>
                  <w:r>
                    <w:rPr>
                      <w:rFonts w:hint="eastAsia"/>
                    </w:rPr>
                    <w:t>林格曼黑度</w:t>
                  </w:r>
                </w:p>
              </w:tc>
              <w:tc>
                <w:tcPr>
                  <w:tcW w:w="980" w:type="pct"/>
                  <w:vAlign w:val="center"/>
                </w:tcPr>
                <w:p w14:paraId="65E271E8">
                  <w:pPr>
                    <w:pStyle w:val="32"/>
                    <w:rPr>
                      <w:bCs/>
                      <w:snapToGrid w:val="0"/>
                      <w:color w:val="000000"/>
                    </w:rPr>
                  </w:pPr>
                  <w:r>
                    <w:t>≤1级</w:t>
                  </w:r>
                </w:p>
              </w:tc>
              <w:tc>
                <w:tcPr>
                  <w:tcW w:w="980" w:type="pct"/>
                  <w:gridSpan w:val="2"/>
                  <w:vMerge w:val="continue"/>
                  <w:vAlign w:val="center"/>
                </w:tcPr>
                <w:p w14:paraId="2348C64C">
                  <w:pPr>
                    <w:pStyle w:val="32"/>
                  </w:pPr>
                </w:p>
              </w:tc>
              <w:tc>
                <w:tcPr>
                  <w:tcW w:w="2158" w:type="pct"/>
                  <w:gridSpan w:val="2"/>
                  <w:vMerge w:val="continue"/>
                  <w:vAlign w:val="center"/>
                </w:tcPr>
                <w:p w14:paraId="07C0C76D">
                  <w:pPr>
                    <w:autoSpaceDE w:val="0"/>
                    <w:autoSpaceDN w:val="0"/>
                    <w:jc w:val="center"/>
                    <w:rPr>
                      <w:color w:val="000000"/>
                      <w:szCs w:val="21"/>
                    </w:rPr>
                  </w:pPr>
                </w:p>
              </w:tc>
            </w:tr>
          </w:tbl>
          <w:p w14:paraId="623C6A86">
            <w:pPr>
              <w:spacing w:line="360" w:lineRule="auto"/>
              <w:ind w:firstLine="402" w:firstLineChars="167"/>
              <w:rPr>
                <w:b/>
                <w:color w:val="000000"/>
                <w:sz w:val="24"/>
              </w:rPr>
            </w:pPr>
            <w:r>
              <w:rPr>
                <w:b/>
                <w:color w:val="000000"/>
                <w:sz w:val="24"/>
              </w:rPr>
              <w:t>2、废水排放标准</w:t>
            </w:r>
          </w:p>
          <w:p w14:paraId="42CF91C9">
            <w:pPr>
              <w:spacing w:line="360" w:lineRule="auto"/>
              <w:ind w:firstLine="480" w:firstLineChars="200"/>
              <w:rPr>
                <w:color w:val="000000"/>
                <w:sz w:val="24"/>
              </w:rPr>
            </w:pPr>
            <w:r>
              <w:rPr>
                <w:color w:val="000000"/>
                <w:sz w:val="24"/>
              </w:rPr>
              <w:t>生活污水</w:t>
            </w:r>
            <w:r>
              <w:rPr>
                <w:rFonts w:hint="eastAsia"/>
                <w:color w:val="000000"/>
                <w:sz w:val="24"/>
              </w:rPr>
              <w:t>经</w:t>
            </w:r>
            <w:r>
              <w:rPr>
                <w:color w:val="000000"/>
                <w:sz w:val="24"/>
              </w:rPr>
              <w:t>化粪池处理后</w:t>
            </w:r>
            <w:r>
              <w:rPr>
                <w:rFonts w:hint="eastAsia"/>
                <w:color w:val="000000"/>
                <w:sz w:val="24"/>
              </w:rPr>
              <w:t>定期清掏，不外排</w:t>
            </w:r>
            <w:r>
              <w:rPr>
                <w:color w:val="000000"/>
                <w:sz w:val="24"/>
              </w:rPr>
              <w:t>。</w:t>
            </w:r>
          </w:p>
          <w:p w14:paraId="3018B692">
            <w:pPr>
              <w:spacing w:line="360" w:lineRule="auto"/>
              <w:ind w:firstLine="402" w:firstLineChars="167"/>
              <w:rPr>
                <w:b/>
                <w:color w:val="000000"/>
                <w:sz w:val="24"/>
              </w:rPr>
            </w:pPr>
            <w:r>
              <w:rPr>
                <w:b/>
                <w:color w:val="000000"/>
                <w:sz w:val="24"/>
              </w:rPr>
              <w:t>3、噪声排放标准</w:t>
            </w:r>
          </w:p>
          <w:p w14:paraId="3F20BDC1">
            <w:pPr>
              <w:spacing w:line="360" w:lineRule="auto"/>
              <w:ind w:firstLine="480" w:firstLineChars="200"/>
              <w:rPr>
                <w:color w:val="000000"/>
                <w:sz w:val="24"/>
              </w:rPr>
            </w:pPr>
            <w:r>
              <w:rPr>
                <w:color w:val="000000"/>
                <w:sz w:val="24"/>
              </w:rPr>
              <w:t>项目运营期厂界噪声排放执行《工业企业厂界环境噪声排放标准》（GB12348-2008）</w:t>
            </w:r>
            <w:r>
              <w:rPr>
                <w:rFonts w:hint="eastAsia"/>
                <w:color w:val="000000"/>
                <w:sz w:val="24"/>
              </w:rPr>
              <w:t>2</w:t>
            </w:r>
            <w:r>
              <w:rPr>
                <w:color w:val="000000"/>
                <w:sz w:val="24"/>
              </w:rPr>
              <w:t>类标准</w:t>
            </w:r>
            <w:r>
              <w:rPr>
                <w:rFonts w:hint="eastAsia"/>
                <w:color w:val="000000"/>
                <w:sz w:val="24"/>
              </w:rPr>
              <w:t>。</w:t>
            </w:r>
          </w:p>
          <w:p w14:paraId="661C7039">
            <w:pPr>
              <w:jc w:val="center"/>
              <w:rPr>
                <w:b/>
                <w:bCs/>
                <w:color w:val="000000"/>
                <w:sz w:val="24"/>
              </w:rPr>
            </w:pPr>
            <w:r>
              <w:rPr>
                <w:b/>
                <w:bCs/>
                <w:color w:val="000000"/>
                <w:sz w:val="24"/>
              </w:rPr>
              <w:t>表3-</w:t>
            </w:r>
            <w:r>
              <w:rPr>
                <w:rFonts w:hint="eastAsia"/>
                <w:b/>
                <w:bCs/>
                <w:color w:val="000000"/>
                <w:sz w:val="24"/>
              </w:rPr>
              <w:t>7</w:t>
            </w:r>
            <w:r>
              <w:rPr>
                <w:b/>
                <w:bCs/>
                <w:color w:val="000000"/>
                <w:sz w:val="24"/>
              </w:rPr>
              <w:t xml:space="preserve">  工业企业厂界环境噪声排放标准   单位：dB(A)</w:t>
            </w:r>
          </w:p>
          <w:tbl>
            <w:tblPr>
              <w:tblStyle w:val="23"/>
              <w:tblW w:w="8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4"/>
              <w:gridCol w:w="2560"/>
              <w:gridCol w:w="2815"/>
            </w:tblGrid>
            <w:tr w14:paraId="17631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684" w:type="dxa"/>
                  <w:tcBorders>
                    <w:top w:val="single" w:color="auto" w:sz="4" w:space="0"/>
                    <w:left w:val="single" w:color="auto" w:sz="4" w:space="0"/>
                    <w:bottom w:val="single" w:color="auto" w:sz="4" w:space="0"/>
                    <w:right w:val="single" w:color="auto" w:sz="4" w:space="0"/>
                  </w:tcBorders>
                  <w:vAlign w:val="center"/>
                </w:tcPr>
                <w:p w14:paraId="6C0A361D">
                  <w:pPr>
                    <w:pStyle w:val="38"/>
                    <w:widowControl w:val="0"/>
                    <w:tabs>
                      <w:tab w:val="left" w:pos="416"/>
                    </w:tabs>
                    <w:adjustRightInd/>
                    <w:spacing w:before="0" w:line="240" w:lineRule="auto"/>
                    <w:ind w:firstLineChars="0"/>
                    <w:textAlignment w:val="auto"/>
                    <w:rPr>
                      <w:rFonts w:ascii="Times New Roman"/>
                      <w:color w:val="000000"/>
                      <w:sz w:val="21"/>
                      <w:szCs w:val="21"/>
                    </w:rPr>
                  </w:pPr>
                  <w:r>
                    <w:rPr>
                      <w:rFonts w:ascii="Times New Roman"/>
                      <w:color w:val="000000"/>
                      <w:sz w:val="21"/>
                      <w:szCs w:val="21"/>
                    </w:rPr>
                    <w:t>类别</w:t>
                  </w:r>
                </w:p>
              </w:tc>
              <w:tc>
                <w:tcPr>
                  <w:tcW w:w="2560" w:type="dxa"/>
                  <w:tcBorders>
                    <w:top w:val="single" w:color="auto" w:sz="4" w:space="0"/>
                    <w:left w:val="single" w:color="auto" w:sz="4" w:space="0"/>
                    <w:bottom w:val="single" w:color="auto" w:sz="4" w:space="0"/>
                    <w:right w:val="single" w:color="auto" w:sz="4" w:space="0"/>
                  </w:tcBorders>
                  <w:vAlign w:val="center"/>
                </w:tcPr>
                <w:p w14:paraId="5ECAD697">
                  <w:pPr>
                    <w:pStyle w:val="38"/>
                    <w:widowControl w:val="0"/>
                    <w:tabs>
                      <w:tab w:val="left" w:pos="416"/>
                    </w:tabs>
                    <w:adjustRightInd/>
                    <w:spacing w:before="0" w:line="240" w:lineRule="auto"/>
                    <w:ind w:firstLineChars="0"/>
                    <w:textAlignment w:val="auto"/>
                    <w:rPr>
                      <w:rFonts w:ascii="Times New Roman"/>
                      <w:color w:val="000000"/>
                      <w:sz w:val="21"/>
                      <w:szCs w:val="21"/>
                    </w:rPr>
                  </w:pPr>
                  <w:r>
                    <w:rPr>
                      <w:rFonts w:ascii="Times New Roman"/>
                      <w:color w:val="000000"/>
                      <w:sz w:val="21"/>
                      <w:szCs w:val="21"/>
                    </w:rPr>
                    <w:t>昼间</w:t>
                  </w:r>
                </w:p>
              </w:tc>
              <w:tc>
                <w:tcPr>
                  <w:tcW w:w="2815" w:type="dxa"/>
                  <w:tcBorders>
                    <w:top w:val="single" w:color="auto" w:sz="4" w:space="0"/>
                    <w:left w:val="single" w:color="auto" w:sz="4" w:space="0"/>
                    <w:bottom w:val="single" w:color="auto" w:sz="4" w:space="0"/>
                    <w:right w:val="single" w:color="auto" w:sz="4" w:space="0"/>
                  </w:tcBorders>
                  <w:vAlign w:val="center"/>
                </w:tcPr>
                <w:p w14:paraId="269759F7">
                  <w:pPr>
                    <w:pStyle w:val="38"/>
                    <w:widowControl w:val="0"/>
                    <w:tabs>
                      <w:tab w:val="left" w:pos="416"/>
                    </w:tabs>
                    <w:adjustRightInd/>
                    <w:spacing w:before="0" w:line="240" w:lineRule="auto"/>
                    <w:ind w:firstLineChars="0"/>
                    <w:textAlignment w:val="auto"/>
                    <w:rPr>
                      <w:rFonts w:ascii="Times New Roman"/>
                      <w:color w:val="000000"/>
                      <w:sz w:val="21"/>
                      <w:szCs w:val="21"/>
                    </w:rPr>
                  </w:pPr>
                  <w:r>
                    <w:rPr>
                      <w:rFonts w:ascii="Times New Roman"/>
                      <w:color w:val="000000"/>
                      <w:sz w:val="21"/>
                      <w:szCs w:val="21"/>
                    </w:rPr>
                    <w:t>夜间</w:t>
                  </w:r>
                </w:p>
              </w:tc>
            </w:tr>
            <w:tr w14:paraId="71563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684" w:type="dxa"/>
                  <w:tcBorders>
                    <w:top w:val="single" w:color="auto" w:sz="4" w:space="0"/>
                    <w:left w:val="single" w:color="auto" w:sz="4" w:space="0"/>
                    <w:bottom w:val="single" w:color="auto" w:sz="4" w:space="0"/>
                    <w:right w:val="single" w:color="auto" w:sz="4" w:space="0"/>
                  </w:tcBorders>
                  <w:vAlign w:val="center"/>
                </w:tcPr>
                <w:p w14:paraId="50592216">
                  <w:pPr>
                    <w:pStyle w:val="38"/>
                    <w:widowControl w:val="0"/>
                    <w:tabs>
                      <w:tab w:val="left" w:pos="416"/>
                    </w:tabs>
                    <w:adjustRightInd/>
                    <w:spacing w:before="0" w:line="240" w:lineRule="auto"/>
                    <w:ind w:firstLineChars="0"/>
                    <w:textAlignment w:val="auto"/>
                    <w:rPr>
                      <w:rFonts w:ascii="Times New Roman"/>
                      <w:color w:val="000000"/>
                      <w:sz w:val="21"/>
                      <w:szCs w:val="21"/>
                    </w:rPr>
                  </w:pPr>
                  <w:r>
                    <w:rPr>
                      <w:rFonts w:hint="eastAsia" w:ascii="Times New Roman"/>
                      <w:color w:val="000000"/>
                      <w:sz w:val="21"/>
                      <w:szCs w:val="21"/>
                    </w:rPr>
                    <w:t>2</w:t>
                  </w:r>
                  <w:r>
                    <w:rPr>
                      <w:rFonts w:ascii="Times New Roman"/>
                      <w:color w:val="000000"/>
                      <w:sz w:val="21"/>
                      <w:szCs w:val="21"/>
                    </w:rPr>
                    <w:t>类</w:t>
                  </w:r>
                </w:p>
              </w:tc>
              <w:tc>
                <w:tcPr>
                  <w:tcW w:w="2560" w:type="dxa"/>
                  <w:tcBorders>
                    <w:top w:val="single" w:color="auto" w:sz="4" w:space="0"/>
                    <w:left w:val="single" w:color="auto" w:sz="4" w:space="0"/>
                    <w:bottom w:val="single" w:color="auto" w:sz="4" w:space="0"/>
                    <w:right w:val="single" w:color="auto" w:sz="4" w:space="0"/>
                  </w:tcBorders>
                  <w:vAlign w:val="center"/>
                </w:tcPr>
                <w:p w14:paraId="067D811C">
                  <w:pPr>
                    <w:pStyle w:val="38"/>
                    <w:widowControl w:val="0"/>
                    <w:tabs>
                      <w:tab w:val="left" w:pos="416"/>
                    </w:tabs>
                    <w:adjustRightInd/>
                    <w:spacing w:before="0" w:line="240" w:lineRule="auto"/>
                    <w:ind w:firstLineChars="0"/>
                    <w:textAlignment w:val="auto"/>
                    <w:rPr>
                      <w:rFonts w:ascii="Times New Roman"/>
                      <w:color w:val="000000"/>
                      <w:sz w:val="21"/>
                      <w:szCs w:val="21"/>
                    </w:rPr>
                  </w:pPr>
                  <w:r>
                    <w:rPr>
                      <w:rFonts w:hint="eastAsia" w:ascii="Times New Roman"/>
                      <w:color w:val="000000"/>
                      <w:sz w:val="21"/>
                      <w:szCs w:val="21"/>
                    </w:rPr>
                    <w:t>60</w:t>
                  </w:r>
                </w:p>
              </w:tc>
              <w:tc>
                <w:tcPr>
                  <w:tcW w:w="2815" w:type="dxa"/>
                  <w:tcBorders>
                    <w:top w:val="single" w:color="auto" w:sz="4" w:space="0"/>
                    <w:left w:val="single" w:color="auto" w:sz="4" w:space="0"/>
                    <w:bottom w:val="single" w:color="auto" w:sz="4" w:space="0"/>
                    <w:right w:val="single" w:color="auto" w:sz="4" w:space="0"/>
                  </w:tcBorders>
                  <w:vAlign w:val="center"/>
                </w:tcPr>
                <w:p w14:paraId="17CEBDDB">
                  <w:pPr>
                    <w:pStyle w:val="38"/>
                    <w:widowControl w:val="0"/>
                    <w:tabs>
                      <w:tab w:val="left" w:pos="416"/>
                    </w:tabs>
                    <w:adjustRightInd/>
                    <w:spacing w:before="0" w:line="240" w:lineRule="auto"/>
                    <w:ind w:firstLineChars="0"/>
                    <w:textAlignment w:val="auto"/>
                    <w:rPr>
                      <w:rFonts w:ascii="Times New Roman"/>
                      <w:color w:val="000000"/>
                      <w:sz w:val="21"/>
                      <w:szCs w:val="21"/>
                    </w:rPr>
                  </w:pPr>
                  <w:r>
                    <w:rPr>
                      <w:rFonts w:hint="eastAsia" w:ascii="Times New Roman"/>
                      <w:color w:val="000000"/>
                      <w:sz w:val="21"/>
                      <w:szCs w:val="21"/>
                    </w:rPr>
                    <w:t>50</w:t>
                  </w:r>
                </w:p>
              </w:tc>
            </w:tr>
          </w:tbl>
          <w:p w14:paraId="131F7636">
            <w:pPr>
              <w:spacing w:line="360" w:lineRule="auto"/>
              <w:ind w:firstLine="402" w:firstLineChars="167"/>
              <w:rPr>
                <w:b/>
                <w:color w:val="000000"/>
                <w:sz w:val="24"/>
              </w:rPr>
            </w:pPr>
            <w:r>
              <w:rPr>
                <w:b/>
                <w:color w:val="000000"/>
                <w:sz w:val="24"/>
              </w:rPr>
              <w:t>4、固体废物</w:t>
            </w:r>
          </w:p>
          <w:p w14:paraId="3906ABF1">
            <w:pPr>
              <w:spacing w:line="360" w:lineRule="auto"/>
              <w:ind w:firstLine="480" w:firstLineChars="200"/>
              <w:rPr>
                <w:color w:val="000000"/>
                <w:kern w:val="0"/>
                <w:szCs w:val="21"/>
              </w:rPr>
            </w:pPr>
            <w:r>
              <w:rPr>
                <w:color w:val="000000"/>
                <w:sz w:val="24"/>
              </w:rPr>
              <w:t>一般工业固体废物和危险固废的暂存及污染控制分别按《一般工业固体废物贮存和填埋污染控制标准》（GB18599-2020）</w:t>
            </w:r>
            <w:r>
              <w:rPr>
                <w:rFonts w:hint="eastAsia"/>
                <w:color w:val="000000"/>
                <w:sz w:val="24"/>
              </w:rPr>
              <w:t>。</w:t>
            </w:r>
          </w:p>
        </w:tc>
      </w:tr>
      <w:tr w14:paraId="5ED52A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1" w:type="pct"/>
            <w:vAlign w:val="center"/>
          </w:tcPr>
          <w:p w14:paraId="0641C091">
            <w:pPr>
              <w:adjustRightInd w:val="0"/>
              <w:snapToGrid w:val="0"/>
              <w:jc w:val="center"/>
              <w:rPr>
                <w:color w:val="000000"/>
                <w:kern w:val="0"/>
                <w:sz w:val="24"/>
              </w:rPr>
            </w:pPr>
            <w:r>
              <w:rPr>
                <w:color w:val="000000"/>
                <w:kern w:val="0"/>
                <w:sz w:val="24"/>
              </w:rPr>
              <w:t>总量</w:t>
            </w:r>
          </w:p>
          <w:p w14:paraId="238530C7">
            <w:pPr>
              <w:adjustRightInd w:val="0"/>
              <w:snapToGrid w:val="0"/>
              <w:jc w:val="center"/>
              <w:rPr>
                <w:color w:val="000000"/>
                <w:kern w:val="0"/>
                <w:sz w:val="24"/>
              </w:rPr>
            </w:pPr>
            <w:r>
              <w:rPr>
                <w:color w:val="000000"/>
                <w:kern w:val="0"/>
                <w:sz w:val="24"/>
              </w:rPr>
              <w:t>控制</w:t>
            </w:r>
          </w:p>
          <w:p w14:paraId="47ACFB50">
            <w:pPr>
              <w:adjustRightInd w:val="0"/>
              <w:snapToGrid w:val="0"/>
              <w:jc w:val="center"/>
              <w:rPr>
                <w:color w:val="000000"/>
                <w:kern w:val="0"/>
                <w:sz w:val="24"/>
              </w:rPr>
            </w:pPr>
            <w:r>
              <w:rPr>
                <w:color w:val="000000"/>
                <w:kern w:val="0"/>
                <w:sz w:val="24"/>
              </w:rPr>
              <w:t>指标</w:t>
            </w:r>
          </w:p>
        </w:tc>
        <w:tc>
          <w:tcPr>
            <w:tcW w:w="4658" w:type="pct"/>
            <w:vAlign w:val="center"/>
          </w:tcPr>
          <w:p w14:paraId="52320EAB">
            <w:pPr>
              <w:spacing w:line="360" w:lineRule="auto"/>
              <w:ind w:firstLine="480" w:firstLineChars="200"/>
              <w:rPr>
                <w:color w:val="000000"/>
                <w:sz w:val="24"/>
              </w:rPr>
            </w:pPr>
            <w:r>
              <w:rPr>
                <w:color w:val="000000"/>
                <w:sz w:val="24"/>
              </w:rPr>
              <w:t>（1）废水：项目废水经</w:t>
            </w:r>
            <w:r>
              <w:rPr>
                <w:rFonts w:hint="eastAsia"/>
                <w:color w:val="000000"/>
                <w:sz w:val="24"/>
              </w:rPr>
              <w:t>化粪池预处理后定期清掏用于农田施肥</w:t>
            </w:r>
            <w:r>
              <w:rPr>
                <w:color w:val="000000"/>
                <w:sz w:val="24"/>
              </w:rPr>
              <w:t>，</w:t>
            </w:r>
            <w:r>
              <w:rPr>
                <w:rFonts w:hint="eastAsia"/>
                <w:color w:val="000000"/>
                <w:sz w:val="24"/>
              </w:rPr>
              <w:t>不外排。本项目不需</w:t>
            </w:r>
            <w:r>
              <w:rPr>
                <w:color w:val="000000"/>
                <w:sz w:val="24"/>
              </w:rPr>
              <w:t>总量控制指标。</w:t>
            </w:r>
          </w:p>
          <w:p w14:paraId="65699175">
            <w:pPr>
              <w:spacing w:line="360" w:lineRule="auto"/>
              <w:ind w:firstLine="480" w:firstLineChars="200"/>
              <w:rPr>
                <w:color w:val="000000"/>
                <w:sz w:val="24"/>
              </w:rPr>
            </w:pPr>
            <w:r>
              <w:rPr>
                <w:color w:val="000000"/>
                <w:sz w:val="24"/>
              </w:rPr>
              <w:t>（2）废气：</w:t>
            </w:r>
            <w:r>
              <w:rPr>
                <w:sz w:val="24"/>
              </w:rPr>
              <w:t>根据宿州市生态环境局发布《建设项目主要污染物排放总量指标核定表（试行）》，本项目许可排放总量为：</w:t>
            </w:r>
            <w:r>
              <w:rPr>
                <w:color w:val="000000"/>
                <w:sz w:val="24"/>
              </w:rPr>
              <w:t>烟（粉）尘</w:t>
            </w:r>
            <w:r>
              <w:rPr>
                <w:rFonts w:hint="eastAsia"/>
                <w:color w:val="000000"/>
                <w:sz w:val="24"/>
              </w:rPr>
              <w:t>：</w:t>
            </w:r>
            <w:r>
              <w:rPr>
                <w:rFonts w:hint="eastAsia"/>
                <w:sz w:val="24"/>
              </w:rPr>
              <w:t>0.74t/a，二氧化硫和氮氧化物按排污权交易相关要求执行。</w:t>
            </w:r>
          </w:p>
          <w:p w14:paraId="1DFE1F74">
            <w:pPr>
              <w:spacing w:line="360" w:lineRule="auto"/>
              <w:ind w:firstLine="480" w:firstLineChars="200"/>
              <w:rPr>
                <w:color w:val="auto"/>
                <w:sz w:val="24"/>
              </w:rPr>
            </w:pPr>
            <w:r>
              <w:rPr>
                <w:sz w:val="24"/>
              </w:rPr>
              <w:t>根据计算本项目污染物排放总量为</w:t>
            </w:r>
            <w:r>
              <w:rPr>
                <w:color w:val="auto"/>
                <w:sz w:val="24"/>
              </w:rPr>
              <w:t>SO</w:t>
            </w:r>
            <w:r>
              <w:rPr>
                <w:color w:val="auto"/>
                <w:sz w:val="24"/>
                <w:vertAlign w:val="subscript"/>
              </w:rPr>
              <w:t>2</w:t>
            </w:r>
            <w:r>
              <w:rPr>
                <w:rFonts w:hint="eastAsia"/>
                <w:color w:val="auto"/>
                <w:sz w:val="24"/>
                <w:vertAlign w:val="subscript"/>
              </w:rPr>
              <w:t xml:space="preserve"> </w:t>
            </w:r>
            <w:r>
              <w:rPr>
                <w:rFonts w:hint="eastAsia"/>
                <w:color w:val="auto"/>
                <w:sz w:val="24"/>
              </w:rPr>
              <w:t>：</w:t>
            </w:r>
            <w:r>
              <w:rPr>
                <w:rFonts w:hint="eastAsia"/>
                <w:color w:val="auto"/>
                <w:sz w:val="24"/>
                <w:lang w:val="en-US" w:eastAsia="zh-CN"/>
              </w:rPr>
              <w:t>0.19</w:t>
            </w:r>
            <w:r>
              <w:rPr>
                <w:rFonts w:hint="eastAsia"/>
                <w:color w:val="auto"/>
                <w:sz w:val="24"/>
              </w:rPr>
              <w:t>t/a</w:t>
            </w:r>
            <w:r>
              <w:rPr>
                <w:color w:val="auto"/>
                <w:sz w:val="24"/>
              </w:rPr>
              <w:t>、NO</w:t>
            </w:r>
            <w:r>
              <w:rPr>
                <w:rFonts w:hint="eastAsia"/>
                <w:color w:val="auto"/>
                <w:sz w:val="24"/>
              </w:rPr>
              <w:t>x：</w:t>
            </w:r>
            <w:r>
              <w:rPr>
                <w:rFonts w:hint="eastAsia"/>
                <w:color w:val="auto"/>
                <w:sz w:val="24"/>
                <w:lang w:val="en-US" w:eastAsia="zh-CN"/>
              </w:rPr>
              <w:t>0.227</w:t>
            </w:r>
            <w:r>
              <w:rPr>
                <w:rFonts w:hint="eastAsia"/>
                <w:color w:val="auto"/>
                <w:sz w:val="24"/>
              </w:rPr>
              <w:t>t/a</w:t>
            </w:r>
            <w:r>
              <w:rPr>
                <w:color w:val="auto"/>
                <w:sz w:val="24"/>
              </w:rPr>
              <w:t>、烟（粉）尘</w:t>
            </w:r>
            <w:r>
              <w:rPr>
                <w:rFonts w:hint="eastAsia"/>
                <w:color w:val="auto"/>
                <w:sz w:val="24"/>
              </w:rPr>
              <w:t>：</w:t>
            </w:r>
            <w:r>
              <w:rPr>
                <w:rFonts w:hint="eastAsia"/>
                <w:color w:val="auto"/>
                <w:sz w:val="24"/>
                <w:lang w:val="en-US" w:eastAsia="zh-CN"/>
              </w:rPr>
              <w:t>0.61</w:t>
            </w:r>
            <w:r>
              <w:rPr>
                <w:rFonts w:hint="eastAsia"/>
                <w:color w:val="auto"/>
                <w:sz w:val="24"/>
              </w:rPr>
              <w:t>t/a</w:t>
            </w:r>
            <w:r>
              <w:rPr>
                <w:color w:val="auto"/>
                <w:sz w:val="24"/>
              </w:rPr>
              <w:t>。满足企业污染物排放总量要求。</w:t>
            </w:r>
          </w:p>
          <w:p w14:paraId="390978D6">
            <w:pPr>
              <w:spacing w:line="360" w:lineRule="auto"/>
              <w:ind w:firstLine="480" w:firstLineChars="200"/>
              <w:rPr>
                <w:color w:val="000000"/>
                <w:sz w:val="24"/>
              </w:rPr>
            </w:pPr>
          </w:p>
          <w:p w14:paraId="3B6D7F76">
            <w:pPr>
              <w:spacing w:line="360" w:lineRule="auto"/>
              <w:ind w:firstLine="480" w:firstLineChars="200"/>
              <w:rPr>
                <w:color w:val="000000"/>
                <w:sz w:val="24"/>
              </w:rPr>
            </w:pPr>
          </w:p>
          <w:p w14:paraId="72BFA3E9">
            <w:pPr>
              <w:spacing w:line="360" w:lineRule="auto"/>
              <w:ind w:firstLine="480" w:firstLineChars="200"/>
              <w:rPr>
                <w:color w:val="000000"/>
                <w:sz w:val="24"/>
              </w:rPr>
            </w:pPr>
          </w:p>
          <w:p w14:paraId="3D001DE0">
            <w:pPr>
              <w:spacing w:line="360" w:lineRule="auto"/>
              <w:ind w:firstLine="480" w:firstLineChars="200"/>
              <w:rPr>
                <w:color w:val="000000"/>
                <w:sz w:val="24"/>
              </w:rPr>
            </w:pPr>
          </w:p>
          <w:p w14:paraId="4886FA82">
            <w:pPr>
              <w:spacing w:line="360" w:lineRule="auto"/>
              <w:ind w:firstLine="480" w:firstLineChars="200"/>
              <w:rPr>
                <w:color w:val="000000"/>
                <w:sz w:val="24"/>
              </w:rPr>
            </w:pPr>
          </w:p>
          <w:p w14:paraId="7D4528C9">
            <w:pPr>
              <w:spacing w:line="360" w:lineRule="auto"/>
              <w:ind w:firstLine="480" w:firstLineChars="200"/>
              <w:rPr>
                <w:color w:val="000000"/>
                <w:sz w:val="24"/>
              </w:rPr>
            </w:pPr>
          </w:p>
          <w:p w14:paraId="613AA5DF">
            <w:pPr>
              <w:spacing w:line="360" w:lineRule="auto"/>
              <w:ind w:firstLine="480" w:firstLineChars="200"/>
              <w:rPr>
                <w:color w:val="000000"/>
                <w:sz w:val="24"/>
              </w:rPr>
            </w:pPr>
          </w:p>
          <w:p w14:paraId="3FF96CF1">
            <w:pPr>
              <w:pStyle w:val="12"/>
              <w:ind w:left="0" w:leftChars="0" w:firstLine="0" w:firstLineChars="0"/>
            </w:pPr>
          </w:p>
          <w:p w14:paraId="5BDBBD5C"/>
          <w:p w14:paraId="629A1101"/>
          <w:p w14:paraId="65E63137"/>
          <w:p w14:paraId="79376F0A"/>
          <w:p w14:paraId="02773311"/>
          <w:p w14:paraId="2B618B2E"/>
          <w:p w14:paraId="5418576C"/>
          <w:p w14:paraId="555F8BB3"/>
          <w:p w14:paraId="2AAA6B4F"/>
          <w:p w14:paraId="433419D4"/>
          <w:p w14:paraId="5E33955E"/>
          <w:p w14:paraId="703105AC"/>
        </w:tc>
      </w:tr>
    </w:tbl>
    <w:p w14:paraId="32D0A81F">
      <w:pPr>
        <w:pStyle w:val="12"/>
        <w:sectPr>
          <w:pgSz w:w="11906" w:h="16838"/>
          <w:pgMar w:top="1440" w:right="1800" w:bottom="1440" w:left="1800" w:header="851" w:footer="992" w:gutter="0"/>
          <w:cols w:space="425" w:num="1"/>
          <w:docGrid w:type="lines" w:linePitch="312" w:charSpace="0"/>
        </w:sectPr>
      </w:pPr>
    </w:p>
    <w:p w14:paraId="09CE73FF">
      <w:pPr>
        <w:pStyle w:val="20"/>
        <w:spacing w:before="0" w:beforeAutospacing="0" w:after="0" w:afterAutospacing="0"/>
        <w:jc w:val="center"/>
        <w:outlineLvl w:val="0"/>
        <w:rPr>
          <w:rFonts w:ascii="Times New Roman" w:hAnsi="Times New Roman"/>
          <w:b/>
          <w:bCs/>
          <w:snapToGrid w:val="0"/>
          <w:color w:val="000000"/>
          <w:sz w:val="30"/>
          <w:szCs w:val="30"/>
        </w:rPr>
      </w:pPr>
      <w:r>
        <w:rPr>
          <w:rFonts w:hint="eastAsia" w:ascii="Times New Roman" w:hAnsi="Times New Roman"/>
          <w:b/>
          <w:bCs/>
          <w:snapToGrid w:val="0"/>
          <w:color w:val="000000"/>
          <w:sz w:val="30"/>
          <w:szCs w:val="30"/>
          <w:lang w:val="en-US" w:eastAsia="zh-CN"/>
        </w:rPr>
        <w:t xml:space="preserve"> </w:t>
      </w:r>
      <w:r>
        <w:rPr>
          <w:rFonts w:hint="eastAsia" w:ascii="Times New Roman" w:hAnsi="Times New Roman"/>
          <w:b/>
          <w:bCs/>
          <w:snapToGrid w:val="0"/>
          <w:color w:val="000000"/>
          <w:sz w:val="30"/>
          <w:szCs w:val="30"/>
        </w:rPr>
        <w:t>四、主要环境影响和保护措施</w:t>
      </w:r>
    </w:p>
    <w:tbl>
      <w:tblPr>
        <w:tblStyle w:val="23"/>
        <w:tblW w:w="90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7"/>
        <w:gridCol w:w="8364"/>
      </w:tblGrid>
      <w:tr w14:paraId="46A7D5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Mar>
              <w:left w:w="28" w:type="dxa"/>
              <w:right w:w="28" w:type="dxa"/>
            </w:tcMar>
            <w:vAlign w:val="center"/>
          </w:tcPr>
          <w:p w14:paraId="5044C318">
            <w:pPr>
              <w:pStyle w:val="20"/>
              <w:adjustRightInd w:val="0"/>
              <w:snapToGrid w:val="0"/>
              <w:spacing w:before="0" w:beforeAutospacing="0" w:after="0" w:afterAutospacing="0"/>
              <w:jc w:val="center"/>
              <w:rPr>
                <w:rFonts w:ascii="Times New Roman" w:hAnsi="Times New Roman"/>
                <w:color w:val="000000"/>
                <w:kern w:val="2"/>
                <w:szCs w:val="24"/>
              </w:rPr>
            </w:pPr>
            <w:r>
              <w:rPr>
                <w:rFonts w:ascii="Times New Roman" w:hAnsi="Times New Roman"/>
                <w:color w:val="000000"/>
                <w:kern w:val="2"/>
                <w:szCs w:val="24"/>
              </w:rPr>
              <w:t>施工</w:t>
            </w:r>
          </w:p>
          <w:p w14:paraId="78FD582A">
            <w:pPr>
              <w:pStyle w:val="20"/>
              <w:adjustRightInd w:val="0"/>
              <w:snapToGrid w:val="0"/>
              <w:spacing w:before="0" w:beforeAutospacing="0" w:after="0" w:afterAutospacing="0"/>
              <w:jc w:val="center"/>
              <w:rPr>
                <w:rFonts w:ascii="Times New Roman" w:hAnsi="Times New Roman"/>
                <w:color w:val="000000"/>
                <w:kern w:val="2"/>
                <w:szCs w:val="24"/>
              </w:rPr>
            </w:pPr>
            <w:r>
              <w:rPr>
                <w:rFonts w:ascii="Times New Roman" w:hAnsi="Times New Roman"/>
                <w:color w:val="000000"/>
                <w:kern w:val="2"/>
                <w:szCs w:val="24"/>
              </w:rPr>
              <w:t>期环</w:t>
            </w:r>
          </w:p>
          <w:p w14:paraId="2A2C4B67">
            <w:pPr>
              <w:pStyle w:val="20"/>
              <w:adjustRightInd w:val="0"/>
              <w:snapToGrid w:val="0"/>
              <w:spacing w:before="0" w:beforeAutospacing="0" w:after="0" w:afterAutospacing="0"/>
              <w:jc w:val="center"/>
              <w:rPr>
                <w:rFonts w:ascii="Times New Roman" w:hAnsi="Times New Roman"/>
                <w:color w:val="000000"/>
                <w:kern w:val="2"/>
                <w:szCs w:val="24"/>
              </w:rPr>
            </w:pPr>
            <w:r>
              <w:rPr>
                <w:rFonts w:ascii="Times New Roman" w:hAnsi="Times New Roman"/>
                <w:color w:val="000000"/>
                <w:kern w:val="2"/>
                <w:szCs w:val="24"/>
              </w:rPr>
              <w:t>境保</w:t>
            </w:r>
          </w:p>
          <w:p w14:paraId="005589E9">
            <w:pPr>
              <w:pStyle w:val="20"/>
              <w:adjustRightInd w:val="0"/>
              <w:snapToGrid w:val="0"/>
              <w:spacing w:before="0" w:beforeAutospacing="0" w:after="0" w:afterAutospacing="0"/>
              <w:jc w:val="center"/>
              <w:rPr>
                <w:rFonts w:ascii="Times New Roman" w:hAnsi="Times New Roman"/>
                <w:color w:val="000000"/>
                <w:kern w:val="2"/>
                <w:szCs w:val="24"/>
              </w:rPr>
            </w:pPr>
            <w:r>
              <w:rPr>
                <w:rFonts w:ascii="Times New Roman" w:hAnsi="Times New Roman"/>
                <w:color w:val="000000"/>
                <w:kern w:val="2"/>
                <w:szCs w:val="24"/>
              </w:rPr>
              <w:t>护措</w:t>
            </w:r>
          </w:p>
          <w:p w14:paraId="6C985ACD">
            <w:pPr>
              <w:pStyle w:val="20"/>
              <w:adjustRightInd w:val="0"/>
              <w:snapToGrid w:val="0"/>
              <w:spacing w:before="0" w:beforeAutospacing="0" w:after="0" w:afterAutospacing="0"/>
              <w:jc w:val="center"/>
              <w:rPr>
                <w:rFonts w:ascii="Times New Roman" w:hAnsi="Times New Roman"/>
                <w:bCs/>
                <w:color w:val="000000"/>
                <w:kern w:val="2"/>
                <w:szCs w:val="24"/>
              </w:rPr>
            </w:pPr>
            <w:r>
              <w:rPr>
                <w:rFonts w:ascii="Times New Roman" w:hAnsi="Times New Roman"/>
                <w:color w:val="000000"/>
                <w:kern w:val="2"/>
                <w:szCs w:val="24"/>
              </w:rPr>
              <w:t>施</w:t>
            </w:r>
          </w:p>
        </w:tc>
        <w:tc>
          <w:tcPr>
            <w:tcW w:w="8364" w:type="dxa"/>
            <w:vAlign w:val="center"/>
          </w:tcPr>
          <w:p w14:paraId="6EBDEC02">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pacing w:val="0"/>
                <w:position w:val="0"/>
                <w:sz w:val="24"/>
                <w:szCs w:val="24"/>
                <w:highlight w:val="none"/>
                <w:lang w:val="en-US" w:eastAsia="zh-CN"/>
              </w:rPr>
            </w:pPr>
            <w:bookmarkStart w:id="6" w:name="OLE_LINK3"/>
            <w:r>
              <w:rPr>
                <w:rFonts w:hint="default" w:ascii="Times New Roman" w:hAnsi="Times New Roman" w:eastAsia="宋体" w:cs="Times New Roman"/>
                <w:color w:val="auto"/>
                <w:spacing w:val="0"/>
                <w:position w:val="0"/>
                <w:sz w:val="24"/>
                <w:szCs w:val="24"/>
                <w:highlight w:val="none"/>
                <w:lang w:val="en-US" w:eastAsia="zh-CN"/>
              </w:rPr>
              <w:t>本项目</w:t>
            </w:r>
            <w:r>
              <w:rPr>
                <w:rFonts w:hint="eastAsia" w:ascii="Times New Roman" w:hAnsi="Times New Roman" w:eastAsia="宋体" w:cs="Times New Roman"/>
                <w:color w:val="auto"/>
                <w:spacing w:val="0"/>
                <w:kern w:val="2"/>
                <w:position w:val="0"/>
                <w:sz w:val="24"/>
                <w:szCs w:val="24"/>
                <w:highlight w:val="none"/>
                <w:lang w:val="en-US" w:eastAsia="zh-CN"/>
              </w:rPr>
              <w:t>依托原有已建土建工程，主要涉及按照生物质热风炉以及配套设备</w:t>
            </w:r>
            <w:r>
              <w:rPr>
                <w:rFonts w:hint="eastAsia" w:cs="Times New Roman"/>
                <w:color w:val="auto"/>
                <w:spacing w:val="0"/>
                <w:position w:val="0"/>
                <w:sz w:val="24"/>
                <w:szCs w:val="24"/>
                <w:highlight w:val="none"/>
                <w:lang w:val="en-US" w:eastAsia="zh-CN"/>
              </w:rPr>
              <w:t>。根据生产，厂房内部重新布局，</w:t>
            </w:r>
            <w:r>
              <w:rPr>
                <w:rFonts w:hint="default" w:ascii="Times New Roman" w:hAnsi="Times New Roman" w:eastAsia="宋体" w:cs="Times New Roman"/>
                <w:color w:val="auto"/>
                <w:spacing w:val="0"/>
                <w:position w:val="0"/>
                <w:sz w:val="24"/>
                <w:szCs w:val="24"/>
                <w:highlight w:val="none"/>
                <w:lang w:val="en-US" w:eastAsia="zh-CN"/>
              </w:rPr>
              <w:t>施工期不涉及土建施工，具体施工环境保护措施分析如下：</w:t>
            </w:r>
          </w:p>
          <w:p w14:paraId="063580EC">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1、废气防治措施</w:t>
            </w:r>
          </w:p>
          <w:p w14:paraId="5C9A0EEC">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本项目不涉及土建工程，故施工过程中无施工扬尘，仅在施工过程</w:t>
            </w:r>
            <w:r>
              <w:rPr>
                <w:rFonts w:hint="eastAsia" w:ascii="Times New Roman" w:hAnsi="Times New Roman" w:eastAsia="宋体" w:cs="Times New Roman"/>
                <w:color w:val="auto"/>
                <w:spacing w:val="0"/>
                <w:position w:val="0"/>
                <w:sz w:val="24"/>
                <w:szCs w:val="24"/>
                <w:highlight w:val="none"/>
                <w:lang w:val="en-US" w:eastAsia="zh-CN"/>
              </w:rPr>
              <w:t>金属焊接，产生的废气中烟尘等。</w:t>
            </w:r>
            <w:r>
              <w:rPr>
                <w:rFonts w:hint="default" w:ascii="Times New Roman" w:hAnsi="Times New Roman" w:eastAsia="宋体" w:cs="Times New Roman"/>
                <w:color w:val="auto"/>
                <w:spacing w:val="0"/>
                <w:position w:val="0"/>
                <w:sz w:val="24"/>
                <w:szCs w:val="24"/>
                <w:highlight w:val="none"/>
                <w:lang w:val="en-US" w:eastAsia="zh-CN"/>
              </w:rPr>
              <w:t>该部分废气产生量极少，且产生时间有限</w:t>
            </w:r>
            <w:r>
              <w:rPr>
                <w:rFonts w:hint="eastAsia" w:cs="Times New Roman"/>
                <w:color w:val="auto"/>
                <w:spacing w:val="0"/>
                <w:position w:val="0"/>
                <w:sz w:val="24"/>
                <w:szCs w:val="24"/>
                <w:highlight w:val="none"/>
                <w:lang w:val="en-US" w:eastAsia="zh-CN"/>
              </w:rPr>
              <w:t>，焊接时采用移动式焊接烟尘净化器对焊接烟尘进行收集处理，减少废气污染。</w:t>
            </w:r>
          </w:p>
          <w:p w14:paraId="3B6E65AB">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2、废水防治措施</w:t>
            </w:r>
          </w:p>
          <w:p w14:paraId="4FD0BFB4">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因涉及设备安装，故在施工期间，会产生施工人员生活污水。本项目施工期间，施工人数最多8人，根据《建筑施工计算手册》中施工现场生活用水定额为 20~60L/人·d，本项目取生活用水定额为 40L/人·d，故施工期间生活用水量为 0.32m</w:t>
            </w:r>
            <w:r>
              <w:rPr>
                <w:rFonts w:hint="default" w:ascii="Times New Roman" w:hAnsi="Times New Roman" w:eastAsia="宋体" w:cs="Times New Roman"/>
                <w:color w:val="auto"/>
                <w:spacing w:val="0"/>
                <w:position w:val="0"/>
                <w:sz w:val="24"/>
                <w:szCs w:val="24"/>
                <w:highlight w:val="none"/>
                <w:vertAlign w:val="superscript"/>
                <w:lang w:val="en-US" w:eastAsia="zh-CN"/>
              </w:rPr>
              <w:t>3</w:t>
            </w:r>
            <w:r>
              <w:rPr>
                <w:rFonts w:hint="default" w:ascii="Times New Roman" w:hAnsi="Times New Roman" w:eastAsia="宋体" w:cs="Times New Roman"/>
                <w:color w:val="auto"/>
                <w:spacing w:val="0"/>
                <w:position w:val="0"/>
                <w:sz w:val="24"/>
                <w:szCs w:val="24"/>
                <w:highlight w:val="none"/>
                <w:lang w:val="en-US" w:eastAsia="zh-CN"/>
              </w:rPr>
              <w:t>/d，根据《给排水设计手册》，生活污水产生量按用水量的 80%计故施工过程中生活污水产生量为 0.256m</w:t>
            </w:r>
            <w:r>
              <w:rPr>
                <w:rFonts w:hint="default" w:ascii="Times New Roman" w:hAnsi="Times New Roman" w:eastAsia="宋体" w:cs="Times New Roman"/>
                <w:color w:val="auto"/>
                <w:spacing w:val="0"/>
                <w:position w:val="0"/>
                <w:sz w:val="24"/>
                <w:szCs w:val="24"/>
                <w:highlight w:val="none"/>
                <w:vertAlign w:val="superscript"/>
                <w:lang w:val="en-US" w:eastAsia="zh-CN"/>
              </w:rPr>
              <w:t>3</w:t>
            </w:r>
            <w:r>
              <w:rPr>
                <w:rFonts w:hint="default" w:ascii="Times New Roman" w:hAnsi="Times New Roman" w:eastAsia="宋体" w:cs="Times New Roman"/>
                <w:color w:val="auto"/>
                <w:spacing w:val="0"/>
                <w:position w:val="0"/>
                <w:sz w:val="24"/>
                <w:szCs w:val="24"/>
                <w:highlight w:val="none"/>
                <w:lang w:val="en-US" w:eastAsia="zh-CN"/>
              </w:rPr>
              <w:t>/d，经化粪池处理后进入</w:t>
            </w:r>
            <w:r>
              <w:rPr>
                <w:rFonts w:hint="eastAsia" w:cs="Times New Roman"/>
                <w:color w:val="auto"/>
                <w:spacing w:val="0"/>
                <w:position w:val="0"/>
                <w:sz w:val="24"/>
                <w:szCs w:val="24"/>
                <w:highlight w:val="none"/>
                <w:lang w:val="en-US" w:eastAsia="zh-CN"/>
              </w:rPr>
              <w:t>宿州市汴北污水处理厂进行处理</w:t>
            </w:r>
            <w:r>
              <w:rPr>
                <w:rFonts w:hint="default" w:ascii="Times New Roman" w:hAnsi="Times New Roman" w:eastAsia="宋体" w:cs="Times New Roman"/>
                <w:color w:val="auto"/>
                <w:spacing w:val="0"/>
                <w:position w:val="0"/>
                <w:sz w:val="24"/>
                <w:szCs w:val="24"/>
                <w:highlight w:val="none"/>
                <w:lang w:val="en-US" w:eastAsia="zh-CN"/>
              </w:rPr>
              <w:t>。</w:t>
            </w:r>
          </w:p>
          <w:p w14:paraId="248DDAE4">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3、噪声防治措施</w:t>
            </w:r>
          </w:p>
          <w:p w14:paraId="6D26FBD5">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本项目施工期不涉及基建项目，仅为简单的设备安装，故施工过程中的噪声为点焊接、吊车等，设备噪声源强较小，</w:t>
            </w:r>
            <w:r>
              <w:rPr>
                <w:rFonts w:hint="eastAsia" w:cs="Times New Roman"/>
                <w:color w:val="auto"/>
                <w:spacing w:val="0"/>
                <w:position w:val="0"/>
                <w:sz w:val="24"/>
                <w:szCs w:val="24"/>
                <w:highlight w:val="none"/>
                <w:lang w:val="en-US" w:eastAsia="zh-CN"/>
              </w:rPr>
              <w:t>且项目周边无居民点，</w:t>
            </w:r>
            <w:r>
              <w:rPr>
                <w:rFonts w:hint="default" w:ascii="Times New Roman" w:hAnsi="Times New Roman" w:eastAsia="宋体" w:cs="Times New Roman"/>
                <w:color w:val="auto"/>
                <w:spacing w:val="0"/>
                <w:position w:val="0"/>
                <w:sz w:val="24"/>
                <w:szCs w:val="24"/>
                <w:highlight w:val="none"/>
                <w:lang w:val="en-US" w:eastAsia="zh-CN"/>
              </w:rPr>
              <w:t>施工期场界噪声对周边影响较小。</w:t>
            </w:r>
          </w:p>
          <w:p w14:paraId="254C93E9">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val="en-US" w:eastAsia="zh-CN"/>
              </w:rPr>
              <w:t>4、固体废物防治措施</w:t>
            </w:r>
          </w:p>
          <w:p w14:paraId="00909B70">
            <w:pPr>
              <w:keepNext w:val="0"/>
              <w:keepLines w:val="0"/>
              <w:pageBreakBefore w:val="0"/>
              <w:widowControl/>
              <w:kinsoku/>
              <w:wordWrap/>
              <w:overflowPunct/>
              <w:topLinePunct w:val="0"/>
              <w:autoSpaceDE/>
              <w:autoSpaceDN/>
              <w:bidi w:val="0"/>
              <w:adjustRightInd/>
              <w:snapToGrid/>
              <w:spacing w:line="360" w:lineRule="auto"/>
              <w:ind w:right="0" w:firstLine="480" w:firstLineChars="200"/>
              <w:textAlignment w:val="auto"/>
              <w:rPr>
                <w:bCs/>
                <w:color w:val="000000"/>
                <w:spacing w:val="-10"/>
                <w:sz w:val="24"/>
                <w:szCs w:val="24"/>
              </w:rPr>
            </w:pPr>
            <w:r>
              <w:rPr>
                <w:rFonts w:hint="default" w:ascii="Times New Roman" w:hAnsi="Times New Roman" w:eastAsia="宋体" w:cs="Times New Roman"/>
                <w:color w:val="auto"/>
                <w:spacing w:val="0"/>
                <w:position w:val="0"/>
                <w:sz w:val="24"/>
                <w:szCs w:val="24"/>
                <w:highlight w:val="none"/>
                <w:lang w:val="en-US" w:eastAsia="zh-CN"/>
              </w:rPr>
              <w:t>施工期产生的固体废物主要是生活垃圾，</w:t>
            </w:r>
            <w:r>
              <w:rPr>
                <w:rFonts w:hint="eastAsia" w:cs="Times New Roman"/>
                <w:color w:val="auto"/>
                <w:spacing w:val="0"/>
                <w:position w:val="0"/>
                <w:sz w:val="24"/>
                <w:szCs w:val="24"/>
                <w:highlight w:val="none"/>
                <w:lang w:val="en-US" w:eastAsia="zh-CN"/>
              </w:rPr>
              <w:t>生活</w:t>
            </w:r>
            <w:r>
              <w:rPr>
                <w:rFonts w:hint="default" w:ascii="Times New Roman" w:hAnsi="Times New Roman" w:eastAsia="宋体" w:cs="Times New Roman"/>
                <w:color w:val="auto"/>
                <w:spacing w:val="0"/>
                <w:position w:val="0"/>
                <w:sz w:val="24"/>
                <w:szCs w:val="24"/>
                <w:highlight w:val="none"/>
                <w:lang w:val="en-US" w:eastAsia="zh-CN"/>
              </w:rPr>
              <w:t>垃圾由环卫统一清运处置，无随意倾倒现象，故不会对周围环境造成影响。</w:t>
            </w:r>
            <w:bookmarkEnd w:id="6"/>
          </w:p>
        </w:tc>
      </w:tr>
      <w:tr w14:paraId="64E89E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Mar>
              <w:left w:w="28" w:type="dxa"/>
              <w:right w:w="28" w:type="dxa"/>
            </w:tcMar>
            <w:vAlign w:val="center"/>
          </w:tcPr>
          <w:p w14:paraId="2FBC49D4">
            <w:pPr>
              <w:adjustRightInd w:val="0"/>
              <w:snapToGrid w:val="0"/>
              <w:jc w:val="center"/>
              <w:rPr>
                <w:bCs/>
                <w:color w:val="000000"/>
                <w:sz w:val="24"/>
              </w:rPr>
            </w:pPr>
            <w:r>
              <w:rPr>
                <w:bCs/>
                <w:color w:val="000000"/>
                <w:sz w:val="24"/>
              </w:rPr>
              <w:t>运营</w:t>
            </w:r>
          </w:p>
          <w:p w14:paraId="65690701">
            <w:pPr>
              <w:adjustRightInd w:val="0"/>
              <w:snapToGrid w:val="0"/>
              <w:jc w:val="center"/>
              <w:rPr>
                <w:bCs/>
                <w:color w:val="000000"/>
                <w:sz w:val="24"/>
              </w:rPr>
            </w:pPr>
            <w:r>
              <w:rPr>
                <w:bCs/>
                <w:color w:val="000000"/>
                <w:sz w:val="24"/>
              </w:rPr>
              <w:t>期环</w:t>
            </w:r>
          </w:p>
          <w:p w14:paraId="093EAC06">
            <w:pPr>
              <w:adjustRightInd w:val="0"/>
              <w:snapToGrid w:val="0"/>
              <w:jc w:val="center"/>
              <w:rPr>
                <w:bCs/>
                <w:color w:val="000000"/>
                <w:sz w:val="24"/>
              </w:rPr>
            </w:pPr>
            <w:r>
              <w:rPr>
                <w:bCs/>
                <w:color w:val="000000"/>
                <w:sz w:val="24"/>
              </w:rPr>
              <w:t>境影</w:t>
            </w:r>
          </w:p>
          <w:p w14:paraId="445A22EB">
            <w:pPr>
              <w:adjustRightInd w:val="0"/>
              <w:snapToGrid w:val="0"/>
              <w:jc w:val="center"/>
              <w:rPr>
                <w:bCs/>
                <w:color w:val="000000"/>
                <w:sz w:val="24"/>
              </w:rPr>
            </w:pPr>
            <w:r>
              <w:rPr>
                <w:bCs/>
                <w:color w:val="000000"/>
                <w:sz w:val="24"/>
              </w:rPr>
              <w:t>响和</w:t>
            </w:r>
          </w:p>
          <w:p w14:paraId="50FA68D0">
            <w:pPr>
              <w:adjustRightInd w:val="0"/>
              <w:snapToGrid w:val="0"/>
              <w:jc w:val="center"/>
              <w:rPr>
                <w:bCs/>
                <w:color w:val="000000"/>
                <w:sz w:val="24"/>
              </w:rPr>
            </w:pPr>
            <w:r>
              <w:rPr>
                <w:bCs/>
                <w:color w:val="000000"/>
                <w:sz w:val="24"/>
              </w:rPr>
              <w:t>保护</w:t>
            </w:r>
          </w:p>
          <w:p w14:paraId="3193CC6E">
            <w:pPr>
              <w:adjustRightInd w:val="0"/>
              <w:snapToGrid w:val="0"/>
              <w:jc w:val="center"/>
              <w:rPr>
                <w:bCs/>
                <w:color w:val="000000"/>
                <w:sz w:val="24"/>
              </w:rPr>
            </w:pPr>
            <w:r>
              <w:rPr>
                <w:bCs/>
                <w:color w:val="000000"/>
                <w:sz w:val="24"/>
              </w:rPr>
              <w:t>措施</w:t>
            </w:r>
          </w:p>
        </w:tc>
        <w:tc>
          <w:tcPr>
            <w:tcW w:w="8364" w:type="dxa"/>
            <w:vAlign w:val="center"/>
          </w:tcPr>
          <w:p w14:paraId="0E165BC6">
            <w:pPr>
              <w:spacing w:line="360" w:lineRule="auto"/>
              <w:rPr>
                <w:b/>
                <w:bCs/>
                <w:color w:val="000000"/>
                <w:sz w:val="24"/>
              </w:rPr>
            </w:pPr>
            <w:r>
              <w:rPr>
                <w:color w:val="000000"/>
                <w:sz w:val="24"/>
              </w:rPr>
              <w:t>一、</w:t>
            </w:r>
            <w:r>
              <w:rPr>
                <w:b/>
                <w:bCs/>
                <w:color w:val="000000"/>
                <w:sz w:val="24"/>
              </w:rPr>
              <w:t>大气污染</w:t>
            </w:r>
          </w:p>
          <w:p w14:paraId="0ACB7D2B">
            <w:pPr>
              <w:pStyle w:val="3"/>
              <w:numPr>
                <w:ilvl w:val="0"/>
                <w:numId w:val="0"/>
              </w:numPr>
              <w:tabs>
                <w:tab w:val="clear" w:pos="2410"/>
              </w:tabs>
              <w:spacing w:line="360" w:lineRule="auto"/>
              <w:rPr>
                <w:rFonts w:cs="Times New Roman"/>
                <w:color w:val="000000"/>
                <w:sz w:val="24"/>
              </w:rPr>
            </w:pPr>
            <w:r>
              <w:rPr>
                <w:rFonts w:cs="Times New Roman"/>
                <w:color w:val="000000"/>
                <w:sz w:val="24"/>
              </w:rPr>
              <w:t>1、污染源强核算</w:t>
            </w:r>
          </w:p>
          <w:p w14:paraId="3B8DA3FA">
            <w:pPr>
              <w:pStyle w:val="14"/>
              <w:numPr>
                <w:ilvl w:val="0"/>
                <w:numId w:val="0"/>
              </w:numPr>
              <w:spacing w:line="360" w:lineRule="auto"/>
              <w:ind w:firstLine="480" w:firstLineChars="200"/>
              <w:jc w:val="left"/>
              <w:rPr>
                <w:color w:val="000000"/>
                <w:sz w:val="24"/>
              </w:rPr>
            </w:pPr>
            <w:r>
              <w:rPr>
                <w:color w:val="000000"/>
                <w:sz w:val="24"/>
              </w:rPr>
              <w:t>运营期废气主要为</w:t>
            </w:r>
            <w:r>
              <w:rPr>
                <w:rFonts w:hint="eastAsia"/>
                <w:color w:val="000000"/>
                <w:sz w:val="24"/>
              </w:rPr>
              <w:t>卸料粉尘、</w:t>
            </w:r>
            <w:r>
              <w:rPr>
                <w:color w:val="000000"/>
                <w:sz w:val="24"/>
              </w:rPr>
              <w:t>粮食</w:t>
            </w:r>
            <w:r>
              <w:rPr>
                <w:rFonts w:hint="eastAsia"/>
                <w:color w:val="000000"/>
                <w:sz w:val="24"/>
              </w:rPr>
              <w:t>筛分粉尘</w:t>
            </w:r>
            <w:r>
              <w:rPr>
                <w:color w:val="000000"/>
                <w:sz w:val="24"/>
              </w:rPr>
              <w:t>、烘干粉尘、</w:t>
            </w:r>
            <w:r>
              <w:rPr>
                <w:rFonts w:hint="eastAsia"/>
                <w:color w:val="000000"/>
                <w:sz w:val="24"/>
              </w:rPr>
              <w:t>生物质热风炉燃烧过程产生烟粉尘、SO</w:t>
            </w:r>
            <w:r>
              <w:rPr>
                <w:rFonts w:hint="eastAsia"/>
                <w:color w:val="000000"/>
                <w:sz w:val="24"/>
                <w:vertAlign w:val="subscript"/>
              </w:rPr>
              <w:t>2</w:t>
            </w:r>
            <w:r>
              <w:rPr>
                <w:rFonts w:hint="eastAsia"/>
                <w:color w:val="000000"/>
                <w:sz w:val="24"/>
              </w:rPr>
              <w:t>、NOx</w:t>
            </w:r>
            <w:r>
              <w:rPr>
                <w:color w:val="000000"/>
                <w:sz w:val="24"/>
              </w:rPr>
              <w:t>。</w:t>
            </w:r>
          </w:p>
          <w:p w14:paraId="43D880FE">
            <w:pPr>
              <w:pStyle w:val="14"/>
              <w:numPr>
                <w:ilvl w:val="0"/>
                <w:numId w:val="0"/>
              </w:numPr>
              <w:spacing w:line="360" w:lineRule="auto"/>
              <w:ind w:firstLine="480" w:firstLineChars="200"/>
              <w:jc w:val="left"/>
              <w:rPr>
                <w:color w:val="000000"/>
                <w:sz w:val="24"/>
              </w:rPr>
            </w:pPr>
            <w:r>
              <w:rPr>
                <w:rFonts w:hint="eastAsia"/>
                <w:color w:val="000000"/>
                <w:sz w:val="24"/>
              </w:rPr>
              <w:t>（1）卸料粉尘</w:t>
            </w:r>
          </w:p>
          <w:p w14:paraId="63D95B93">
            <w:pPr>
              <w:pStyle w:val="14"/>
              <w:numPr>
                <w:ilvl w:val="0"/>
                <w:numId w:val="0"/>
              </w:numPr>
              <w:spacing w:line="360" w:lineRule="auto"/>
              <w:ind w:firstLine="480" w:firstLineChars="200"/>
              <w:rPr>
                <w:color w:val="000000"/>
                <w:sz w:val="24"/>
                <w:highlight w:val="yellow"/>
              </w:rPr>
            </w:pPr>
            <w:r>
              <w:rPr>
                <w:color w:val="000000"/>
                <w:sz w:val="24"/>
              </w:rPr>
              <w:t>项目进料口为地下式，卸料后再通过提升机输送至清理筛（再次卸料），粮食在卸料过程中会产生扬尘，卸料过程中粉尘产污系数约0.5‰</w:t>
            </w:r>
            <w:r>
              <w:rPr>
                <w:rFonts w:hint="eastAsia"/>
                <w:color w:val="000000"/>
                <w:sz w:val="24"/>
              </w:rPr>
              <w:t>，</w:t>
            </w:r>
            <w:r>
              <w:rPr>
                <w:rFonts w:hint="eastAsia"/>
                <w:color w:val="000000"/>
                <w:sz w:val="24"/>
                <w:lang w:val="en-US" w:eastAsia="zh-CN"/>
              </w:rPr>
              <w:t>项目全年</w:t>
            </w:r>
            <w:r>
              <w:rPr>
                <w:rFonts w:hint="eastAsia"/>
                <w:color w:val="000000"/>
                <w:sz w:val="24"/>
              </w:rPr>
              <w:t>加工谷物总量</w:t>
            </w:r>
            <w:r>
              <w:rPr>
                <w:rFonts w:hint="eastAsia"/>
                <w:color w:val="000000"/>
                <w:sz w:val="24"/>
                <w:lang w:val="en-US" w:eastAsia="zh-CN"/>
              </w:rPr>
              <w:t>9872</w:t>
            </w:r>
            <w:r>
              <w:rPr>
                <w:rFonts w:hint="eastAsia"/>
                <w:color w:val="000000"/>
                <w:sz w:val="24"/>
              </w:rPr>
              <w:t>t/a，则卸料粉尘产生量为</w:t>
            </w:r>
            <w:r>
              <w:rPr>
                <w:rFonts w:hint="eastAsia"/>
                <w:color w:val="000000"/>
                <w:sz w:val="24"/>
                <w:lang w:val="en-US" w:eastAsia="zh-CN"/>
              </w:rPr>
              <w:t>4.936</w:t>
            </w:r>
            <w:r>
              <w:rPr>
                <w:rFonts w:hint="eastAsia"/>
                <w:color w:val="000000"/>
                <w:sz w:val="24"/>
              </w:rPr>
              <w:t>t/a。本次评价要求卸料过程于车间内进行，并要求在进料口上方设置集气罩，通过</w:t>
            </w:r>
            <w:r>
              <w:rPr>
                <w:rFonts w:hint="eastAsia"/>
                <w:color w:val="000000"/>
                <w:sz w:val="24"/>
                <w:lang w:val="en-US" w:eastAsia="zh-CN"/>
              </w:rPr>
              <w:t>加</w:t>
            </w:r>
            <w:r>
              <w:rPr>
                <w:rFonts w:hint="eastAsia"/>
                <w:color w:val="000000"/>
                <w:sz w:val="24"/>
              </w:rPr>
              <w:t>大风量收集卸料过程产生的粉尘，收集粉尘通过管道送至“密闭沉降室+脉冲布袋除尘器”处理后经15m排气筒（DA001）排放，卸料工段废气收集效率为90%，处理效率为95%。则卸料工段粉尘有组织排放量为</w:t>
            </w:r>
            <w:r>
              <w:rPr>
                <w:rFonts w:hint="eastAsia"/>
                <w:color w:val="000000"/>
                <w:sz w:val="24"/>
                <w:lang w:val="en-US" w:eastAsia="zh-CN"/>
              </w:rPr>
              <w:t>0.222</w:t>
            </w:r>
            <w:r>
              <w:rPr>
                <w:rFonts w:hint="eastAsia"/>
                <w:color w:val="000000"/>
                <w:sz w:val="24"/>
              </w:rPr>
              <w:t>t/a。</w:t>
            </w:r>
          </w:p>
          <w:p w14:paraId="249B054C">
            <w:pPr>
              <w:spacing w:line="360" w:lineRule="auto"/>
              <w:ind w:firstLine="480" w:firstLineChars="200"/>
              <w:rPr>
                <w:color w:val="000000"/>
                <w:kern w:val="24"/>
                <w:sz w:val="24"/>
              </w:rPr>
            </w:pPr>
            <w:r>
              <w:rPr>
                <w:color w:val="000000"/>
                <w:kern w:val="24"/>
                <w:sz w:val="24"/>
              </w:rPr>
              <w:t>项目拟对每个</w:t>
            </w:r>
            <w:r>
              <w:rPr>
                <w:rFonts w:hint="eastAsia"/>
                <w:color w:val="000000"/>
                <w:kern w:val="24"/>
                <w:sz w:val="24"/>
              </w:rPr>
              <w:t>卸料点</w:t>
            </w:r>
            <w:r>
              <w:rPr>
                <w:color w:val="000000"/>
                <w:kern w:val="24"/>
                <w:sz w:val="24"/>
              </w:rPr>
              <w:t>均设置集气罩，环评要求集气罩尺寸为</w:t>
            </w:r>
            <w:r>
              <w:rPr>
                <w:rFonts w:hint="eastAsia"/>
                <w:color w:val="000000"/>
                <w:kern w:val="24"/>
                <w:sz w:val="24"/>
              </w:rPr>
              <w:t>1.7</w:t>
            </w:r>
            <w:r>
              <w:rPr>
                <w:color w:val="000000"/>
                <w:kern w:val="24"/>
                <w:sz w:val="24"/>
              </w:rPr>
              <w:t>m×</w:t>
            </w:r>
            <w:r>
              <w:rPr>
                <w:rFonts w:hint="eastAsia"/>
                <w:color w:val="000000"/>
                <w:kern w:val="24"/>
                <w:sz w:val="24"/>
              </w:rPr>
              <w:t>1.7</w:t>
            </w:r>
            <w:r>
              <w:rPr>
                <w:color w:val="000000"/>
                <w:kern w:val="24"/>
                <w:sz w:val="24"/>
              </w:rPr>
              <w:t>m。按照《环境工程设计手册》中的有关公式，烟尘废气收集系统或设备的控制风速要在0.6m/s以上，废气收集效率为90%，抽风口距离污染产生源的距离取0.</w:t>
            </w:r>
            <w:r>
              <w:rPr>
                <w:rFonts w:hint="eastAsia"/>
                <w:color w:val="000000"/>
                <w:kern w:val="24"/>
                <w:sz w:val="24"/>
              </w:rPr>
              <w:t>5</w:t>
            </w:r>
            <w:r>
              <w:rPr>
                <w:color w:val="000000"/>
                <w:kern w:val="24"/>
                <w:sz w:val="24"/>
              </w:rPr>
              <w:t>m，则按照经验公式：</w:t>
            </w:r>
          </w:p>
          <w:p w14:paraId="6A2707DA">
            <w:pPr>
              <w:adjustRightInd w:val="0"/>
              <w:snapToGrid w:val="0"/>
              <w:spacing w:line="360" w:lineRule="auto"/>
              <w:ind w:firstLine="480" w:firstLineChars="200"/>
              <w:jc w:val="center"/>
              <w:rPr>
                <w:color w:val="000000"/>
                <w:kern w:val="24"/>
                <w:sz w:val="24"/>
              </w:rPr>
            </w:pPr>
            <w:r>
              <w:rPr>
                <w:color w:val="000000"/>
                <w:kern w:val="24"/>
                <w:sz w:val="24"/>
              </w:rPr>
              <w:t>L=3600（5X</w:t>
            </w:r>
            <w:r>
              <w:rPr>
                <w:color w:val="000000"/>
                <w:kern w:val="24"/>
                <w:sz w:val="24"/>
                <w:vertAlign w:val="superscript"/>
              </w:rPr>
              <w:t>2</w:t>
            </w:r>
            <w:r>
              <w:rPr>
                <w:color w:val="000000"/>
                <w:kern w:val="24"/>
                <w:sz w:val="24"/>
              </w:rPr>
              <w:t>+F）×Vx</w:t>
            </w:r>
          </w:p>
          <w:p w14:paraId="76652ED4">
            <w:pPr>
              <w:spacing w:line="360" w:lineRule="auto"/>
              <w:ind w:firstLine="480" w:firstLineChars="200"/>
              <w:rPr>
                <w:color w:val="000000"/>
                <w:kern w:val="24"/>
                <w:sz w:val="24"/>
              </w:rPr>
            </w:pPr>
            <w:r>
              <w:rPr>
                <w:rFonts w:hint="eastAsia"/>
                <w:color w:val="000000"/>
                <w:kern w:val="24"/>
                <w:sz w:val="24"/>
              </w:rPr>
              <w:t>式中：</w:t>
            </w:r>
          </w:p>
          <w:p w14:paraId="22C265CA">
            <w:pPr>
              <w:spacing w:line="360" w:lineRule="auto"/>
              <w:ind w:firstLine="960" w:firstLineChars="400"/>
              <w:rPr>
                <w:color w:val="000000"/>
                <w:kern w:val="24"/>
                <w:sz w:val="24"/>
              </w:rPr>
            </w:pPr>
            <w:r>
              <w:rPr>
                <w:color w:val="000000"/>
                <w:kern w:val="24"/>
                <w:sz w:val="24"/>
              </w:rPr>
              <w:t>X</w:t>
            </w:r>
            <w:r>
              <w:rPr>
                <w:rFonts w:hint="eastAsia"/>
                <w:color w:val="000000"/>
                <w:kern w:val="24"/>
                <w:sz w:val="24"/>
              </w:rPr>
              <w:t>——</w:t>
            </w:r>
            <w:r>
              <w:rPr>
                <w:color w:val="000000"/>
                <w:kern w:val="24"/>
                <w:sz w:val="24"/>
              </w:rPr>
              <w:t>抽风口至污染源的距离，取0.</w:t>
            </w:r>
            <w:r>
              <w:rPr>
                <w:rFonts w:hint="eastAsia"/>
                <w:color w:val="000000"/>
                <w:kern w:val="24"/>
                <w:sz w:val="24"/>
              </w:rPr>
              <w:t>3</w:t>
            </w:r>
            <w:r>
              <w:rPr>
                <w:color w:val="000000"/>
                <w:kern w:val="24"/>
                <w:sz w:val="24"/>
              </w:rPr>
              <w:t>m；</w:t>
            </w:r>
          </w:p>
          <w:p w14:paraId="16C7CA15">
            <w:pPr>
              <w:spacing w:line="360" w:lineRule="auto"/>
              <w:ind w:firstLine="960" w:firstLineChars="400"/>
              <w:rPr>
                <w:color w:val="000000"/>
                <w:kern w:val="24"/>
                <w:sz w:val="24"/>
              </w:rPr>
            </w:pPr>
            <w:r>
              <w:rPr>
                <w:color w:val="000000"/>
                <w:kern w:val="24"/>
                <w:sz w:val="24"/>
              </w:rPr>
              <w:t>F</w:t>
            </w:r>
            <w:r>
              <w:rPr>
                <w:rFonts w:hint="eastAsia"/>
                <w:color w:val="000000"/>
                <w:kern w:val="24"/>
                <w:sz w:val="24"/>
              </w:rPr>
              <w:t>——</w:t>
            </w:r>
            <w:r>
              <w:rPr>
                <w:color w:val="000000"/>
                <w:kern w:val="24"/>
                <w:sz w:val="24"/>
              </w:rPr>
              <w:t>抽风口面积；</w:t>
            </w:r>
          </w:p>
          <w:p w14:paraId="09A036FD">
            <w:pPr>
              <w:spacing w:line="360" w:lineRule="auto"/>
              <w:ind w:firstLine="960" w:firstLineChars="400"/>
              <w:rPr>
                <w:color w:val="000000"/>
                <w:kern w:val="24"/>
                <w:sz w:val="24"/>
              </w:rPr>
            </w:pPr>
            <w:r>
              <w:rPr>
                <w:color w:val="000000"/>
                <w:kern w:val="24"/>
                <w:sz w:val="24"/>
              </w:rPr>
              <w:t>Vx</w:t>
            </w:r>
            <w:r>
              <w:rPr>
                <w:rFonts w:hint="eastAsia"/>
                <w:color w:val="000000"/>
                <w:kern w:val="24"/>
                <w:sz w:val="24"/>
              </w:rPr>
              <w:t>——</w:t>
            </w:r>
            <w:r>
              <w:rPr>
                <w:color w:val="000000"/>
                <w:kern w:val="24"/>
                <w:sz w:val="24"/>
              </w:rPr>
              <w:t>控制风速，取</w:t>
            </w:r>
            <w:r>
              <w:rPr>
                <w:rFonts w:hint="eastAsia"/>
                <w:color w:val="000000"/>
                <w:kern w:val="24"/>
                <w:sz w:val="24"/>
                <w:lang w:val="en-US" w:eastAsia="zh-CN"/>
              </w:rPr>
              <w:t>1.0</w:t>
            </w:r>
            <w:r>
              <w:rPr>
                <w:color w:val="000000"/>
                <w:kern w:val="24"/>
                <w:sz w:val="24"/>
              </w:rPr>
              <w:t>m/s。</w:t>
            </w:r>
          </w:p>
          <w:p w14:paraId="626A3397">
            <w:pPr>
              <w:spacing w:line="360" w:lineRule="auto"/>
              <w:ind w:firstLine="480" w:firstLineChars="200"/>
              <w:rPr>
                <w:color w:val="000000"/>
                <w:sz w:val="24"/>
              </w:rPr>
            </w:pPr>
            <w:r>
              <w:rPr>
                <w:color w:val="000000"/>
                <w:kern w:val="24"/>
                <w:sz w:val="24"/>
              </w:rPr>
              <w:t>计算得出本项目集气罩所需的风机风量为</w:t>
            </w:r>
            <w:r>
              <w:rPr>
                <w:rFonts w:hint="eastAsia"/>
                <w:color w:val="000000"/>
                <w:kern w:val="24"/>
                <w:sz w:val="24"/>
                <w:lang w:val="en-US" w:eastAsia="zh-CN"/>
              </w:rPr>
              <w:t>28728</w:t>
            </w:r>
            <w:r>
              <w:rPr>
                <w:color w:val="000000"/>
                <w:kern w:val="24"/>
                <w:sz w:val="24"/>
              </w:rPr>
              <w:t>m</w:t>
            </w:r>
            <w:r>
              <w:rPr>
                <w:color w:val="000000"/>
                <w:kern w:val="24"/>
                <w:sz w:val="24"/>
                <w:vertAlign w:val="superscript"/>
              </w:rPr>
              <w:t>3</w:t>
            </w:r>
            <w:r>
              <w:rPr>
                <w:color w:val="000000"/>
                <w:kern w:val="24"/>
                <w:sz w:val="24"/>
              </w:rPr>
              <w:t>/h，则风机风量为</w:t>
            </w:r>
            <w:r>
              <w:rPr>
                <w:rFonts w:hint="eastAsia"/>
                <w:color w:val="000000"/>
                <w:kern w:val="24"/>
                <w:sz w:val="24"/>
                <w:lang w:val="en-US" w:eastAsia="zh-CN"/>
              </w:rPr>
              <w:t>30000</w:t>
            </w:r>
            <w:r>
              <w:rPr>
                <w:color w:val="000000"/>
                <w:kern w:val="24"/>
                <w:sz w:val="24"/>
              </w:rPr>
              <w:t>m</w:t>
            </w:r>
            <w:r>
              <w:rPr>
                <w:color w:val="000000"/>
                <w:kern w:val="24"/>
                <w:sz w:val="24"/>
                <w:vertAlign w:val="superscript"/>
              </w:rPr>
              <w:t>3</w:t>
            </w:r>
            <w:r>
              <w:rPr>
                <w:color w:val="000000"/>
                <w:kern w:val="24"/>
                <w:sz w:val="24"/>
              </w:rPr>
              <w:t>/h。</w:t>
            </w:r>
          </w:p>
          <w:p w14:paraId="1F4A2417">
            <w:pPr>
              <w:pStyle w:val="14"/>
              <w:numPr>
                <w:ilvl w:val="0"/>
                <w:numId w:val="0"/>
              </w:numPr>
              <w:spacing w:line="360" w:lineRule="auto"/>
              <w:ind w:firstLine="480" w:firstLineChars="200"/>
              <w:jc w:val="left"/>
              <w:rPr>
                <w:color w:val="000000"/>
                <w:sz w:val="24"/>
              </w:rPr>
            </w:pPr>
            <w:r>
              <w:rPr>
                <w:rFonts w:hint="eastAsia"/>
                <w:color w:val="000000"/>
                <w:sz w:val="24"/>
              </w:rPr>
              <w:t>（2）筛分粉尘</w:t>
            </w:r>
          </w:p>
          <w:p w14:paraId="7A573FF9">
            <w:pPr>
              <w:pStyle w:val="14"/>
              <w:numPr>
                <w:ilvl w:val="0"/>
                <w:numId w:val="0"/>
              </w:numPr>
              <w:spacing w:line="360" w:lineRule="auto"/>
              <w:ind w:firstLine="480" w:firstLineChars="200"/>
              <w:rPr>
                <w:color w:val="000000"/>
                <w:sz w:val="24"/>
              </w:rPr>
            </w:pPr>
            <w:r>
              <w:rPr>
                <w:rFonts w:ascii="宋体" w:hAnsi="宋体" w:cs="宋体"/>
                <w:color w:val="000000"/>
                <w:sz w:val="24"/>
              </w:rPr>
              <w:t>项目粮食</w:t>
            </w:r>
            <w:r>
              <w:rPr>
                <w:rFonts w:hint="eastAsia" w:ascii="宋体" w:hAnsi="宋体" w:cs="宋体"/>
                <w:color w:val="000000"/>
                <w:sz w:val="24"/>
              </w:rPr>
              <w:t>初筛、次筛和精筛</w:t>
            </w:r>
            <w:r>
              <w:rPr>
                <w:rFonts w:ascii="宋体" w:hAnsi="宋体" w:cs="宋体"/>
                <w:color w:val="000000"/>
                <w:sz w:val="24"/>
              </w:rPr>
              <w:t>工序在</w:t>
            </w:r>
            <w:r>
              <w:rPr>
                <w:rFonts w:hint="eastAsia"/>
                <w:color w:val="000000"/>
                <w:sz w:val="24"/>
              </w:rPr>
              <w:t>粮食的筛分及输送过程中会产生一定量的粉尘。根据《散逸性工业粉尘控制技术（中国环境科学出版社）》谷物仓储的逸散尘排放因子中，初清工序粉尘产生系数为0.2kg/t（初清料）。</w:t>
            </w:r>
            <w:r>
              <w:rPr>
                <w:rFonts w:hint="eastAsia"/>
                <w:color w:val="000000"/>
                <w:sz w:val="24"/>
                <w:lang w:val="en-US" w:eastAsia="zh-CN"/>
              </w:rPr>
              <w:t>本</w:t>
            </w:r>
            <w:r>
              <w:rPr>
                <w:rFonts w:hint="eastAsia"/>
                <w:color w:val="000000"/>
                <w:sz w:val="24"/>
              </w:rPr>
              <w:t>项目</w:t>
            </w:r>
            <w:r>
              <w:rPr>
                <w:rFonts w:hint="eastAsia"/>
                <w:color w:val="000000"/>
                <w:sz w:val="24"/>
                <w:lang w:val="en-US" w:eastAsia="zh-CN"/>
              </w:rPr>
              <w:t>改建后全厂</w:t>
            </w:r>
            <w:r>
              <w:rPr>
                <w:rFonts w:hint="eastAsia"/>
                <w:color w:val="000000"/>
                <w:sz w:val="24"/>
              </w:rPr>
              <w:t>年收购小麦、玉米、大豆共计</w:t>
            </w:r>
            <w:r>
              <w:rPr>
                <w:rFonts w:hint="eastAsia"/>
                <w:color w:val="000000"/>
                <w:sz w:val="24"/>
                <w:lang w:val="en-US" w:eastAsia="zh-CN"/>
              </w:rPr>
              <w:t>9872</w:t>
            </w:r>
            <w:r>
              <w:rPr>
                <w:rFonts w:hint="eastAsia"/>
                <w:color w:val="000000"/>
                <w:sz w:val="24"/>
              </w:rPr>
              <w:t>吨，初筛工段初清料</w:t>
            </w:r>
            <w:r>
              <w:rPr>
                <w:rFonts w:hint="eastAsia"/>
                <w:color w:val="000000"/>
                <w:sz w:val="24"/>
                <w:lang w:val="en-US" w:eastAsia="zh-CN"/>
              </w:rPr>
              <w:t>9872</w:t>
            </w:r>
            <w:r>
              <w:rPr>
                <w:rFonts w:hint="eastAsia"/>
                <w:color w:val="000000"/>
                <w:sz w:val="24"/>
              </w:rPr>
              <w:t>吨（小麦、玉米、大豆），则初筛工段粉尘产生量为</w:t>
            </w:r>
            <w:r>
              <w:rPr>
                <w:rFonts w:hint="eastAsia"/>
                <w:color w:val="000000"/>
                <w:sz w:val="24"/>
                <w:lang w:val="en-US" w:eastAsia="zh-CN"/>
              </w:rPr>
              <w:t>1.974</w:t>
            </w:r>
            <w:r>
              <w:rPr>
                <w:rFonts w:hint="eastAsia"/>
                <w:color w:val="000000"/>
                <w:sz w:val="24"/>
              </w:rPr>
              <w:t>t/a。次筛和精筛工段初清料为小麦、玉米</w:t>
            </w:r>
            <w:r>
              <w:rPr>
                <w:rFonts w:hint="eastAsia"/>
                <w:color w:val="000000"/>
                <w:sz w:val="24"/>
                <w:lang w:val="en-US" w:eastAsia="zh-CN"/>
              </w:rPr>
              <w:t>9172</w:t>
            </w:r>
            <w:r>
              <w:rPr>
                <w:rFonts w:hint="eastAsia"/>
                <w:color w:val="000000"/>
                <w:sz w:val="24"/>
              </w:rPr>
              <w:t>吨，则次筛和精筛工段粉尘产生量均为</w:t>
            </w:r>
            <w:r>
              <w:rPr>
                <w:rFonts w:hint="eastAsia"/>
                <w:color w:val="000000"/>
                <w:sz w:val="24"/>
                <w:lang w:val="en-US" w:eastAsia="zh-CN"/>
              </w:rPr>
              <w:t>1.834</w:t>
            </w:r>
            <w:r>
              <w:rPr>
                <w:rFonts w:hint="eastAsia"/>
                <w:color w:val="000000"/>
                <w:sz w:val="24"/>
              </w:rPr>
              <w:t>t/a。则筛分工段粉尘总产生量为</w:t>
            </w:r>
            <w:r>
              <w:rPr>
                <w:rFonts w:hint="eastAsia"/>
                <w:color w:val="000000"/>
                <w:sz w:val="24"/>
                <w:lang w:val="en-US" w:eastAsia="zh-CN"/>
              </w:rPr>
              <w:t>3.808</w:t>
            </w:r>
            <w:r>
              <w:rPr>
                <w:rFonts w:hint="eastAsia"/>
                <w:color w:val="000000"/>
                <w:sz w:val="24"/>
              </w:rPr>
              <w:t>t/a，收集粉尘通过管道送至“密闭沉降室+脉冲布袋除尘器”处理后经15m排气筒（DA001）排放。筛分工段收集效率约为95%，去除效率为95%。则筛分工段粉尘有组织排放量为</w:t>
            </w:r>
            <w:r>
              <w:rPr>
                <w:rFonts w:hint="eastAsia"/>
                <w:color w:val="000000"/>
                <w:sz w:val="24"/>
                <w:lang w:val="en-US" w:eastAsia="zh-CN"/>
              </w:rPr>
              <w:t>0.179</w:t>
            </w:r>
            <w:r>
              <w:rPr>
                <w:rFonts w:hint="eastAsia"/>
                <w:color w:val="000000"/>
                <w:sz w:val="24"/>
              </w:rPr>
              <w:t>t/a，无组织排放量为</w:t>
            </w:r>
            <w:r>
              <w:rPr>
                <w:rFonts w:hint="eastAsia"/>
                <w:color w:val="000000"/>
                <w:sz w:val="24"/>
                <w:lang w:val="en-US" w:eastAsia="zh-CN"/>
              </w:rPr>
              <w:t>0.188</w:t>
            </w:r>
            <w:r>
              <w:rPr>
                <w:rFonts w:hint="eastAsia"/>
                <w:color w:val="000000"/>
                <w:sz w:val="24"/>
              </w:rPr>
              <w:t>t/a。</w:t>
            </w:r>
          </w:p>
          <w:p w14:paraId="003E2773">
            <w:pPr>
              <w:pStyle w:val="14"/>
              <w:numPr>
                <w:ilvl w:val="0"/>
                <w:numId w:val="0"/>
              </w:numPr>
              <w:spacing w:line="360" w:lineRule="auto"/>
              <w:ind w:firstLine="480" w:firstLineChars="200"/>
              <w:rPr>
                <w:color w:val="000000"/>
                <w:sz w:val="24"/>
                <w:highlight w:val="yellow"/>
              </w:rPr>
            </w:pPr>
            <w:r>
              <w:rPr>
                <w:rFonts w:hint="eastAsia"/>
                <w:color w:val="000000"/>
                <w:sz w:val="24"/>
              </w:rPr>
              <w:t>根据企业提供设计资料，</w:t>
            </w:r>
            <w:r>
              <w:rPr>
                <w:rFonts w:hint="eastAsia"/>
                <w:color w:val="000000"/>
                <w:sz w:val="24"/>
                <w:lang w:val="en-US" w:eastAsia="zh-CN"/>
              </w:rPr>
              <w:t>项目设置两台筛选机，</w:t>
            </w:r>
            <w:r>
              <w:rPr>
                <w:rFonts w:hint="eastAsia"/>
                <w:color w:val="000000"/>
                <w:sz w:val="24"/>
              </w:rPr>
              <w:t>项目筛选机为密闭式，筛选过程在设备内部，容积为</w:t>
            </w:r>
            <w:r>
              <w:rPr>
                <w:rFonts w:hint="eastAsia"/>
                <w:color w:val="000000"/>
                <w:sz w:val="24"/>
                <w:lang w:val="en-US" w:eastAsia="zh-CN"/>
              </w:rPr>
              <w:t>80</w:t>
            </w:r>
            <w:r>
              <w:rPr>
                <w:rFonts w:hint="eastAsia"/>
                <w:color w:val="000000"/>
                <w:sz w:val="24"/>
              </w:rPr>
              <w:t>m³，换风次数按照40次计，</w:t>
            </w:r>
            <w:r>
              <w:rPr>
                <w:rFonts w:hint="eastAsia"/>
                <w:color w:val="000000"/>
                <w:sz w:val="24"/>
                <w:lang w:val="en-US" w:eastAsia="zh-CN"/>
              </w:rPr>
              <w:t>则单个筛选机</w:t>
            </w:r>
            <w:r>
              <w:rPr>
                <w:rFonts w:hint="eastAsia"/>
                <w:color w:val="000000"/>
                <w:sz w:val="24"/>
              </w:rPr>
              <w:t>设计风量为</w:t>
            </w:r>
            <w:r>
              <w:rPr>
                <w:rFonts w:hint="eastAsia"/>
                <w:color w:val="000000"/>
                <w:sz w:val="24"/>
                <w:lang w:val="en-US" w:eastAsia="zh-CN"/>
              </w:rPr>
              <w:t>3200</w:t>
            </w:r>
            <w:r>
              <w:rPr>
                <w:rFonts w:hint="eastAsia"/>
                <w:color w:val="000000"/>
                <w:sz w:val="24"/>
              </w:rPr>
              <w:t>m</w:t>
            </w:r>
            <w:r>
              <w:rPr>
                <w:rFonts w:hint="eastAsia"/>
                <w:color w:val="000000"/>
                <w:sz w:val="24"/>
                <w:vertAlign w:val="superscript"/>
              </w:rPr>
              <w:t>3</w:t>
            </w:r>
            <w:r>
              <w:rPr>
                <w:rFonts w:hint="eastAsia"/>
                <w:color w:val="000000"/>
                <w:sz w:val="24"/>
              </w:rPr>
              <w:t>/h</w:t>
            </w:r>
            <w:r>
              <w:rPr>
                <w:rFonts w:hint="eastAsia"/>
                <w:color w:val="000000"/>
                <w:sz w:val="24"/>
                <w:lang w:eastAsia="zh-CN"/>
              </w:rPr>
              <w:t>，</w:t>
            </w:r>
            <w:r>
              <w:rPr>
                <w:rFonts w:hint="eastAsia"/>
                <w:color w:val="000000"/>
                <w:sz w:val="24"/>
                <w:lang w:val="en-US" w:eastAsia="zh-CN"/>
              </w:rPr>
              <w:t>总设计风量为6400</w:t>
            </w:r>
            <w:r>
              <w:rPr>
                <w:rFonts w:hint="eastAsia"/>
                <w:color w:val="000000"/>
                <w:sz w:val="24"/>
              </w:rPr>
              <w:t>m</w:t>
            </w:r>
            <w:r>
              <w:rPr>
                <w:rFonts w:hint="eastAsia"/>
                <w:color w:val="000000"/>
                <w:sz w:val="24"/>
                <w:vertAlign w:val="superscript"/>
              </w:rPr>
              <w:t>3</w:t>
            </w:r>
            <w:r>
              <w:rPr>
                <w:rFonts w:hint="eastAsia"/>
                <w:color w:val="000000"/>
                <w:sz w:val="24"/>
              </w:rPr>
              <w:t>/h</w:t>
            </w:r>
            <w:r>
              <w:rPr>
                <w:rFonts w:hint="eastAsia"/>
                <w:color w:val="000000"/>
                <w:sz w:val="24"/>
                <w:lang w:eastAsia="zh-CN"/>
              </w:rPr>
              <w:t>，</w:t>
            </w:r>
            <w:r>
              <w:rPr>
                <w:color w:val="000000"/>
                <w:kern w:val="24"/>
                <w:sz w:val="24"/>
              </w:rPr>
              <w:t>考虑管道损耗，则风机风量为</w:t>
            </w:r>
            <w:r>
              <w:rPr>
                <w:rFonts w:hint="eastAsia"/>
                <w:color w:val="000000"/>
                <w:kern w:val="24"/>
                <w:sz w:val="24"/>
                <w:lang w:val="en-US" w:eastAsia="zh-CN"/>
              </w:rPr>
              <w:t>8000</w:t>
            </w:r>
            <w:r>
              <w:rPr>
                <w:color w:val="000000"/>
                <w:kern w:val="24"/>
                <w:sz w:val="24"/>
              </w:rPr>
              <w:t>m</w:t>
            </w:r>
            <w:r>
              <w:rPr>
                <w:color w:val="000000"/>
                <w:kern w:val="24"/>
                <w:sz w:val="24"/>
                <w:vertAlign w:val="superscript"/>
              </w:rPr>
              <w:t>3</w:t>
            </w:r>
            <w:r>
              <w:rPr>
                <w:color w:val="000000"/>
                <w:kern w:val="24"/>
                <w:sz w:val="24"/>
              </w:rPr>
              <w:t>/h。</w:t>
            </w:r>
          </w:p>
          <w:p w14:paraId="6B7C2125">
            <w:pPr>
              <w:pStyle w:val="14"/>
              <w:numPr>
                <w:ilvl w:val="0"/>
                <w:numId w:val="0"/>
              </w:numPr>
              <w:spacing w:line="360" w:lineRule="auto"/>
              <w:ind w:firstLine="480" w:firstLineChars="200"/>
              <w:jc w:val="left"/>
              <w:rPr>
                <w:color w:val="000000"/>
                <w:sz w:val="24"/>
              </w:rPr>
            </w:pPr>
            <w:r>
              <w:rPr>
                <w:rFonts w:hint="eastAsia"/>
                <w:color w:val="000000"/>
                <w:sz w:val="24"/>
              </w:rPr>
              <w:t>（3）烘干粉尘</w:t>
            </w:r>
          </w:p>
          <w:p w14:paraId="14107564">
            <w:pPr>
              <w:pStyle w:val="14"/>
              <w:numPr>
                <w:ilvl w:val="0"/>
                <w:numId w:val="0"/>
              </w:numPr>
              <w:spacing w:line="360" w:lineRule="auto"/>
              <w:ind w:firstLine="480" w:firstLineChars="200"/>
              <w:jc w:val="left"/>
              <w:rPr>
                <w:color w:val="000000"/>
                <w:sz w:val="24"/>
              </w:rPr>
            </w:pPr>
            <w:r>
              <w:rPr>
                <w:rFonts w:hint="eastAsia"/>
                <w:color w:val="000000"/>
                <w:sz w:val="24"/>
              </w:rPr>
              <w:t>本项目粮食在烘干过程中将会产生一定量的粉尘，根据《散逸性工业粉尘控制技术（中国环境科学出版社）》，柱式烘干塔粉尘产生系数为0.4kg/t（干燥料）。进入烘干塔的粮食量为</w:t>
            </w:r>
            <w:r>
              <w:rPr>
                <w:rFonts w:hint="eastAsia"/>
                <w:color w:val="000000"/>
                <w:sz w:val="24"/>
                <w:lang w:val="en-US" w:eastAsia="zh-CN"/>
              </w:rPr>
              <w:t>9172</w:t>
            </w:r>
            <w:r>
              <w:rPr>
                <w:rFonts w:hint="eastAsia"/>
                <w:color w:val="000000"/>
                <w:sz w:val="24"/>
              </w:rPr>
              <w:t>t/a，则</w:t>
            </w:r>
            <w:r>
              <w:rPr>
                <w:rFonts w:hint="eastAsia"/>
                <w:color w:val="000000"/>
                <w:sz w:val="24"/>
                <w:lang w:val="en-US" w:eastAsia="zh-CN"/>
              </w:rPr>
              <w:t>本</w:t>
            </w:r>
            <w:r>
              <w:rPr>
                <w:rFonts w:hint="eastAsia"/>
                <w:color w:val="000000"/>
                <w:sz w:val="24"/>
              </w:rPr>
              <w:t>项目</w:t>
            </w:r>
            <w:r>
              <w:rPr>
                <w:rFonts w:hint="eastAsia"/>
                <w:color w:val="000000"/>
                <w:sz w:val="24"/>
                <w:lang w:val="en-US" w:eastAsia="zh-CN"/>
              </w:rPr>
              <w:t>改建后全厂</w:t>
            </w:r>
            <w:r>
              <w:rPr>
                <w:rFonts w:hint="eastAsia"/>
                <w:color w:val="000000"/>
                <w:sz w:val="24"/>
              </w:rPr>
              <w:t>烘干粉尘产生量为</w:t>
            </w:r>
            <w:r>
              <w:rPr>
                <w:rFonts w:hint="eastAsia"/>
                <w:color w:val="000000"/>
                <w:sz w:val="24"/>
                <w:lang w:val="en-US" w:eastAsia="zh-CN"/>
              </w:rPr>
              <w:t>3.669</w:t>
            </w:r>
            <w:r>
              <w:rPr>
                <w:rFonts w:hint="eastAsia"/>
                <w:color w:val="000000"/>
                <w:sz w:val="24"/>
              </w:rPr>
              <w:t>t/a。烘干塔粉尘主要来源于粮食沾裹的粉尘和灰尘，以及粮食在烘干过程中由于调节轮毂间隙过小、流速过快使粮食破碎而产生的粉尘。收集粉尘通过管道送至“密闭</w:t>
            </w:r>
            <w:r>
              <w:rPr>
                <w:rFonts w:hint="eastAsia"/>
                <w:color w:val="000000"/>
                <w:sz w:val="24"/>
                <w:lang w:val="en-US" w:eastAsia="zh-CN"/>
              </w:rPr>
              <w:t>收集</w:t>
            </w:r>
            <w:r>
              <w:rPr>
                <w:rFonts w:hint="eastAsia"/>
                <w:color w:val="000000"/>
                <w:sz w:val="24"/>
              </w:rPr>
              <w:t>+布袋除尘器”处理后经</w:t>
            </w:r>
            <w:r>
              <w:rPr>
                <w:rFonts w:hint="eastAsia"/>
                <w:color w:val="000000"/>
                <w:sz w:val="24"/>
                <w:lang w:val="en-US" w:eastAsia="zh-CN"/>
              </w:rPr>
              <w:t>15</w:t>
            </w:r>
            <w:r>
              <w:rPr>
                <w:rFonts w:hint="eastAsia"/>
                <w:color w:val="000000"/>
                <w:sz w:val="24"/>
              </w:rPr>
              <w:t>m排气筒（DA00</w:t>
            </w:r>
            <w:r>
              <w:rPr>
                <w:rFonts w:hint="eastAsia"/>
                <w:color w:val="000000"/>
                <w:sz w:val="24"/>
                <w:lang w:val="en-US" w:eastAsia="zh-CN"/>
              </w:rPr>
              <w:t>4</w:t>
            </w:r>
            <w:r>
              <w:rPr>
                <w:rFonts w:hint="eastAsia"/>
                <w:color w:val="000000"/>
                <w:sz w:val="24"/>
              </w:rPr>
              <w:t>）排放。粉尘收集效率95%，处理效率95%。则烘干工段粉尘有组织排放量为</w:t>
            </w:r>
            <w:r>
              <w:rPr>
                <w:rFonts w:hint="eastAsia"/>
                <w:color w:val="000000"/>
                <w:sz w:val="24"/>
                <w:lang w:val="en-US" w:eastAsia="zh-CN"/>
              </w:rPr>
              <w:t>0.174</w:t>
            </w:r>
            <w:r>
              <w:rPr>
                <w:rFonts w:hint="eastAsia"/>
                <w:color w:val="000000"/>
                <w:sz w:val="24"/>
              </w:rPr>
              <w:t>t/a。</w:t>
            </w:r>
          </w:p>
          <w:p w14:paraId="5674433C">
            <w:pPr>
              <w:pStyle w:val="14"/>
              <w:numPr>
                <w:ilvl w:val="0"/>
                <w:numId w:val="0"/>
              </w:numPr>
              <w:spacing w:line="360" w:lineRule="auto"/>
              <w:ind w:firstLine="480" w:firstLineChars="200"/>
              <w:jc w:val="left"/>
              <w:rPr>
                <w:color w:val="000000"/>
                <w:sz w:val="24"/>
              </w:rPr>
            </w:pPr>
            <w:r>
              <w:rPr>
                <w:rFonts w:hint="eastAsia"/>
                <w:color w:val="000000"/>
                <w:sz w:val="24"/>
              </w:rPr>
              <w:t>根据企业提供设计资料，项目1个烘干塔，容积为500m</w:t>
            </w:r>
            <w:r>
              <w:rPr>
                <w:rFonts w:hint="eastAsia"/>
                <w:color w:val="000000"/>
                <w:sz w:val="24"/>
                <w:vertAlign w:val="superscript"/>
              </w:rPr>
              <w:t>3</w:t>
            </w:r>
            <w:r>
              <w:rPr>
                <w:rFonts w:hint="eastAsia"/>
                <w:color w:val="000000"/>
                <w:sz w:val="24"/>
              </w:rPr>
              <w:t>/个，换风次数按照20次计，设计风量为10000m</w:t>
            </w:r>
            <w:r>
              <w:rPr>
                <w:rFonts w:hint="eastAsia"/>
                <w:color w:val="000000"/>
                <w:sz w:val="24"/>
                <w:vertAlign w:val="superscript"/>
              </w:rPr>
              <w:t>3</w:t>
            </w:r>
            <w:r>
              <w:rPr>
                <w:rFonts w:hint="eastAsia"/>
                <w:color w:val="000000"/>
                <w:sz w:val="24"/>
              </w:rPr>
              <w:t>/h。</w:t>
            </w:r>
            <w:r>
              <w:rPr>
                <w:color w:val="000000"/>
                <w:kern w:val="24"/>
                <w:sz w:val="24"/>
              </w:rPr>
              <w:t>考虑管道损耗，则风机风量为</w:t>
            </w:r>
            <w:r>
              <w:rPr>
                <w:rFonts w:hint="eastAsia"/>
                <w:color w:val="000000"/>
                <w:kern w:val="24"/>
                <w:sz w:val="24"/>
              </w:rPr>
              <w:t>12000</w:t>
            </w:r>
            <w:r>
              <w:rPr>
                <w:color w:val="000000"/>
                <w:kern w:val="24"/>
                <w:sz w:val="24"/>
              </w:rPr>
              <w:t>m</w:t>
            </w:r>
            <w:r>
              <w:rPr>
                <w:color w:val="000000"/>
                <w:kern w:val="24"/>
                <w:sz w:val="24"/>
                <w:vertAlign w:val="superscript"/>
              </w:rPr>
              <w:t>3</w:t>
            </w:r>
            <w:r>
              <w:rPr>
                <w:color w:val="000000"/>
                <w:kern w:val="24"/>
                <w:sz w:val="24"/>
              </w:rPr>
              <w:t>/h。</w:t>
            </w:r>
          </w:p>
          <w:p w14:paraId="454440B2">
            <w:pPr>
              <w:pStyle w:val="14"/>
              <w:numPr>
                <w:ilvl w:val="0"/>
                <w:numId w:val="0"/>
              </w:numPr>
              <w:spacing w:line="360" w:lineRule="auto"/>
              <w:ind w:firstLine="480" w:firstLineChars="200"/>
              <w:jc w:val="left"/>
              <w:rPr>
                <w:color w:val="000000"/>
                <w:sz w:val="24"/>
              </w:rPr>
            </w:pPr>
            <w:r>
              <w:rPr>
                <w:rFonts w:hint="eastAsia"/>
                <w:color w:val="000000"/>
                <w:sz w:val="24"/>
              </w:rPr>
              <w:t>（4）生物质热风炉废气</w:t>
            </w:r>
          </w:p>
          <w:p w14:paraId="6672B5B8">
            <w:pPr>
              <w:pStyle w:val="14"/>
              <w:numPr>
                <w:ilvl w:val="0"/>
                <w:numId w:val="0"/>
              </w:numPr>
              <w:spacing w:line="360" w:lineRule="auto"/>
              <w:ind w:firstLine="480" w:firstLineChars="200"/>
              <w:rPr>
                <w:rFonts w:hint="eastAsia"/>
                <w:color w:val="000000"/>
                <w:kern w:val="0"/>
                <w:sz w:val="24"/>
                <w:lang w:bidi="ar"/>
              </w:rPr>
            </w:pPr>
            <w:r>
              <w:rPr>
                <w:rFonts w:hint="eastAsia"/>
                <w:color w:val="000000"/>
                <w:kern w:val="0"/>
                <w:sz w:val="24"/>
                <w:lang w:bidi="ar"/>
              </w:rPr>
              <w:t>本项目设置有一台</w:t>
            </w:r>
            <w:r>
              <w:rPr>
                <w:rFonts w:hint="eastAsia"/>
                <w:color w:val="000000"/>
                <w:kern w:val="0"/>
                <w:sz w:val="24"/>
                <w:lang w:val="en-US" w:eastAsia="zh-CN" w:bidi="ar"/>
              </w:rPr>
              <w:t>5.6MW</w:t>
            </w:r>
            <w:r>
              <w:rPr>
                <w:rFonts w:hint="eastAsia"/>
                <w:color w:val="000000"/>
                <w:kern w:val="0"/>
                <w:sz w:val="24"/>
                <w:lang w:bidi="ar"/>
              </w:rPr>
              <w:t>生物质</w:t>
            </w:r>
            <w:r>
              <w:rPr>
                <w:rFonts w:hint="eastAsia"/>
                <w:color w:val="000000"/>
                <w:kern w:val="0"/>
                <w:sz w:val="24"/>
                <w:lang w:val="en-US" w:eastAsia="zh-CN" w:bidi="ar"/>
              </w:rPr>
              <w:t>热风炉</w:t>
            </w:r>
            <w:r>
              <w:rPr>
                <w:rFonts w:hint="eastAsia"/>
                <w:color w:val="000000"/>
                <w:kern w:val="0"/>
                <w:sz w:val="24"/>
                <w:lang w:bidi="ar"/>
              </w:rPr>
              <w:t>，年用生物质</w:t>
            </w:r>
            <w:r>
              <w:rPr>
                <w:rFonts w:hint="eastAsia"/>
                <w:color w:val="000000"/>
                <w:kern w:val="0"/>
                <w:sz w:val="24"/>
                <w:lang w:val="en-US" w:eastAsia="zh-CN" w:bidi="ar"/>
              </w:rPr>
              <w:t>558</w:t>
            </w:r>
            <w:r>
              <w:rPr>
                <w:rFonts w:hint="eastAsia"/>
                <w:color w:val="000000"/>
                <w:kern w:val="0"/>
                <w:sz w:val="24"/>
                <w:lang w:bidi="ar"/>
              </w:rPr>
              <w:t>t/a</w:t>
            </w:r>
            <w:r>
              <w:rPr>
                <w:rStyle w:val="27"/>
                <w:rFonts w:hint="eastAsia"/>
                <w:kern w:val="0"/>
                <w:lang w:eastAsia="zh-CN"/>
              </w:rPr>
              <w:t>。</w:t>
            </w:r>
          </w:p>
          <w:p w14:paraId="59B23181">
            <w:pPr>
              <w:pStyle w:val="14"/>
              <w:numPr>
                <w:ilvl w:val="0"/>
                <w:numId w:val="0"/>
              </w:numPr>
              <w:spacing w:line="360" w:lineRule="auto"/>
              <w:ind w:firstLine="480" w:firstLineChars="200"/>
              <w:rPr>
                <w:color w:val="000000"/>
                <w:kern w:val="0"/>
                <w:sz w:val="24"/>
                <w:lang w:bidi="ar"/>
              </w:rPr>
            </w:pPr>
            <w:r>
              <w:rPr>
                <w:rFonts w:hint="eastAsia"/>
                <w:color w:val="000000"/>
                <w:kern w:val="0"/>
                <w:sz w:val="24"/>
                <w:lang w:bidi="ar"/>
              </w:rPr>
              <w:t>根据《排放源统计调查产排污核算方法和系数手册》中</w:t>
            </w:r>
            <w:r>
              <w:rPr>
                <w:color w:val="000000"/>
                <w:kern w:val="0"/>
                <w:sz w:val="24"/>
                <w:lang w:bidi="ar"/>
              </w:rPr>
              <w:t>“4430</w:t>
            </w:r>
            <w:r>
              <w:rPr>
                <w:rFonts w:hint="eastAsia"/>
                <w:color w:val="000000"/>
                <w:kern w:val="0"/>
                <w:sz w:val="24"/>
                <w:lang w:bidi="ar"/>
              </w:rPr>
              <w:t>工业锅炉（热力生产和供应行业）产污系数表</w:t>
            </w:r>
            <w:r>
              <w:rPr>
                <w:color w:val="000000"/>
                <w:kern w:val="0"/>
                <w:sz w:val="24"/>
                <w:lang w:bidi="ar"/>
              </w:rPr>
              <w:t>-</w:t>
            </w:r>
            <w:r>
              <w:rPr>
                <w:rFonts w:hint="eastAsia"/>
                <w:color w:val="000000"/>
                <w:kern w:val="0"/>
                <w:sz w:val="24"/>
                <w:lang w:bidi="ar"/>
              </w:rPr>
              <w:t>生物质工业锅炉</w:t>
            </w:r>
            <w:r>
              <w:rPr>
                <w:color w:val="000000"/>
                <w:kern w:val="0"/>
                <w:sz w:val="24"/>
                <w:lang w:bidi="ar"/>
              </w:rPr>
              <w:t>-</w:t>
            </w:r>
            <w:r>
              <w:rPr>
                <w:rFonts w:hint="eastAsia"/>
                <w:color w:val="000000"/>
                <w:kern w:val="0"/>
                <w:sz w:val="24"/>
                <w:lang w:bidi="ar"/>
              </w:rPr>
              <w:t>生物质燃料</w:t>
            </w:r>
            <w:r>
              <w:rPr>
                <w:color w:val="000000"/>
                <w:kern w:val="0"/>
                <w:sz w:val="24"/>
                <w:lang w:bidi="ar"/>
              </w:rPr>
              <w:t>”</w:t>
            </w:r>
            <w:r>
              <w:rPr>
                <w:rFonts w:hint="eastAsia"/>
                <w:color w:val="000000"/>
                <w:kern w:val="0"/>
                <w:sz w:val="24"/>
                <w:lang w:bidi="ar"/>
              </w:rPr>
              <w:t>，本项目生物质锅炉污染物指标如下表所示。</w:t>
            </w:r>
          </w:p>
          <w:p w14:paraId="2421FDA7">
            <w:pPr>
              <w:pStyle w:val="28"/>
              <w:jc w:val="center"/>
              <w:rPr>
                <w:rFonts w:ascii="Times New Roman" w:hAnsi="Times New Roman" w:cs="Times New Roman"/>
                <w:b/>
                <w:bCs/>
              </w:rPr>
            </w:pPr>
            <w:r>
              <w:rPr>
                <w:rFonts w:ascii="Times New Roman" w:hAnsi="Times New Roman" w:cs="Times New Roman"/>
                <w:b/>
                <w:bCs/>
              </w:rPr>
              <w:t>表</w:t>
            </w:r>
            <w:r>
              <w:rPr>
                <w:rFonts w:hint="eastAsia" w:ascii="Times New Roman" w:hAnsi="Times New Roman" w:cs="Times New Roman"/>
                <w:b/>
                <w:bCs/>
              </w:rPr>
              <w:t>4-2</w:t>
            </w:r>
            <w:r>
              <w:rPr>
                <w:rFonts w:ascii="Times New Roman" w:hAnsi="Times New Roman" w:cs="Times New Roman"/>
                <w:b/>
                <w:bCs/>
              </w:rPr>
              <w:t xml:space="preserve">  生物质锅炉污染物指标一览表</w:t>
            </w:r>
          </w:p>
          <w:tbl>
            <w:tblPr>
              <w:tblStyle w:val="24"/>
              <w:tblW w:w="8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9"/>
              <w:gridCol w:w="2722"/>
              <w:gridCol w:w="3597"/>
            </w:tblGrid>
            <w:tr w14:paraId="292E1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39" w:type="dxa"/>
                  <w:vAlign w:val="center"/>
                </w:tcPr>
                <w:p w14:paraId="470CB6B3">
                  <w:pPr>
                    <w:widowControl/>
                    <w:jc w:val="center"/>
                    <w:rPr>
                      <w:color w:val="000000"/>
                      <w:kern w:val="0"/>
                      <w:szCs w:val="21"/>
                      <w:lang w:bidi="ar"/>
                    </w:rPr>
                  </w:pPr>
                  <w:r>
                    <w:rPr>
                      <w:rFonts w:hint="eastAsia"/>
                      <w:color w:val="000000"/>
                      <w:kern w:val="0"/>
                      <w:szCs w:val="21"/>
                      <w:lang w:bidi="ar"/>
                    </w:rPr>
                    <w:t>污染物指标</w:t>
                  </w:r>
                </w:p>
              </w:tc>
              <w:tc>
                <w:tcPr>
                  <w:tcW w:w="2722" w:type="dxa"/>
                  <w:vAlign w:val="center"/>
                </w:tcPr>
                <w:p w14:paraId="4DC9D25C">
                  <w:pPr>
                    <w:widowControl/>
                    <w:jc w:val="center"/>
                    <w:rPr>
                      <w:color w:val="000000"/>
                      <w:kern w:val="0"/>
                      <w:szCs w:val="21"/>
                      <w:lang w:bidi="ar"/>
                    </w:rPr>
                  </w:pPr>
                  <w:r>
                    <w:rPr>
                      <w:rFonts w:hint="eastAsia"/>
                      <w:color w:val="000000"/>
                      <w:kern w:val="0"/>
                      <w:szCs w:val="21"/>
                      <w:lang w:bidi="ar"/>
                    </w:rPr>
                    <w:t>单位</w:t>
                  </w:r>
                </w:p>
              </w:tc>
              <w:tc>
                <w:tcPr>
                  <w:tcW w:w="3597" w:type="dxa"/>
                  <w:vAlign w:val="center"/>
                </w:tcPr>
                <w:p w14:paraId="5297EB63">
                  <w:pPr>
                    <w:widowControl/>
                    <w:jc w:val="center"/>
                    <w:rPr>
                      <w:color w:val="000000"/>
                      <w:kern w:val="0"/>
                      <w:szCs w:val="21"/>
                      <w:lang w:bidi="ar"/>
                    </w:rPr>
                  </w:pPr>
                  <w:r>
                    <w:rPr>
                      <w:rFonts w:hint="eastAsia"/>
                      <w:color w:val="000000"/>
                      <w:kern w:val="0"/>
                      <w:szCs w:val="21"/>
                      <w:lang w:bidi="ar"/>
                    </w:rPr>
                    <w:t>产污系数</w:t>
                  </w:r>
                </w:p>
              </w:tc>
            </w:tr>
            <w:tr w14:paraId="61A51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39" w:type="dxa"/>
                  <w:vAlign w:val="center"/>
                </w:tcPr>
                <w:p w14:paraId="6C47657D">
                  <w:pPr>
                    <w:widowControl/>
                    <w:jc w:val="center"/>
                    <w:rPr>
                      <w:color w:val="000000"/>
                      <w:kern w:val="0"/>
                      <w:szCs w:val="21"/>
                      <w:lang w:bidi="ar"/>
                    </w:rPr>
                  </w:pPr>
                  <w:r>
                    <w:rPr>
                      <w:rFonts w:hint="eastAsia"/>
                      <w:color w:val="000000"/>
                      <w:kern w:val="0"/>
                      <w:szCs w:val="21"/>
                      <w:lang w:bidi="ar"/>
                    </w:rPr>
                    <w:t>工业废气量</w:t>
                  </w:r>
                </w:p>
              </w:tc>
              <w:tc>
                <w:tcPr>
                  <w:tcW w:w="2722" w:type="dxa"/>
                  <w:vAlign w:val="center"/>
                </w:tcPr>
                <w:p w14:paraId="2E057525">
                  <w:pPr>
                    <w:widowControl/>
                    <w:jc w:val="center"/>
                    <w:rPr>
                      <w:color w:val="000000"/>
                      <w:kern w:val="0"/>
                      <w:szCs w:val="21"/>
                      <w:lang w:bidi="ar"/>
                    </w:rPr>
                  </w:pPr>
                  <w:r>
                    <w:rPr>
                      <w:rFonts w:hint="eastAsia"/>
                      <w:color w:val="000000"/>
                      <w:kern w:val="0"/>
                      <w:szCs w:val="21"/>
                      <w:lang w:bidi="ar"/>
                    </w:rPr>
                    <w:t>标立方米/吨-原料</w:t>
                  </w:r>
                </w:p>
              </w:tc>
              <w:tc>
                <w:tcPr>
                  <w:tcW w:w="3597" w:type="dxa"/>
                  <w:vAlign w:val="center"/>
                </w:tcPr>
                <w:p w14:paraId="575C1D29">
                  <w:pPr>
                    <w:widowControl/>
                    <w:jc w:val="center"/>
                    <w:rPr>
                      <w:color w:val="000000"/>
                      <w:kern w:val="0"/>
                      <w:szCs w:val="21"/>
                      <w:lang w:bidi="ar"/>
                    </w:rPr>
                  </w:pPr>
                  <w:r>
                    <w:rPr>
                      <w:rFonts w:hint="eastAsia"/>
                      <w:color w:val="000000"/>
                      <w:kern w:val="0"/>
                      <w:szCs w:val="21"/>
                      <w:lang w:bidi="ar"/>
                    </w:rPr>
                    <w:t>6240</w:t>
                  </w:r>
                </w:p>
              </w:tc>
            </w:tr>
            <w:tr w14:paraId="1ACD4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39" w:type="dxa"/>
                  <w:vAlign w:val="center"/>
                </w:tcPr>
                <w:p w14:paraId="6864F636">
                  <w:pPr>
                    <w:widowControl/>
                    <w:jc w:val="center"/>
                    <w:rPr>
                      <w:color w:val="000000"/>
                      <w:kern w:val="0"/>
                      <w:szCs w:val="21"/>
                      <w:lang w:bidi="ar"/>
                    </w:rPr>
                  </w:pPr>
                  <w:r>
                    <w:rPr>
                      <w:rFonts w:hint="eastAsia"/>
                      <w:color w:val="000000"/>
                      <w:kern w:val="0"/>
                      <w:szCs w:val="21"/>
                      <w:lang w:bidi="ar"/>
                    </w:rPr>
                    <w:t>颗粒物</w:t>
                  </w:r>
                </w:p>
              </w:tc>
              <w:tc>
                <w:tcPr>
                  <w:tcW w:w="2722" w:type="dxa"/>
                  <w:vAlign w:val="center"/>
                </w:tcPr>
                <w:p w14:paraId="044660D8">
                  <w:pPr>
                    <w:widowControl/>
                    <w:jc w:val="center"/>
                    <w:rPr>
                      <w:color w:val="000000"/>
                      <w:kern w:val="0"/>
                      <w:szCs w:val="21"/>
                      <w:lang w:bidi="ar"/>
                    </w:rPr>
                  </w:pPr>
                  <w:r>
                    <w:rPr>
                      <w:rFonts w:hint="eastAsia"/>
                      <w:color w:val="000000"/>
                      <w:kern w:val="0"/>
                      <w:szCs w:val="21"/>
                      <w:lang w:bidi="ar"/>
                    </w:rPr>
                    <w:t>千克/吨-原料</w:t>
                  </w:r>
                </w:p>
              </w:tc>
              <w:tc>
                <w:tcPr>
                  <w:tcW w:w="3597" w:type="dxa"/>
                  <w:vAlign w:val="center"/>
                </w:tcPr>
                <w:p w14:paraId="1AFDEF2D">
                  <w:pPr>
                    <w:widowControl/>
                    <w:jc w:val="center"/>
                    <w:rPr>
                      <w:color w:val="000000"/>
                      <w:kern w:val="0"/>
                      <w:szCs w:val="21"/>
                      <w:lang w:bidi="ar"/>
                    </w:rPr>
                  </w:pPr>
                  <w:r>
                    <w:rPr>
                      <w:rFonts w:hint="eastAsia"/>
                      <w:color w:val="000000"/>
                      <w:kern w:val="0"/>
                      <w:szCs w:val="21"/>
                      <w:lang w:bidi="ar"/>
                    </w:rPr>
                    <w:t>0.5</w:t>
                  </w:r>
                </w:p>
              </w:tc>
            </w:tr>
            <w:tr w14:paraId="45D6F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39" w:type="dxa"/>
                  <w:vAlign w:val="center"/>
                </w:tcPr>
                <w:p w14:paraId="5037DFED">
                  <w:pPr>
                    <w:widowControl/>
                    <w:jc w:val="center"/>
                    <w:rPr>
                      <w:color w:val="000000"/>
                      <w:kern w:val="0"/>
                      <w:szCs w:val="21"/>
                      <w:lang w:bidi="ar"/>
                    </w:rPr>
                  </w:pPr>
                  <w:r>
                    <w:rPr>
                      <w:rFonts w:hint="eastAsia"/>
                      <w:color w:val="000000"/>
                      <w:kern w:val="0"/>
                      <w:szCs w:val="21"/>
                      <w:lang w:bidi="ar"/>
                    </w:rPr>
                    <w:t>二氧化硫</w:t>
                  </w:r>
                </w:p>
              </w:tc>
              <w:tc>
                <w:tcPr>
                  <w:tcW w:w="2722" w:type="dxa"/>
                  <w:vAlign w:val="center"/>
                </w:tcPr>
                <w:p w14:paraId="0A966DD4">
                  <w:pPr>
                    <w:widowControl/>
                    <w:jc w:val="center"/>
                    <w:rPr>
                      <w:color w:val="000000"/>
                      <w:kern w:val="0"/>
                      <w:szCs w:val="21"/>
                      <w:lang w:bidi="ar"/>
                    </w:rPr>
                  </w:pPr>
                  <w:r>
                    <w:rPr>
                      <w:rFonts w:hint="eastAsia"/>
                      <w:color w:val="000000"/>
                      <w:kern w:val="0"/>
                      <w:szCs w:val="21"/>
                      <w:lang w:bidi="ar"/>
                    </w:rPr>
                    <w:t>千克/吨-原料</w:t>
                  </w:r>
                </w:p>
              </w:tc>
              <w:tc>
                <w:tcPr>
                  <w:tcW w:w="3597" w:type="dxa"/>
                  <w:vAlign w:val="center"/>
                </w:tcPr>
                <w:p w14:paraId="4800129D">
                  <w:pPr>
                    <w:widowControl/>
                    <w:jc w:val="center"/>
                    <w:rPr>
                      <w:color w:val="000000"/>
                      <w:kern w:val="0"/>
                      <w:szCs w:val="21"/>
                      <w:lang w:bidi="ar"/>
                    </w:rPr>
                  </w:pPr>
                  <w:r>
                    <w:rPr>
                      <w:rFonts w:hint="eastAsia"/>
                      <w:color w:val="000000"/>
                      <w:kern w:val="0"/>
                      <w:szCs w:val="21"/>
                      <w:lang w:bidi="ar"/>
                    </w:rPr>
                    <w:t>17S</w:t>
                  </w:r>
                </w:p>
              </w:tc>
            </w:tr>
            <w:tr w14:paraId="31E69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39" w:type="dxa"/>
                  <w:vAlign w:val="center"/>
                </w:tcPr>
                <w:p w14:paraId="63EE8329">
                  <w:pPr>
                    <w:widowControl/>
                    <w:jc w:val="center"/>
                    <w:rPr>
                      <w:color w:val="000000"/>
                      <w:kern w:val="0"/>
                      <w:szCs w:val="21"/>
                      <w:lang w:bidi="ar"/>
                    </w:rPr>
                  </w:pPr>
                  <w:r>
                    <w:rPr>
                      <w:rFonts w:hint="eastAsia"/>
                      <w:color w:val="000000"/>
                      <w:kern w:val="0"/>
                      <w:szCs w:val="21"/>
                      <w:lang w:bidi="ar"/>
                    </w:rPr>
                    <w:t>氮氧化物</w:t>
                  </w:r>
                </w:p>
              </w:tc>
              <w:tc>
                <w:tcPr>
                  <w:tcW w:w="2722" w:type="dxa"/>
                  <w:vAlign w:val="center"/>
                </w:tcPr>
                <w:p w14:paraId="502AB61A">
                  <w:pPr>
                    <w:widowControl/>
                    <w:jc w:val="center"/>
                    <w:rPr>
                      <w:color w:val="000000"/>
                      <w:kern w:val="0"/>
                      <w:szCs w:val="21"/>
                      <w:lang w:bidi="ar"/>
                    </w:rPr>
                  </w:pPr>
                  <w:r>
                    <w:rPr>
                      <w:rFonts w:hint="eastAsia"/>
                      <w:color w:val="000000"/>
                      <w:kern w:val="0"/>
                      <w:szCs w:val="21"/>
                      <w:lang w:bidi="ar"/>
                    </w:rPr>
                    <w:t>千克/吨-原料</w:t>
                  </w:r>
                </w:p>
              </w:tc>
              <w:tc>
                <w:tcPr>
                  <w:tcW w:w="3597" w:type="dxa"/>
                  <w:vAlign w:val="center"/>
                </w:tcPr>
                <w:p w14:paraId="1198E71A">
                  <w:pPr>
                    <w:widowControl/>
                    <w:jc w:val="center"/>
                    <w:rPr>
                      <w:color w:val="000000"/>
                      <w:kern w:val="0"/>
                      <w:szCs w:val="21"/>
                      <w:lang w:bidi="ar"/>
                    </w:rPr>
                  </w:pPr>
                  <w:r>
                    <w:rPr>
                      <w:rFonts w:hint="eastAsia"/>
                      <w:color w:val="000000"/>
                      <w:kern w:val="0"/>
                      <w:szCs w:val="21"/>
                      <w:lang w:bidi="ar"/>
                    </w:rPr>
                    <w:t>1.02</w:t>
                  </w:r>
                </w:p>
              </w:tc>
            </w:tr>
          </w:tbl>
          <w:p w14:paraId="76B85FDD">
            <w:pPr>
              <w:pStyle w:val="14"/>
              <w:numPr>
                <w:ilvl w:val="0"/>
                <w:numId w:val="0"/>
              </w:numPr>
              <w:spacing w:line="360" w:lineRule="auto"/>
              <w:ind w:firstLine="480" w:firstLineChars="200"/>
              <w:rPr>
                <w:rFonts w:hint="default" w:eastAsia="宋体"/>
                <w:color w:val="000000"/>
                <w:kern w:val="0"/>
                <w:sz w:val="24"/>
                <w:lang w:val="en-US" w:eastAsia="zh-CN" w:bidi="ar"/>
              </w:rPr>
            </w:pPr>
            <w:r>
              <w:rPr>
                <w:rFonts w:hint="eastAsia"/>
                <w:color w:val="000000"/>
                <w:kern w:val="0"/>
                <w:sz w:val="24"/>
                <w:lang w:bidi="ar"/>
              </w:rPr>
              <w:t>本项目生物质锅炉主要用于烘干工段，本项目生物质年用量为</w:t>
            </w:r>
            <w:r>
              <w:rPr>
                <w:rFonts w:hint="eastAsia"/>
                <w:color w:val="000000"/>
                <w:kern w:val="0"/>
                <w:sz w:val="24"/>
                <w:lang w:val="en-US" w:eastAsia="zh-CN" w:bidi="ar"/>
              </w:rPr>
              <w:t>558</w:t>
            </w:r>
            <w:r>
              <w:rPr>
                <w:rFonts w:hint="eastAsia"/>
                <w:color w:val="000000"/>
                <w:kern w:val="0"/>
                <w:sz w:val="24"/>
                <w:lang w:bidi="ar"/>
              </w:rPr>
              <w:t>t/a，经计算得出，</w:t>
            </w:r>
            <w:r>
              <w:rPr>
                <w:rFonts w:hint="eastAsia"/>
                <w:color w:val="000000"/>
                <w:kern w:val="0"/>
                <w:sz w:val="24"/>
                <w:lang w:val="en-US" w:eastAsia="zh-CN" w:bidi="ar"/>
              </w:rPr>
              <w:t>废气排放量约为8700m³/h；</w:t>
            </w:r>
            <w:r>
              <w:rPr>
                <w:rFonts w:hint="eastAsia"/>
                <w:color w:val="000000"/>
                <w:kern w:val="0"/>
                <w:sz w:val="24"/>
                <w:lang w:bidi="ar"/>
              </w:rPr>
              <w:t>颗粒物产生量约</w:t>
            </w:r>
            <w:r>
              <w:rPr>
                <w:rFonts w:hint="eastAsia"/>
                <w:color w:val="000000"/>
                <w:kern w:val="0"/>
                <w:sz w:val="24"/>
                <w:lang w:val="en-US" w:eastAsia="zh-CN" w:bidi="ar"/>
              </w:rPr>
              <w:t>0.279</w:t>
            </w:r>
            <w:r>
              <w:rPr>
                <w:rFonts w:hint="eastAsia"/>
                <w:color w:val="000000"/>
                <w:kern w:val="0"/>
                <w:sz w:val="24"/>
                <w:lang w:bidi="ar"/>
              </w:rPr>
              <w:t>t/a</w:t>
            </w:r>
            <w:r>
              <w:rPr>
                <w:rFonts w:hint="eastAsia"/>
                <w:color w:val="000000"/>
                <w:kern w:val="0"/>
                <w:sz w:val="24"/>
                <w:lang w:eastAsia="zh-CN" w:bidi="ar"/>
              </w:rPr>
              <w:t>；</w:t>
            </w:r>
            <w:r>
              <w:rPr>
                <w:rFonts w:hint="eastAsia"/>
                <w:color w:val="000000"/>
                <w:kern w:val="0"/>
                <w:sz w:val="24"/>
                <w:lang w:bidi="ar"/>
              </w:rPr>
              <w:t>根据企业提供的生物质燃料含硫量检测报告，本项目使用的生物质含硫量S为0.0</w:t>
            </w:r>
            <w:r>
              <w:rPr>
                <w:rFonts w:hint="eastAsia"/>
                <w:color w:val="000000"/>
                <w:kern w:val="0"/>
                <w:sz w:val="24"/>
                <w:lang w:val="en-US" w:eastAsia="zh-CN" w:bidi="ar"/>
              </w:rPr>
              <w:t>2</w:t>
            </w:r>
            <w:r>
              <w:rPr>
                <w:rFonts w:hint="eastAsia"/>
                <w:color w:val="000000"/>
                <w:kern w:val="0"/>
                <w:sz w:val="24"/>
                <w:lang w:bidi="ar"/>
              </w:rPr>
              <w:t>%，即S=0.</w:t>
            </w:r>
            <w:r>
              <w:rPr>
                <w:rFonts w:hint="eastAsia"/>
                <w:color w:val="000000"/>
                <w:kern w:val="0"/>
                <w:sz w:val="24"/>
                <w:lang w:val="en-US" w:eastAsia="zh-CN" w:bidi="ar"/>
              </w:rPr>
              <w:t>02</w:t>
            </w:r>
            <w:r>
              <w:rPr>
                <w:rFonts w:hint="eastAsia"/>
                <w:color w:val="000000"/>
                <w:kern w:val="0"/>
                <w:sz w:val="24"/>
                <w:lang w:bidi="ar"/>
              </w:rPr>
              <w:t>，故二氧化硫产生量约</w:t>
            </w:r>
            <w:r>
              <w:rPr>
                <w:rFonts w:hint="eastAsia"/>
                <w:color w:val="000000"/>
                <w:kern w:val="0"/>
                <w:sz w:val="24"/>
                <w:lang w:val="en-US" w:eastAsia="zh-CN" w:bidi="ar"/>
              </w:rPr>
              <w:t>0.19</w:t>
            </w:r>
            <w:r>
              <w:rPr>
                <w:rFonts w:hint="eastAsia"/>
                <w:color w:val="000000"/>
                <w:kern w:val="0"/>
                <w:sz w:val="24"/>
                <w:lang w:bidi="ar"/>
              </w:rPr>
              <w:t>t/a</w:t>
            </w:r>
            <w:r>
              <w:rPr>
                <w:rFonts w:hint="eastAsia"/>
                <w:color w:val="000000"/>
                <w:kern w:val="0"/>
                <w:sz w:val="24"/>
                <w:lang w:eastAsia="zh-CN" w:bidi="ar"/>
              </w:rPr>
              <w:t>；</w:t>
            </w:r>
            <w:r>
              <w:rPr>
                <w:rFonts w:hint="eastAsia"/>
                <w:color w:val="000000"/>
                <w:kern w:val="0"/>
                <w:sz w:val="24"/>
                <w:lang w:bidi="ar"/>
              </w:rPr>
              <w:t>氮氧化物产生量为</w:t>
            </w:r>
            <w:r>
              <w:rPr>
                <w:rFonts w:hint="eastAsia"/>
                <w:color w:val="000000"/>
                <w:kern w:val="0"/>
                <w:sz w:val="24"/>
                <w:lang w:val="en-US" w:eastAsia="zh-CN" w:bidi="ar"/>
              </w:rPr>
              <w:t>0.569</w:t>
            </w:r>
            <w:r>
              <w:rPr>
                <w:rFonts w:hint="eastAsia"/>
                <w:color w:val="000000"/>
                <w:kern w:val="0"/>
                <w:sz w:val="24"/>
                <w:lang w:bidi="ar"/>
              </w:rPr>
              <w:t>t/a。</w:t>
            </w:r>
          </w:p>
          <w:p w14:paraId="1A42A097">
            <w:pPr>
              <w:autoSpaceDE w:val="0"/>
              <w:autoSpaceDN w:val="0"/>
              <w:spacing w:line="360" w:lineRule="auto"/>
              <w:ind w:firstLine="480"/>
              <w:rPr>
                <w:color w:val="000000"/>
                <w:kern w:val="0"/>
                <w:sz w:val="24"/>
                <w:lang w:bidi="ar"/>
              </w:rPr>
            </w:pPr>
            <w:r>
              <w:rPr>
                <w:rFonts w:hint="eastAsia"/>
                <w:color w:val="000000"/>
                <w:kern w:val="0"/>
                <w:sz w:val="24"/>
                <w:lang w:val="en-US" w:eastAsia="zh-CN" w:bidi="ar"/>
              </w:rPr>
              <w:t>热风炉经低氮燃烧技术，燃烧废气经</w:t>
            </w:r>
            <w:r>
              <w:rPr>
                <w:rFonts w:hint="eastAsia"/>
                <w:color w:val="000000"/>
                <w:kern w:val="0"/>
                <w:sz w:val="24"/>
                <w:lang w:bidi="ar"/>
              </w:rPr>
              <w:t>布袋除尘器处理后通过一根40m高排气筒排放（DA00</w:t>
            </w:r>
            <w:r>
              <w:rPr>
                <w:rFonts w:hint="eastAsia"/>
                <w:color w:val="000000"/>
                <w:kern w:val="0"/>
                <w:sz w:val="24"/>
                <w:lang w:val="en-US" w:eastAsia="zh-CN" w:bidi="ar"/>
              </w:rPr>
              <w:t>3</w:t>
            </w:r>
            <w:r>
              <w:rPr>
                <w:rFonts w:hint="eastAsia"/>
                <w:color w:val="000000"/>
                <w:kern w:val="0"/>
                <w:sz w:val="24"/>
                <w:lang w:bidi="ar"/>
              </w:rPr>
              <w:t>），收集效率约100%，布袋除尘器处理效率约95%，</w:t>
            </w:r>
            <w:r>
              <w:rPr>
                <w:rFonts w:hint="eastAsia"/>
                <w:color w:val="000000"/>
                <w:kern w:val="0"/>
                <w:sz w:val="24"/>
                <w:lang w:val="en-US" w:eastAsia="zh-CN" w:bidi="ar"/>
              </w:rPr>
              <w:t>采用国际领先低氮燃烧技术</w:t>
            </w:r>
            <w:r>
              <w:rPr>
                <w:rFonts w:hint="eastAsia"/>
                <w:color w:val="000000"/>
                <w:kern w:val="0"/>
                <w:sz w:val="24"/>
                <w:lang w:bidi="ar"/>
              </w:rPr>
              <w:t>，则颗粒物有组织排放量为</w:t>
            </w:r>
            <w:r>
              <w:rPr>
                <w:rFonts w:hint="eastAsia"/>
                <w:color w:val="000000"/>
                <w:kern w:val="0"/>
                <w:sz w:val="24"/>
                <w:lang w:val="en-US" w:eastAsia="zh-CN" w:bidi="ar"/>
              </w:rPr>
              <w:t>0.014</w:t>
            </w:r>
            <w:r>
              <w:rPr>
                <w:rFonts w:hint="eastAsia"/>
                <w:color w:val="000000"/>
                <w:kern w:val="0"/>
                <w:sz w:val="24"/>
                <w:lang w:bidi="ar"/>
              </w:rPr>
              <w:t>/a，氮氧化物有组织排放量为</w:t>
            </w:r>
            <w:r>
              <w:rPr>
                <w:rFonts w:hint="eastAsia"/>
                <w:color w:val="000000"/>
                <w:kern w:val="0"/>
                <w:sz w:val="24"/>
                <w:lang w:val="en-US" w:eastAsia="zh-CN" w:bidi="ar"/>
              </w:rPr>
              <w:t>0.227</w:t>
            </w:r>
            <w:r>
              <w:rPr>
                <w:rFonts w:hint="eastAsia"/>
                <w:color w:val="000000"/>
                <w:kern w:val="0"/>
                <w:sz w:val="24"/>
                <w:lang w:bidi="ar"/>
              </w:rPr>
              <w:t>t/a，二氧化硫有组织排放量为</w:t>
            </w:r>
            <w:r>
              <w:rPr>
                <w:rFonts w:hint="eastAsia"/>
                <w:color w:val="000000"/>
                <w:kern w:val="0"/>
                <w:sz w:val="24"/>
                <w:lang w:val="en-US" w:eastAsia="zh-CN" w:bidi="ar"/>
              </w:rPr>
              <w:t>0.19</w:t>
            </w:r>
            <w:r>
              <w:rPr>
                <w:rFonts w:hint="eastAsia"/>
                <w:color w:val="000000"/>
                <w:kern w:val="0"/>
                <w:sz w:val="24"/>
                <w:lang w:bidi="ar"/>
              </w:rPr>
              <w:t>t/a。</w:t>
            </w:r>
          </w:p>
          <w:p w14:paraId="09178BB6">
            <w:pPr>
              <w:pStyle w:val="47"/>
              <w:spacing w:line="360" w:lineRule="auto"/>
              <w:jc w:val="center"/>
              <w:rPr>
                <w:color w:val="auto"/>
                <w:lang w:bidi="ar"/>
              </w:rPr>
            </w:pPr>
            <w:r>
              <w:rPr>
                <w:rFonts w:hint="eastAsia" w:ascii="Times New Roman" w:hAnsi="Times New Roman"/>
                <w:b/>
                <w:bCs/>
              </w:rPr>
              <w:drawing>
                <wp:inline distT="0" distB="0" distL="114300" distR="114300">
                  <wp:extent cx="3935095" cy="3352800"/>
                  <wp:effectExtent l="0" t="0" r="12065" b="0"/>
                  <wp:docPr id="17" name="F360BE8B-6686-4F3D-AEAF-501FE73E4058-6" descr="C:/Users/Administrator/AppData/Local/Temp/绘图1(43).png绘图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360BE8B-6686-4F3D-AEAF-501FE73E4058-6" descr="C:/Users/Administrator/AppData/Local/Temp/绘图1(43).png绘图1(43)"/>
                          <pic:cNvPicPr>
                            <a:picLocks noChangeAspect="1"/>
                          </pic:cNvPicPr>
                        </pic:nvPicPr>
                        <pic:blipFill>
                          <a:blip r:embed="rId13"/>
                          <a:stretch>
                            <a:fillRect/>
                          </a:stretch>
                        </pic:blipFill>
                        <pic:spPr>
                          <a:xfrm>
                            <a:off x="0" y="0"/>
                            <a:ext cx="3934968" cy="3352800"/>
                          </a:xfrm>
                          <a:prstGeom prst="rect">
                            <a:avLst/>
                          </a:prstGeom>
                          <a:noFill/>
                          <a:ln>
                            <a:noFill/>
                          </a:ln>
                        </pic:spPr>
                      </pic:pic>
                    </a:graphicData>
                  </a:graphic>
                </wp:inline>
              </w:drawing>
            </w:r>
          </w:p>
          <w:p w14:paraId="67578A33">
            <w:pPr>
              <w:autoSpaceDE w:val="0"/>
              <w:autoSpaceDN w:val="0"/>
              <w:spacing w:line="360" w:lineRule="auto"/>
              <w:jc w:val="center"/>
              <w:rPr>
                <w:sz w:val="24"/>
                <w:lang w:bidi="ar"/>
              </w:rPr>
            </w:pPr>
            <w:r>
              <w:rPr>
                <w:rFonts w:hint="eastAsia"/>
                <w:b/>
                <w:bCs/>
                <w:color w:val="000000"/>
                <w:sz w:val="24"/>
              </w:rPr>
              <w:t>图4-1  废气收集及治理流程图</w:t>
            </w:r>
          </w:p>
          <w:p w14:paraId="245DB280">
            <w:pPr>
              <w:pStyle w:val="47"/>
              <w:spacing w:line="360" w:lineRule="auto"/>
              <w:ind w:firstLine="480" w:firstLineChars="200"/>
              <w:jc w:val="both"/>
            </w:pPr>
            <w:r>
              <w:rPr>
                <w:color w:val="auto"/>
                <w:lang w:bidi="ar"/>
              </w:rPr>
              <w:t>项目有组织</w:t>
            </w:r>
            <w:r>
              <w:rPr>
                <w:rFonts w:hint="eastAsia" w:hAnsi="宋体" w:cs="宋体"/>
                <w:color w:val="auto"/>
              </w:rPr>
              <w:t>废气产排情况详见下表：</w:t>
            </w:r>
          </w:p>
          <w:p w14:paraId="3995A886">
            <w:pPr>
              <w:autoSpaceDE w:val="0"/>
              <w:autoSpaceDN w:val="0"/>
              <w:spacing w:line="360" w:lineRule="auto"/>
              <w:ind w:firstLine="480"/>
              <w:rPr>
                <w:color w:val="000000"/>
                <w:sz w:val="24"/>
              </w:rPr>
            </w:pPr>
          </w:p>
          <w:p w14:paraId="684F86F6">
            <w:pPr>
              <w:autoSpaceDE w:val="0"/>
              <w:autoSpaceDN w:val="0"/>
              <w:spacing w:line="360" w:lineRule="auto"/>
              <w:ind w:firstLine="480"/>
              <w:rPr>
                <w:color w:val="000000"/>
                <w:sz w:val="24"/>
              </w:rPr>
            </w:pPr>
          </w:p>
          <w:p w14:paraId="50AF35F5">
            <w:pPr>
              <w:autoSpaceDE w:val="0"/>
              <w:autoSpaceDN w:val="0"/>
              <w:spacing w:line="360" w:lineRule="auto"/>
              <w:ind w:firstLine="480"/>
              <w:rPr>
                <w:color w:val="000000"/>
                <w:sz w:val="24"/>
              </w:rPr>
            </w:pPr>
          </w:p>
          <w:p w14:paraId="0AFFCE9F">
            <w:pPr>
              <w:autoSpaceDE w:val="0"/>
              <w:autoSpaceDN w:val="0"/>
              <w:spacing w:line="360" w:lineRule="auto"/>
              <w:ind w:firstLine="480"/>
              <w:rPr>
                <w:color w:val="000000"/>
                <w:sz w:val="24"/>
              </w:rPr>
            </w:pPr>
          </w:p>
          <w:p w14:paraId="797788D6">
            <w:pPr>
              <w:autoSpaceDE w:val="0"/>
              <w:autoSpaceDN w:val="0"/>
              <w:spacing w:line="360" w:lineRule="auto"/>
              <w:ind w:firstLine="480"/>
              <w:rPr>
                <w:color w:val="000000"/>
                <w:sz w:val="24"/>
              </w:rPr>
            </w:pPr>
          </w:p>
          <w:p w14:paraId="07C1ABEF">
            <w:pPr>
              <w:autoSpaceDE w:val="0"/>
              <w:autoSpaceDN w:val="0"/>
              <w:spacing w:line="360" w:lineRule="auto"/>
              <w:ind w:firstLine="480"/>
              <w:rPr>
                <w:color w:val="000000"/>
                <w:sz w:val="24"/>
              </w:rPr>
            </w:pPr>
          </w:p>
          <w:p w14:paraId="3F2C82D2">
            <w:pPr>
              <w:autoSpaceDE w:val="0"/>
              <w:autoSpaceDN w:val="0"/>
              <w:spacing w:line="360" w:lineRule="auto"/>
              <w:ind w:firstLine="480"/>
              <w:rPr>
                <w:color w:val="000000"/>
                <w:sz w:val="24"/>
              </w:rPr>
            </w:pPr>
          </w:p>
          <w:p w14:paraId="3D6EF638">
            <w:pPr>
              <w:autoSpaceDE w:val="0"/>
              <w:autoSpaceDN w:val="0"/>
              <w:spacing w:line="360" w:lineRule="auto"/>
              <w:rPr>
                <w:bCs/>
                <w:color w:val="000000"/>
                <w:spacing w:val="-10"/>
                <w:sz w:val="24"/>
              </w:rPr>
            </w:pPr>
          </w:p>
        </w:tc>
      </w:tr>
    </w:tbl>
    <w:p w14:paraId="4B15A4BD">
      <w:pPr>
        <w:pStyle w:val="28"/>
        <w:rPr>
          <w:rFonts w:ascii="Times New Roman" w:hAnsi="Times New Roman" w:cs="Times New Roman"/>
          <w:b/>
          <w:kern w:val="0"/>
          <w:sz w:val="10"/>
          <w:szCs w:val="10"/>
        </w:rPr>
        <w:sectPr>
          <w:pgSz w:w="11907" w:h="16840"/>
          <w:pgMar w:top="1701" w:right="1531" w:bottom="2127" w:left="1531" w:header="851" w:footer="851" w:gutter="0"/>
          <w:cols w:space="720" w:num="1"/>
          <w:docGrid w:linePitch="312" w:charSpace="0"/>
        </w:sect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2527"/>
      </w:tblGrid>
      <w:tr w14:paraId="62E1F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185DB364">
            <w:pPr>
              <w:pStyle w:val="4"/>
              <w:rPr>
                <w:color w:val="000000"/>
              </w:rPr>
            </w:pPr>
          </w:p>
        </w:tc>
        <w:tc>
          <w:tcPr>
            <w:tcW w:w="12527" w:type="dxa"/>
          </w:tcPr>
          <w:p w14:paraId="5DB7B6CD">
            <w:pPr>
              <w:jc w:val="center"/>
              <w:rPr>
                <w:b/>
                <w:bCs/>
                <w:color w:val="000000"/>
                <w:sz w:val="24"/>
              </w:rPr>
            </w:pPr>
            <w:r>
              <w:rPr>
                <w:b/>
                <w:bCs/>
                <w:color w:val="000000"/>
                <w:sz w:val="24"/>
              </w:rPr>
              <w:t>表</w:t>
            </w:r>
            <w:r>
              <w:rPr>
                <w:rFonts w:hint="eastAsia"/>
                <w:b/>
                <w:bCs/>
                <w:color w:val="000000"/>
                <w:sz w:val="24"/>
              </w:rPr>
              <w:t>4-3</w:t>
            </w:r>
            <w:r>
              <w:rPr>
                <w:b/>
                <w:bCs/>
                <w:color w:val="000000"/>
                <w:sz w:val="24"/>
              </w:rPr>
              <w:t xml:space="preserve">  </w:t>
            </w:r>
            <w:r>
              <w:rPr>
                <w:rFonts w:hint="eastAsia"/>
                <w:b/>
                <w:bCs/>
                <w:color w:val="000000"/>
                <w:sz w:val="24"/>
              </w:rPr>
              <w:t>本项目</w:t>
            </w:r>
            <w:r>
              <w:rPr>
                <w:b/>
                <w:bCs/>
                <w:color w:val="000000"/>
                <w:sz w:val="24"/>
              </w:rPr>
              <w:t>有组织废气产生排放情况</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756"/>
              <w:gridCol w:w="772"/>
              <w:gridCol w:w="919"/>
              <w:gridCol w:w="834"/>
              <w:gridCol w:w="833"/>
              <w:gridCol w:w="849"/>
              <w:gridCol w:w="1272"/>
              <w:gridCol w:w="737"/>
              <w:gridCol w:w="720"/>
              <w:gridCol w:w="828"/>
              <w:gridCol w:w="780"/>
              <w:gridCol w:w="1037"/>
              <w:gridCol w:w="1212"/>
            </w:tblGrid>
            <w:tr w14:paraId="41F73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dxa"/>
                  <w:vMerge w:val="restart"/>
                  <w:vAlign w:val="center"/>
                </w:tcPr>
                <w:p w14:paraId="6BECCE81">
                  <w:pPr>
                    <w:pStyle w:val="32"/>
                    <w:rPr>
                      <w:color w:val="auto"/>
                    </w:rPr>
                  </w:pPr>
                  <w:r>
                    <w:rPr>
                      <w:color w:val="auto"/>
                    </w:rPr>
                    <w:t>污染源</w:t>
                  </w:r>
                </w:p>
              </w:tc>
              <w:tc>
                <w:tcPr>
                  <w:tcW w:w="756" w:type="dxa"/>
                  <w:vMerge w:val="restart"/>
                  <w:vAlign w:val="center"/>
                </w:tcPr>
                <w:p w14:paraId="76BB2A9D">
                  <w:pPr>
                    <w:pStyle w:val="32"/>
                    <w:rPr>
                      <w:color w:val="auto"/>
                    </w:rPr>
                  </w:pPr>
                  <w:r>
                    <w:rPr>
                      <w:color w:val="auto"/>
                    </w:rPr>
                    <w:t>时间h</w:t>
                  </w:r>
                </w:p>
              </w:tc>
              <w:tc>
                <w:tcPr>
                  <w:tcW w:w="772" w:type="dxa"/>
                  <w:vMerge w:val="restart"/>
                  <w:vAlign w:val="center"/>
                </w:tcPr>
                <w:p w14:paraId="055EBDB4">
                  <w:pPr>
                    <w:pStyle w:val="32"/>
                    <w:rPr>
                      <w:color w:val="auto"/>
                    </w:rPr>
                  </w:pPr>
                  <w:r>
                    <w:rPr>
                      <w:color w:val="auto"/>
                    </w:rPr>
                    <w:t>风量m</w:t>
                  </w:r>
                  <w:r>
                    <w:rPr>
                      <w:color w:val="auto"/>
                      <w:vertAlign w:val="superscript"/>
                    </w:rPr>
                    <w:t>3</w:t>
                  </w:r>
                  <w:r>
                    <w:rPr>
                      <w:color w:val="auto"/>
                    </w:rPr>
                    <w:t>/h</w:t>
                  </w:r>
                </w:p>
              </w:tc>
              <w:tc>
                <w:tcPr>
                  <w:tcW w:w="919" w:type="dxa"/>
                  <w:vMerge w:val="restart"/>
                  <w:vAlign w:val="center"/>
                </w:tcPr>
                <w:p w14:paraId="1EA04ED3">
                  <w:pPr>
                    <w:pStyle w:val="32"/>
                    <w:rPr>
                      <w:color w:val="auto"/>
                    </w:rPr>
                  </w:pPr>
                  <w:r>
                    <w:rPr>
                      <w:color w:val="auto"/>
                    </w:rPr>
                    <w:t>污染物</w:t>
                  </w:r>
                </w:p>
              </w:tc>
              <w:tc>
                <w:tcPr>
                  <w:tcW w:w="2516" w:type="dxa"/>
                  <w:gridSpan w:val="3"/>
                  <w:vAlign w:val="center"/>
                </w:tcPr>
                <w:p w14:paraId="06FCC37B">
                  <w:pPr>
                    <w:pStyle w:val="32"/>
                    <w:rPr>
                      <w:color w:val="auto"/>
                    </w:rPr>
                  </w:pPr>
                  <w:r>
                    <w:rPr>
                      <w:color w:val="auto"/>
                    </w:rPr>
                    <w:t>产生情况</w:t>
                  </w:r>
                </w:p>
              </w:tc>
              <w:tc>
                <w:tcPr>
                  <w:tcW w:w="1272" w:type="dxa"/>
                  <w:vMerge w:val="restart"/>
                  <w:vAlign w:val="center"/>
                </w:tcPr>
                <w:p w14:paraId="29E3FC75">
                  <w:pPr>
                    <w:pStyle w:val="32"/>
                    <w:rPr>
                      <w:color w:val="auto"/>
                    </w:rPr>
                  </w:pPr>
                  <w:r>
                    <w:rPr>
                      <w:color w:val="auto"/>
                    </w:rPr>
                    <w:t>处理措施</w:t>
                  </w:r>
                </w:p>
              </w:tc>
              <w:tc>
                <w:tcPr>
                  <w:tcW w:w="737" w:type="dxa"/>
                  <w:vMerge w:val="restart"/>
                  <w:vAlign w:val="center"/>
                </w:tcPr>
                <w:p w14:paraId="2A58E5E1">
                  <w:pPr>
                    <w:pStyle w:val="32"/>
                    <w:rPr>
                      <w:color w:val="auto"/>
                    </w:rPr>
                  </w:pPr>
                  <w:r>
                    <w:rPr>
                      <w:color w:val="auto"/>
                    </w:rPr>
                    <w:t>处理效率%</w:t>
                  </w:r>
                </w:p>
              </w:tc>
              <w:tc>
                <w:tcPr>
                  <w:tcW w:w="720" w:type="dxa"/>
                  <w:vMerge w:val="restart"/>
                  <w:vAlign w:val="center"/>
                </w:tcPr>
                <w:p w14:paraId="2F77A641">
                  <w:pPr>
                    <w:pStyle w:val="32"/>
                    <w:rPr>
                      <w:color w:val="auto"/>
                    </w:rPr>
                  </w:pPr>
                  <w:r>
                    <w:rPr>
                      <w:color w:val="auto"/>
                    </w:rPr>
                    <w:t>风量m</w:t>
                  </w:r>
                  <w:r>
                    <w:rPr>
                      <w:color w:val="auto"/>
                      <w:vertAlign w:val="superscript"/>
                    </w:rPr>
                    <w:t>3</w:t>
                  </w:r>
                  <w:r>
                    <w:rPr>
                      <w:color w:val="auto"/>
                    </w:rPr>
                    <w:t>/h</w:t>
                  </w:r>
                </w:p>
              </w:tc>
              <w:tc>
                <w:tcPr>
                  <w:tcW w:w="3857" w:type="dxa"/>
                  <w:gridSpan w:val="4"/>
                  <w:vAlign w:val="center"/>
                </w:tcPr>
                <w:p w14:paraId="1C31EA53">
                  <w:pPr>
                    <w:pStyle w:val="32"/>
                    <w:rPr>
                      <w:color w:val="auto"/>
                    </w:rPr>
                  </w:pPr>
                  <w:r>
                    <w:rPr>
                      <w:color w:val="auto"/>
                    </w:rPr>
                    <w:t>排放情况</w:t>
                  </w:r>
                </w:p>
              </w:tc>
            </w:tr>
            <w:tr w14:paraId="17C20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dxa"/>
                  <w:vMerge w:val="continue"/>
                  <w:vAlign w:val="center"/>
                </w:tcPr>
                <w:p w14:paraId="44D53BD8">
                  <w:pPr>
                    <w:pStyle w:val="32"/>
                    <w:rPr>
                      <w:color w:val="auto"/>
                    </w:rPr>
                  </w:pPr>
                </w:p>
              </w:tc>
              <w:tc>
                <w:tcPr>
                  <w:tcW w:w="756" w:type="dxa"/>
                  <w:vMerge w:val="continue"/>
                  <w:vAlign w:val="center"/>
                </w:tcPr>
                <w:p w14:paraId="4365B40C">
                  <w:pPr>
                    <w:pStyle w:val="32"/>
                    <w:rPr>
                      <w:color w:val="auto"/>
                    </w:rPr>
                  </w:pPr>
                </w:p>
              </w:tc>
              <w:tc>
                <w:tcPr>
                  <w:tcW w:w="772" w:type="dxa"/>
                  <w:vMerge w:val="continue"/>
                  <w:vAlign w:val="center"/>
                </w:tcPr>
                <w:p w14:paraId="2FB8FD63">
                  <w:pPr>
                    <w:pStyle w:val="32"/>
                    <w:rPr>
                      <w:color w:val="auto"/>
                    </w:rPr>
                  </w:pPr>
                </w:p>
              </w:tc>
              <w:tc>
                <w:tcPr>
                  <w:tcW w:w="919" w:type="dxa"/>
                  <w:vMerge w:val="continue"/>
                  <w:vAlign w:val="center"/>
                </w:tcPr>
                <w:p w14:paraId="66DD8E50">
                  <w:pPr>
                    <w:pStyle w:val="32"/>
                    <w:rPr>
                      <w:color w:val="auto"/>
                    </w:rPr>
                  </w:pPr>
                </w:p>
              </w:tc>
              <w:tc>
                <w:tcPr>
                  <w:tcW w:w="834" w:type="dxa"/>
                  <w:vAlign w:val="center"/>
                </w:tcPr>
                <w:p w14:paraId="5CA97A9D">
                  <w:pPr>
                    <w:pStyle w:val="32"/>
                    <w:rPr>
                      <w:color w:val="auto"/>
                    </w:rPr>
                  </w:pPr>
                  <w:r>
                    <w:rPr>
                      <w:color w:val="auto"/>
                    </w:rPr>
                    <w:t>浓度mg/m</w:t>
                  </w:r>
                  <w:r>
                    <w:rPr>
                      <w:color w:val="auto"/>
                      <w:vertAlign w:val="superscript"/>
                    </w:rPr>
                    <w:t>3</w:t>
                  </w:r>
                </w:p>
              </w:tc>
              <w:tc>
                <w:tcPr>
                  <w:tcW w:w="833" w:type="dxa"/>
                  <w:vAlign w:val="center"/>
                </w:tcPr>
                <w:p w14:paraId="6CD1B3EC">
                  <w:pPr>
                    <w:pStyle w:val="32"/>
                    <w:rPr>
                      <w:color w:val="auto"/>
                    </w:rPr>
                  </w:pPr>
                  <w:r>
                    <w:rPr>
                      <w:color w:val="auto"/>
                    </w:rPr>
                    <w:t>速率kg/h</w:t>
                  </w:r>
                </w:p>
              </w:tc>
              <w:tc>
                <w:tcPr>
                  <w:tcW w:w="849" w:type="dxa"/>
                  <w:vAlign w:val="center"/>
                </w:tcPr>
                <w:p w14:paraId="43F04B3D">
                  <w:pPr>
                    <w:pStyle w:val="32"/>
                    <w:rPr>
                      <w:color w:val="auto"/>
                    </w:rPr>
                  </w:pPr>
                  <w:r>
                    <w:rPr>
                      <w:color w:val="auto"/>
                    </w:rPr>
                    <w:t>产生量t/a</w:t>
                  </w:r>
                </w:p>
              </w:tc>
              <w:tc>
                <w:tcPr>
                  <w:tcW w:w="1272" w:type="dxa"/>
                  <w:vMerge w:val="continue"/>
                  <w:vAlign w:val="center"/>
                </w:tcPr>
                <w:p w14:paraId="74832937">
                  <w:pPr>
                    <w:pStyle w:val="32"/>
                    <w:rPr>
                      <w:color w:val="auto"/>
                    </w:rPr>
                  </w:pPr>
                </w:p>
              </w:tc>
              <w:tc>
                <w:tcPr>
                  <w:tcW w:w="737" w:type="dxa"/>
                  <w:vMerge w:val="continue"/>
                  <w:vAlign w:val="center"/>
                </w:tcPr>
                <w:p w14:paraId="66D11CD0">
                  <w:pPr>
                    <w:pStyle w:val="32"/>
                    <w:rPr>
                      <w:color w:val="auto"/>
                    </w:rPr>
                  </w:pPr>
                </w:p>
              </w:tc>
              <w:tc>
                <w:tcPr>
                  <w:tcW w:w="720" w:type="dxa"/>
                  <w:vMerge w:val="continue"/>
                  <w:vAlign w:val="center"/>
                </w:tcPr>
                <w:p w14:paraId="7F4B3EE3">
                  <w:pPr>
                    <w:pStyle w:val="32"/>
                    <w:rPr>
                      <w:color w:val="auto"/>
                    </w:rPr>
                  </w:pPr>
                </w:p>
              </w:tc>
              <w:tc>
                <w:tcPr>
                  <w:tcW w:w="828" w:type="dxa"/>
                  <w:vAlign w:val="center"/>
                </w:tcPr>
                <w:p w14:paraId="04B876D1">
                  <w:pPr>
                    <w:pStyle w:val="32"/>
                    <w:rPr>
                      <w:color w:val="auto"/>
                    </w:rPr>
                  </w:pPr>
                  <w:r>
                    <w:rPr>
                      <w:color w:val="auto"/>
                    </w:rPr>
                    <w:t>浓度mg/m</w:t>
                  </w:r>
                  <w:r>
                    <w:rPr>
                      <w:color w:val="auto"/>
                      <w:vertAlign w:val="superscript"/>
                    </w:rPr>
                    <w:t>3</w:t>
                  </w:r>
                </w:p>
              </w:tc>
              <w:tc>
                <w:tcPr>
                  <w:tcW w:w="780" w:type="dxa"/>
                  <w:vAlign w:val="center"/>
                </w:tcPr>
                <w:p w14:paraId="33B2D637">
                  <w:pPr>
                    <w:pStyle w:val="32"/>
                    <w:rPr>
                      <w:color w:val="auto"/>
                    </w:rPr>
                  </w:pPr>
                  <w:r>
                    <w:rPr>
                      <w:color w:val="auto"/>
                    </w:rPr>
                    <w:t>速率kg/h</w:t>
                  </w:r>
                </w:p>
              </w:tc>
              <w:tc>
                <w:tcPr>
                  <w:tcW w:w="1037" w:type="dxa"/>
                  <w:vAlign w:val="center"/>
                </w:tcPr>
                <w:p w14:paraId="6ED0CED9">
                  <w:pPr>
                    <w:pStyle w:val="32"/>
                    <w:rPr>
                      <w:color w:val="auto"/>
                    </w:rPr>
                  </w:pPr>
                  <w:r>
                    <w:rPr>
                      <w:color w:val="auto"/>
                    </w:rPr>
                    <w:t>排放量t/a</w:t>
                  </w:r>
                </w:p>
              </w:tc>
              <w:tc>
                <w:tcPr>
                  <w:tcW w:w="1212" w:type="dxa"/>
                  <w:vAlign w:val="center"/>
                </w:tcPr>
                <w:p w14:paraId="5B9C56FD">
                  <w:pPr>
                    <w:pStyle w:val="32"/>
                    <w:rPr>
                      <w:color w:val="auto"/>
                    </w:rPr>
                  </w:pPr>
                  <w:r>
                    <w:rPr>
                      <w:color w:val="auto"/>
                    </w:rPr>
                    <w:t>排气筒</w:t>
                  </w:r>
                </w:p>
              </w:tc>
            </w:tr>
            <w:tr w14:paraId="627D4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dxa"/>
                  <w:vAlign w:val="center"/>
                </w:tcPr>
                <w:p w14:paraId="08AD35B8">
                  <w:pPr>
                    <w:pStyle w:val="32"/>
                    <w:rPr>
                      <w:color w:val="auto"/>
                    </w:rPr>
                  </w:pPr>
                  <w:r>
                    <w:rPr>
                      <w:rFonts w:hint="eastAsia"/>
                      <w:color w:val="auto"/>
                    </w:rPr>
                    <w:t>筛分</w:t>
                  </w:r>
                </w:p>
              </w:tc>
              <w:tc>
                <w:tcPr>
                  <w:tcW w:w="756" w:type="dxa"/>
                  <w:vAlign w:val="center"/>
                </w:tcPr>
                <w:p w14:paraId="77F289B7">
                  <w:pPr>
                    <w:pStyle w:val="32"/>
                    <w:rPr>
                      <w:color w:val="auto"/>
                    </w:rPr>
                  </w:pPr>
                  <w:r>
                    <w:rPr>
                      <w:rFonts w:hint="eastAsia"/>
                      <w:color w:val="auto"/>
                    </w:rPr>
                    <w:t>2400</w:t>
                  </w:r>
                </w:p>
              </w:tc>
              <w:tc>
                <w:tcPr>
                  <w:tcW w:w="772" w:type="dxa"/>
                  <w:vAlign w:val="center"/>
                </w:tcPr>
                <w:p w14:paraId="2E9A2253">
                  <w:pPr>
                    <w:pStyle w:val="32"/>
                    <w:rPr>
                      <w:rFonts w:hint="default" w:eastAsia="宋体"/>
                      <w:color w:val="auto"/>
                      <w:lang w:val="en-US" w:eastAsia="zh-CN"/>
                    </w:rPr>
                  </w:pPr>
                  <w:r>
                    <w:rPr>
                      <w:rFonts w:hint="eastAsia"/>
                      <w:color w:val="auto"/>
                      <w:lang w:val="en-US" w:eastAsia="zh-CN"/>
                    </w:rPr>
                    <w:t>8000</w:t>
                  </w:r>
                </w:p>
              </w:tc>
              <w:tc>
                <w:tcPr>
                  <w:tcW w:w="919" w:type="dxa"/>
                  <w:vAlign w:val="center"/>
                </w:tcPr>
                <w:p w14:paraId="6A2392E8">
                  <w:pPr>
                    <w:pStyle w:val="32"/>
                    <w:rPr>
                      <w:color w:val="auto"/>
                    </w:rPr>
                  </w:pPr>
                  <w:r>
                    <w:rPr>
                      <w:rFonts w:hint="eastAsia"/>
                      <w:color w:val="auto"/>
                    </w:rPr>
                    <w:t>颗粒物</w:t>
                  </w:r>
                </w:p>
              </w:tc>
              <w:tc>
                <w:tcPr>
                  <w:tcW w:w="834" w:type="dxa"/>
                  <w:vAlign w:val="center"/>
                </w:tcPr>
                <w:p w14:paraId="71C7B66E">
                  <w:pPr>
                    <w:pStyle w:val="32"/>
                    <w:rPr>
                      <w:rFonts w:hint="default" w:eastAsia="宋体"/>
                      <w:color w:val="auto"/>
                      <w:highlight w:val="none"/>
                      <w:lang w:val="en-US" w:eastAsia="zh-CN"/>
                    </w:rPr>
                  </w:pPr>
                  <w:r>
                    <w:rPr>
                      <w:rFonts w:hint="eastAsia"/>
                      <w:color w:val="auto"/>
                      <w:highlight w:val="none"/>
                      <w:lang w:val="en-US" w:eastAsia="zh-CN"/>
                    </w:rPr>
                    <w:t>198.25</w:t>
                  </w:r>
                </w:p>
              </w:tc>
              <w:tc>
                <w:tcPr>
                  <w:tcW w:w="833" w:type="dxa"/>
                  <w:vAlign w:val="center"/>
                </w:tcPr>
                <w:p w14:paraId="15AE863C">
                  <w:pPr>
                    <w:pStyle w:val="32"/>
                    <w:rPr>
                      <w:rFonts w:hint="default" w:eastAsia="宋体"/>
                      <w:color w:val="auto"/>
                      <w:highlight w:val="none"/>
                      <w:lang w:val="en-US" w:eastAsia="zh-CN"/>
                    </w:rPr>
                  </w:pPr>
                  <w:r>
                    <w:rPr>
                      <w:rFonts w:hint="eastAsia"/>
                      <w:color w:val="auto"/>
                      <w:highlight w:val="none"/>
                      <w:lang w:val="en-US" w:eastAsia="zh-CN"/>
                    </w:rPr>
                    <w:t>1.586</w:t>
                  </w:r>
                </w:p>
              </w:tc>
              <w:tc>
                <w:tcPr>
                  <w:tcW w:w="849" w:type="dxa"/>
                  <w:vAlign w:val="center"/>
                </w:tcPr>
                <w:p w14:paraId="63607167">
                  <w:pPr>
                    <w:pStyle w:val="32"/>
                    <w:topLinePunct/>
                    <w:rPr>
                      <w:rFonts w:hint="default" w:eastAsia="宋体"/>
                      <w:color w:val="auto"/>
                      <w:lang w:val="en-US" w:eastAsia="zh-CN"/>
                    </w:rPr>
                  </w:pPr>
                  <w:r>
                    <w:rPr>
                      <w:rFonts w:hint="eastAsia"/>
                      <w:color w:val="auto"/>
                      <w:lang w:val="en-US" w:eastAsia="zh-CN"/>
                    </w:rPr>
                    <w:t>3.808</w:t>
                  </w:r>
                </w:p>
              </w:tc>
              <w:tc>
                <w:tcPr>
                  <w:tcW w:w="1272" w:type="dxa"/>
                  <w:vAlign w:val="center"/>
                </w:tcPr>
                <w:p w14:paraId="05EB72CF">
                  <w:pPr>
                    <w:pStyle w:val="32"/>
                    <w:rPr>
                      <w:color w:val="auto"/>
                    </w:rPr>
                  </w:pPr>
                  <w:r>
                    <w:rPr>
                      <w:rFonts w:hint="eastAsia"/>
                      <w:color w:val="auto"/>
                    </w:rPr>
                    <w:t>脉冲布袋除尘器</w:t>
                  </w:r>
                  <w:r>
                    <w:rPr>
                      <w:color w:val="auto"/>
                    </w:rPr>
                    <w:t>+15m高排气筒（DA00</w:t>
                  </w:r>
                  <w:r>
                    <w:rPr>
                      <w:rFonts w:hint="eastAsia"/>
                      <w:color w:val="auto"/>
                    </w:rPr>
                    <w:t>1</w:t>
                  </w:r>
                  <w:r>
                    <w:rPr>
                      <w:color w:val="auto"/>
                    </w:rPr>
                    <w:t>）</w:t>
                  </w:r>
                </w:p>
              </w:tc>
              <w:tc>
                <w:tcPr>
                  <w:tcW w:w="737" w:type="dxa"/>
                  <w:vAlign w:val="center"/>
                </w:tcPr>
                <w:p w14:paraId="34A02260">
                  <w:pPr>
                    <w:jc w:val="center"/>
                    <w:rPr>
                      <w:color w:val="auto"/>
                      <w:szCs w:val="21"/>
                    </w:rPr>
                  </w:pPr>
                  <w:r>
                    <w:rPr>
                      <w:rFonts w:hint="eastAsia"/>
                      <w:color w:val="auto"/>
                    </w:rPr>
                    <w:t>95</w:t>
                  </w:r>
                </w:p>
              </w:tc>
              <w:tc>
                <w:tcPr>
                  <w:tcW w:w="720" w:type="dxa"/>
                  <w:vAlign w:val="center"/>
                </w:tcPr>
                <w:p w14:paraId="7E539909">
                  <w:pPr>
                    <w:pStyle w:val="32"/>
                    <w:rPr>
                      <w:rFonts w:hint="default" w:eastAsia="宋体"/>
                      <w:color w:val="auto"/>
                      <w:lang w:val="en-US" w:eastAsia="zh-CN"/>
                    </w:rPr>
                  </w:pPr>
                  <w:r>
                    <w:rPr>
                      <w:rFonts w:hint="eastAsia"/>
                      <w:color w:val="auto"/>
                      <w:lang w:val="en-US" w:eastAsia="zh-CN"/>
                    </w:rPr>
                    <w:t>8000</w:t>
                  </w:r>
                </w:p>
              </w:tc>
              <w:tc>
                <w:tcPr>
                  <w:tcW w:w="828" w:type="dxa"/>
                  <w:vAlign w:val="center"/>
                </w:tcPr>
                <w:p w14:paraId="6822D824">
                  <w:pPr>
                    <w:pStyle w:val="32"/>
                    <w:rPr>
                      <w:rFonts w:hint="default" w:eastAsia="宋体"/>
                      <w:color w:val="auto"/>
                      <w:lang w:val="en-US" w:eastAsia="zh-CN"/>
                    </w:rPr>
                  </w:pPr>
                  <w:r>
                    <w:rPr>
                      <w:rFonts w:hint="eastAsia"/>
                      <w:color w:val="auto"/>
                      <w:lang w:val="en-US" w:eastAsia="zh-CN"/>
                    </w:rPr>
                    <w:t>9.375</w:t>
                  </w:r>
                </w:p>
              </w:tc>
              <w:tc>
                <w:tcPr>
                  <w:tcW w:w="780" w:type="dxa"/>
                  <w:vAlign w:val="center"/>
                </w:tcPr>
                <w:p w14:paraId="1BCAD03F">
                  <w:pPr>
                    <w:pStyle w:val="32"/>
                    <w:rPr>
                      <w:rFonts w:hint="default" w:eastAsia="宋体"/>
                      <w:color w:val="auto"/>
                      <w:lang w:val="en-US" w:eastAsia="zh-CN"/>
                    </w:rPr>
                  </w:pPr>
                  <w:r>
                    <w:rPr>
                      <w:rFonts w:hint="eastAsia"/>
                      <w:color w:val="auto"/>
                      <w:lang w:val="en-US" w:eastAsia="zh-CN"/>
                    </w:rPr>
                    <w:t>0.075</w:t>
                  </w:r>
                </w:p>
              </w:tc>
              <w:tc>
                <w:tcPr>
                  <w:tcW w:w="1037" w:type="dxa"/>
                  <w:vAlign w:val="center"/>
                </w:tcPr>
                <w:p w14:paraId="4EA3BB55">
                  <w:pPr>
                    <w:pStyle w:val="32"/>
                    <w:rPr>
                      <w:rFonts w:hint="default" w:eastAsia="宋体"/>
                      <w:color w:val="auto"/>
                      <w:lang w:val="en-US" w:eastAsia="zh-CN"/>
                    </w:rPr>
                  </w:pPr>
                  <w:r>
                    <w:rPr>
                      <w:rFonts w:hint="eastAsia"/>
                      <w:color w:val="auto"/>
                      <w:lang w:val="en-US" w:eastAsia="zh-CN"/>
                    </w:rPr>
                    <w:t>0.18</w:t>
                  </w:r>
                </w:p>
              </w:tc>
              <w:tc>
                <w:tcPr>
                  <w:tcW w:w="1212" w:type="dxa"/>
                  <w:vAlign w:val="center"/>
                </w:tcPr>
                <w:p w14:paraId="7A56796D">
                  <w:pPr>
                    <w:pStyle w:val="32"/>
                    <w:rPr>
                      <w:color w:val="auto"/>
                    </w:rPr>
                  </w:pPr>
                  <w:r>
                    <w:rPr>
                      <w:color w:val="auto"/>
                    </w:rPr>
                    <w:t>内径</w:t>
                  </w:r>
                  <w:r>
                    <w:rPr>
                      <w:rFonts w:hint="eastAsia"/>
                      <w:color w:val="auto"/>
                    </w:rPr>
                    <w:t>0.</w:t>
                  </w:r>
                  <w:r>
                    <w:rPr>
                      <w:rFonts w:hint="eastAsia"/>
                      <w:color w:val="auto"/>
                      <w:lang w:val="en-US" w:eastAsia="zh-CN"/>
                    </w:rPr>
                    <w:t>5</w:t>
                  </w:r>
                  <w:r>
                    <w:rPr>
                      <w:color w:val="auto"/>
                    </w:rPr>
                    <w:t>m，高</w:t>
                  </w:r>
                  <w:r>
                    <w:rPr>
                      <w:rFonts w:hint="eastAsia"/>
                      <w:color w:val="auto"/>
                    </w:rPr>
                    <w:t>15</w:t>
                  </w:r>
                  <w:r>
                    <w:rPr>
                      <w:color w:val="auto"/>
                    </w:rPr>
                    <w:t>m</w:t>
                  </w:r>
                </w:p>
              </w:tc>
            </w:tr>
            <w:tr w14:paraId="75B23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dxa"/>
                  <w:vAlign w:val="center"/>
                </w:tcPr>
                <w:p w14:paraId="7BA88C6C">
                  <w:pPr>
                    <w:pStyle w:val="32"/>
                    <w:rPr>
                      <w:color w:val="auto"/>
                    </w:rPr>
                  </w:pPr>
                  <w:r>
                    <w:rPr>
                      <w:rFonts w:hint="eastAsia"/>
                      <w:color w:val="auto"/>
                    </w:rPr>
                    <w:t>卸料</w:t>
                  </w:r>
                </w:p>
              </w:tc>
              <w:tc>
                <w:tcPr>
                  <w:tcW w:w="756" w:type="dxa"/>
                  <w:vAlign w:val="center"/>
                </w:tcPr>
                <w:p w14:paraId="0C1FF6AF">
                  <w:pPr>
                    <w:pStyle w:val="32"/>
                    <w:rPr>
                      <w:color w:val="auto"/>
                    </w:rPr>
                  </w:pPr>
                  <w:r>
                    <w:rPr>
                      <w:rFonts w:hint="eastAsia"/>
                      <w:color w:val="auto"/>
                    </w:rPr>
                    <w:t>2400</w:t>
                  </w:r>
                </w:p>
              </w:tc>
              <w:tc>
                <w:tcPr>
                  <w:tcW w:w="772" w:type="dxa"/>
                  <w:vAlign w:val="center"/>
                </w:tcPr>
                <w:p w14:paraId="41475D55">
                  <w:pPr>
                    <w:pStyle w:val="32"/>
                    <w:rPr>
                      <w:rFonts w:hint="default" w:eastAsia="宋体"/>
                      <w:color w:val="auto"/>
                      <w:lang w:val="en-US" w:eastAsia="zh-CN"/>
                    </w:rPr>
                  </w:pPr>
                  <w:r>
                    <w:rPr>
                      <w:rFonts w:hint="eastAsia"/>
                      <w:color w:val="auto"/>
                      <w:lang w:val="en-US" w:eastAsia="zh-CN"/>
                    </w:rPr>
                    <w:t>30000</w:t>
                  </w:r>
                </w:p>
              </w:tc>
              <w:tc>
                <w:tcPr>
                  <w:tcW w:w="919" w:type="dxa"/>
                  <w:vAlign w:val="center"/>
                </w:tcPr>
                <w:p w14:paraId="69D463D6">
                  <w:pPr>
                    <w:pStyle w:val="32"/>
                    <w:rPr>
                      <w:color w:val="auto"/>
                    </w:rPr>
                  </w:pPr>
                  <w:r>
                    <w:rPr>
                      <w:rFonts w:hint="eastAsia"/>
                      <w:color w:val="auto"/>
                    </w:rPr>
                    <w:t>颗粒物</w:t>
                  </w:r>
                </w:p>
              </w:tc>
              <w:tc>
                <w:tcPr>
                  <w:tcW w:w="834" w:type="dxa"/>
                  <w:vAlign w:val="center"/>
                </w:tcPr>
                <w:p w14:paraId="14070068">
                  <w:pPr>
                    <w:pStyle w:val="32"/>
                    <w:rPr>
                      <w:rFonts w:hint="default" w:eastAsia="宋体"/>
                      <w:color w:val="auto"/>
                      <w:lang w:val="en-US" w:eastAsia="zh-CN"/>
                    </w:rPr>
                  </w:pPr>
                  <w:r>
                    <w:rPr>
                      <w:rFonts w:hint="eastAsia"/>
                      <w:color w:val="auto"/>
                      <w:lang w:val="en-US" w:eastAsia="zh-CN"/>
                    </w:rPr>
                    <w:t>68.53</w:t>
                  </w:r>
                </w:p>
              </w:tc>
              <w:tc>
                <w:tcPr>
                  <w:tcW w:w="833" w:type="dxa"/>
                  <w:vAlign w:val="center"/>
                </w:tcPr>
                <w:p w14:paraId="6BA74C54">
                  <w:pPr>
                    <w:pStyle w:val="32"/>
                    <w:rPr>
                      <w:rFonts w:hint="default" w:eastAsia="宋体"/>
                      <w:color w:val="auto"/>
                      <w:lang w:val="en-US" w:eastAsia="zh-CN"/>
                    </w:rPr>
                  </w:pPr>
                  <w:r>
                    <w:rPr>
                      <w:rFonts w:hint="eastAsia"/>
                      <w:color w:val="auto"/>
                      <w:lang w:val="en-US" w:eastAsia="zh-CN"/>
                    </w:rPr>
                    <w:t>2.056</w:t>
                  </w:r>
                </w:p>
              </w:tc>
              <w:tc>
                <w:tcPr>
                  <w:tcW w:w="849" w:type="dxa"/>
                  <w:vAlign w:val="center"/>
                </w:tcPr>
                <w:p w14:paraId="0C281559">
                  <w:pPr>
                    <w:pStyle w:val="32"/>
                    <w:topLinePunct/>
                    <w:rPr>
                      <w:rFonts w:hint="default" w:eastAsia="宋体"/>
                      <w:color w:val="auto"/>
                      <w:lang w:val="en-US" w:eastAsia="zh-CN"/>
                    </w:rPr>
                  </w:pPr>
                  <w:r>
                    <w:rPr>
                      <w:rFonts w:hint="eastAsia"/>
                      <w:color w:val="auto"/>
                      <w:lang w:val="en-US" w:eastAsia="zh-CN"/>
                    </w:rPr>
                    <w:t>4.936</w:t>
                  </w:r>
                </w:p>
              </w:tc>
              <w:tc>
                <w:tcPr>
                  <w:tcW w:w="1272" w:type="dxa"/>
                  <w:vAlign w:val="center"/>
                </w:tcPr>
                <w:p w14:paraId="78C7C148">
                  <w:pPr>
                    <w:pStyle w:val="32"/>
                    <w:rPr>
                      <w:rFonts w:hint="eastAsia" w:eastAsia="宋体"/>
                      <w:color w:val="auto"/>
                      <w:lang w:eastAsia="zh-CN"/>
                    </w:rPr>
                  </w:pPr>
                  <w:r>
                    <w:rPr>
                      <w:rFonts w:hint="eastAsia"/>
                      <w:color w:val="auto"/>
                    </w:rPr>
                    <w:t>布袋除尘器（TA002）+</w:t>
                  </w:r>
                  <w:r>
                    <w:rPr>
                      <w:rFonts w:hint="eastAsia"/>
                      <w:color w:val="auto"/>
                      <w:lang w:val="en-US" w:eastAsia="zh-CN"/>
                    </w:rPr>
                    <w:t>15</w:t>
                  </w:r>
                  <w:r>
                    <w:rPr>
                      <w:rFonts w:hint="eastAsia"/>
                      <w:color w:val="auto"/>
                    </w:rPr>
                    <w:t>m高排气筒</w:t>
                  </w:r>
                  <w:r>
                    <w:rPr>
                      <w:rFonts w:hint="eastAsia"/>
                      <w:color w:val="auto"/>
                      <w:lang w:eastAsia="zh-CN"/>
                    </w:rPr>
                    <w:t>（</w:t>
                  </w:r>
                  <w:r>
                    <w:rPr>
                      <w:rFonts w:hint="eastAsia"/>
                      <w:color w:val="auto"/>
                      <w:lang w:val="en-US" w:eastAsia="zh-CN"/>
                    </w:rPr>
                    <w:t>DA002</w:t>
                  </w:r>
                  <w:r>
                    <w:rPr>
                      <w:rFonts w:hint="eastAsia"/>
                      <w:color w:val="auto"/>
                      <w:lang w:eastAsia="zh-CN"/>
                    </w:rPr>
                    <w:t>）</w:t>
                  </w:r>
                </w:p>
              </w:tc>
              <w:tc>
                <w:tcPr>
                  <w:tcW w:w="737" w:type="dxa"/>
                  <w:vAlign w:val="center"/>
                </w:tcPr>
                <w:p w14:paraId="224EF213">
                  <w:pPr>
                    <w:jc w:val="center"/>
                    <w:rPr>
                      <w:color w:val="auto"/>
                      <w:szCs w:val="21"/>
                    </w:rPr>
                  </w:pPr>
                  <w:r>
                    <w:rPr>
                      <w:rFonts w:hint="eastAsia"/>
                      <w:color w:val="auto"/>
                    </w:rPr>
                    <w:t>95</w:t>
                  </w:r>
                </w:p>
              </w:tc>
              <w:tc>
                <w:tcPr>
                  <w:tcW w:w="720" w:type="dxa"/>
                  <w:vAlign w:val="center"/>
                </w:tcPr>
                <w:p w14:paraId="49A993C0">
                  <w:pPr>
                    <w:pStyle w:val="32"/>
                    <w:rPr>
                      <w:rFonts w:hint="default" w:eastAsia="宋体"/>
                      <w:color w:val="auto"/>
                      <w:lang w:val="en-US" w:eastAsia="zh-CN"/>
                    </w:rPr>
                  </w:pPr>
                  <w:r>
                    <w:rPr>
                      <w:rFonts w:hint="eastAsia"/>
                      <w:color w:val="auto"/>
                      <w:lang w:val="en-US" w:eastAsia="zh-CN"/>
                    </w:rPr>
                    <w:t>30000</w:t>
                  </w:r>
                </w:p>
              </w:tc>
              <w:tc>
                <w:tcPr>
                  <w:tcW w:w="828" w:type="dxa"/>
                  <w:vAlign w:val="center"/>
                </w:tcPr>
                <w:p w14:paraId="09960638">
                  <w:pPr>
                    <w:pStyle w:val="32"/>
                    <w:rPr>
                      <w:rFonts w:hint="default" w:eastAsia="宋体"/>
                      <w:color w:val="auto"/>
                      <w:lang w:val="en-US" w:eastAsia="zh-CN"/>
                    </w:rPr>
                  </w:pPr>
                  <w:r>
                    <w:rPr>
                      <w:rFonts w:hint="eastAsia"/>
                      <w:color w:val="auto"/>
                      <w:lang w:val="en-US" w:eastAsia="zh-CN"/>
                    </w:rPr>
                    <w:t>3.07</w:t>
                  </w:r>
                </w:p>
              </w:tc>
              <w:tc>
                <w:tcPr>
                  <w:tcW w:w="780" w:type="dxa"/>
                  <w:vAlign w:val="center"/>
                </w:tcPr>
                <w:p w14:paraId="5B79412C">
                  <w:pPr>
                    <w:pStyle w:val="32"/>
                    <w:rPr>
                      <w:rFonts w:hint="default" w:eastAsia="宋体"/>
                      <w:color w:val="auto"/>
                      <w:lang w:val="en-US" w:eastAsia="zh-CN"/>
                    </w:rPr>
                  </w:pPr>
                  <w:r>
                    <w:rPr>
                      <w:rFonts w:hint="eastAsia"/>
                      <w:color w:val="auto"/>
                      <w:lang w:val="en-US" w:eastAsia="zh-CN"/>
                    </w:rPr>
                    <w:t>0.092</w:t>
                  </w:r>
                </w:p>
              </w:tc>
              <w:tc>
                <w:tcPr>
                  <w:tcW w:w="1037" w:type="dxa"/>
                  <w:vAlign w:val="center"/>
                </w:tcPr>
                <w:p w14:paraId="55C622FA">
                  <w:pPr>
                    <w:pStyle w:val="32"/>
                    <w:topLinePunct/>
                    <w:rPr>
                      <w:rFonts w:hint="default" w:eastAsia="宋体"/>
                      <w:color w:val="auto"/>
                      <w:lang w:val="en-US" w:eastAsia="zh-CN"/>
                    </w:rPr>
                  </w:pPr>
                  <w:r>
                    <w:rPr>
                      <w:rFonts w:hint="eastAsia"/>
                      <w:color w:val="auto"/>
                      <w:lang w:val="en-US" w:eastAsia="zh-CN"/>
                    </w:rPr>
                    <w:t>0.222</w:t>
                  </w:r>
                </w:p>
              </w:tc>
              <w:tc>
                <w:tcPr>
                  <w:tcW w:w="1212" w:type="dxa"/>
                  <w:vAlign w:val="center"/>
                </w:tcPr>
                <w:p w14:paraId="2D38C389">
                  <w:pPr>
                    <w:pStyle w:val="32"/>
                    <w:rPr>
                      <w:color w:val="auto"/>
                    </w:rPr>
                  </w:pPr>
                  <w:r>
                    <w:rPr>
                      <w:color w:val="auto"/>
                    </w:rPr>
                    <w:t>内径</w:t>
                  </w:r>
                  <w:r>
                    <w:rPr>
                      <w:rFonts w:hint="eastAsia"/>
                      <w:color w:val="auto"/>
                      <w:lang w:val="en-US" w:eastAsia="zh-CN"/>
                    </w:rPr>
                    <w:t>0.9</w:t>
                  </w:r>
                  <w:r>
                    <w:rPr>
                      <w:color w:val="auto"/>
                    </w:rPr>
                    <w:t>m，高</w:t>
                  </w:r>
                  <w:r>
                    <w:rPr>
                      <w:rFonts w:hint="eastAsia"/>
                      <w:color w:val="auto"/>
                      <w:lang w:val="en-US" w:eastAsia="zh-CN"/>
                    </w:rPr>
                    <w:t>15</w:t>
                  </w:r>
                  <w:r>
                    <w:rPr>
                      <w:color w:val="auto"/>
                    </w:rPr>
                    <w:t>m</w:t>
                  </w:r>
                </w:p>
              </w:tc>
            </w:tr>
            <w:tr w14:paraId="18A79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752" w:type="dxa"/>
                  <w:vAlign w:val="center"/>
                </w:tcPr>
                <w:p w14:paraId="51B9A444">
                  <w:pPr>
                    <w:pStyle w:val="32"/>
                    <w:rPr>
                      <w:color w:val="auto"/>
                    </w:rPr>
                  </w:pPr>
                  <w:r>
                    <w:rPr>
                      <w:rFonts w:hint="eastAsia"/>
                      <w:color w:val="auto"/>
                    </w:rPr>
                    <w:t>烘干</w:t>
                  </w:r>
                </w:p>
              </w:tc>
              <w:tc>
                <w:tcPr>
                  <w:tcW w:w="756" w:type="dxa"/>
                  <w:vAlign w:val="center"/>
                </w:tcPr>
                <w:p w14:paraId="59DF9C4B">
                  <w:pPr>
                    <w:pStyle w:val="32"/>
                    <w:rPr>
                      <w:color w:val="auto"/>
                    </w:rPr>
                  </w:pPr>
                  <w:r>
                    <w:rPr>
                      <w:rFonts w:hint="eastAsia"/>
                      <w:color w:val="auto"/>
                    </w:rPr>
                    <w:t>400</w:t>
                  </w:r>
                </w:p>
              </w:tc>
              <w:tc>
                <w:tcPr>
                  <w:tcW w:w="772" w:type="dxa"/>
                  <w:vAlign w:val="center"/>
                </w:tcPr>
                <w:p w14:paraId="727BD00C">
                  <w:pPr>
                    <w:pStyle w:val="32"/>
                    <w:rPr>
                      <w:rFonts w:hint="default" w:eastAsia="宋体"/>
                      <w:color w:val="auto"/>
                      <w:lang w:val="en-US" w:eastAsia="zh-CN"/>
                    </w:rPr>
                  </w:pPr>
                  <w:r>
                    <w:rPr>
                      <w:rFonts w:hint="eastAsia"/>
                      <w:color w:val="auto"/>
                      <w:lang w:val="en-US" w:eastAsia="zh-CN"/>
                    </w:rPr>
                    <w:t>12000</w:t>
                  </w:r>
                </w:p>
              </w:tc>
              <w:tc>
                <w:tcPr>
                  <w:tcW w:w="919" w:type="dxa"/>
                  <w:vAlign w:val="center"/>
                </w:tcPr>
                <w:p w14:paraId="12E93E4B">
                  <w:pPr>
                    <w:pStyle w:val="32"/>
                    <w:rPr>
                      <w:color w:val="auto"/>
                    </w:rPr>
                  </w:pPr>
                  <w:r>
                    <w:rPr>
                      <w:rFonts w:hint="eastAsia"/>
                      <w:color w:val="auto"/>
                    </w:rPr>
                    <w:t>颗粒物</w:t>
                  </w:r>
                </w:p>
              </w:tc>
              <w:tc>
                <w:tcPr>
                  <w:tcW w:w="834" w:type="dxa"/>
                  <w:vAlign w:val="center"/>
                </w:tcPr>
                <w:p w14:paraId="1907864F">
                  <w:pPr>
                    <w:pStyle w:val="32"/>
                    <w:rPr>
                      <w:rFonts w:hint="default" w:eastAsia="宋体"/>
                      <w:color w:val="auto"/>
                      <w:lang w:val="en-US" w:eastAsia="zh-CN"/>
                    </w:rPr>
                  </w:pPr>
                  <w:r>
                    <w:rPr>
                      <w:rFonts w:hint="eastAsia"/>
                      <w:color w:val="auto"/>
                      <w:lang w:val="en-US" w:eastAsia="zh-CN"/>
                    </w:rPr>
                    <w:t>764.33</w:t>
                  </w:r>
                </w:p>
              </w:tc>
              <w:tc>
                <w:tcPr>
                  <w:tcW w:w="833" w:type="dxa"/>
                  <w:vAlign w:val="center"/>
                </w:tcPr>
                <w:p w14:paraId="50B84DFA">
                  <w:pPr>
                    <w:pStyle w:val="32"/>
                    <w:rPr>
                      <w:rFonts w:hint="default" w:eastAsia="宋体"/>
                      <w:color w:val="auto"/>
                      <w:lang w:val="en-US" w:eastAsia="zh-CN"/>
                    </w:rPr>
                  </w:pPr>
                  <w:r>
                    <w:rPr>
                      <w:rFonts w:hint="eastAsia"/>
                      <w:color w:val="auto"/>
                      <w:lang w:val="en-US" w:eastAsia="zh-CN"/>
                    </w:rPr>
                    <w:t>9.172</w:t>
                  </w:r>
                </w:p>
              </w:tc>
              <w:tc>
                <w:tcPr>
                  <w:tcW w:w="849" w:type="dxa"/>
                  <w:vAlign w:val="center"/>
                </w:tcPr>
                <w:p w14:paraId="49946263">
                  <w:pPr>
                    <w:pStyle w:val="32"/>
                    <w:topLinePunct/>
                    <w:rPr>
                      <w:rFonts w:hint="default" w:eastAsia="宋体"/>
                      <w:color w:val="auto"/>
                      <w:lang w:val="en-US" w:eastAsia="zh-CN"/>
                    </w:rPr>
                  </w:pPr>
                  <w:r>
                    <w:rPr>
                      <w:rFonts w:hint="eastAsia"/>
                      <w:color w:val="auto"/>
                      <w:lang w:val="en-US" w:eastAsia="zh-CN"/>
                    </w:rPr>
                    <w:t>3.669</w:t>
                  </w:r>
                </w:p>
              </w:tc>
              <w:tc>
                <w:tcPr>
                  <w:tcW w:w="1272" w:type="dxa"/>
                  <w:vAlign w:val="center"/>
                </w:tcPr>
                <w:p w14:paraId="37BF91D6">
                  <w:pPr>
                    <w:pStyle w:val="32"/>
                    <w:rPr>
                      <w:rFonts w:hint="default" w:eastAsia="宋体"/>
                      <w:color w:val="auto"/>
                      <w:lang w:val="en-US" w:eastAsia="zh-CN"/>
                    </w:rPr>
                  </w:pPr>
                  <w:r>
                    <w:rPr>
                      <w:rFonts w:hint="eastAsia"/>
                      <w:color w:val="auto"/>
                      <w:lang w:val="en-US" w:eastAsia="zh-CN"/>
                    </w:rPr>
                    <w:t>密闭收集+布袋除尘器（TA004）处理（DA004）</w:t>
                  </w:r>
                </w:p>
              </w:tc>
              <w:tc>
                <w:tcPr>
                  <w:tcW w:w="737" w:type="dxa"/>
                  <w:vAlign w:val="center"/>
                </w:tcPr>
                <w:p w14:paraId="7E7FA77B">
                  <w:pPr>
                    <w:jc w:val="center"/>
                    <w:rPr>
                      <w:rFonts w:hint="default" w:eastAsia="宋体"/>
                      <w:color w:val="auto"/>
                      <w:szCs w:val="21"/>
                      <w:lang w:val="en-US" w:eastAsia="zh-CN"/>
                    </w:rPr>
                  </w:pPr>
                  <w:r>
                    <w:rPr>
                      <w:rFonts w:hint="eastAsia"/>
                      <w:color w:val="auto"/>
                      <w:szCs w:val="21"/>
                      <w:lang w:val="en-US" w:eastAsia="zh-CN"/>
                    </w:rPr>
                    <w:t>95</w:t>
                  </w:r>
                </w:p>
              </w:tc>
              <w:tc>
                <w:tcPr>
                  <w:tcW w:w="720" w:type="dxa"/>
                  <w:vAlign w:val="center"/>
                </w:tcPr>
                <w:p w14:paraId="024916D1">
                  <w:pPr>
                    <w:pStyle w:val="32"/>
                    <w:rPr>
                      <w:rFonts w:hint="default" w:eastAsia="宋体"/>
                      <w:color w:val="auto"/>
                      <w:lang w:val="en-US" w:eastAsia="zh-CN"/>
                    </w:rPr>
                  </w:pPr>
                  <w:r>
                    <w:rPr>
                      <w:rFonts w:hint="eastAsia"/>
                      <w:color w:val="auto"/>
                      <w:lang w:val="en-US" w:eastAsia="zh-CN"/>
                    </w:rPr>
                    <w:t>12000</w:t>
                  </w:r>
                </w:p>
              </w:tc>
              <w:tc>
                <w:tcPr>
                  <w:tcW w:w="828" w:type="dxa"/>
                  <w:vAlign w:val="center"/>
                </w:tcPr>
                <w:p w14:paraId="48FD1097">
                  <w:pPr>
                    <w:pStyle w:val="32"/>
                    <w:rPr>
                      <w:rFonts w:hint="default" w:eastAsia="宋体"/>
                      <w:color w:val="auto"/>
                      <w:lang w:val="en-US" w:eastAsia="zh-CN"/>
                    </w:rPr>
                  </w:pPr>
                  <w:r>
                    <w:rPr>
                      <w:rFonts w:hint="eastAsia"/>
                      <w:color w:val="auto"/>
                      <w:lang w:val="en-US" w:eastAsia="zh-CN"/>
                    </w:rPr>
                    <w:t>43.33</w:t>
                  </w:r>
                </w:p>
              </w:tc>
              <w:tc>
                <w:tcPr>
                  <w:tcW w:w="780" w:type="dxa"/>
                  <w:vAlign w:val="center"/>
                </w:tcPr>
                <w:p w14:paraId="2F724155">
                  <w:pPr>
                    <w:pStyle w:val="32"/>
                    <w:rPr>
                      <w:rFonts w:hint="default" w:eastAsia="宋体"/>
                      <w:color w:val="auto"/>
                      <w:lang w:val="en-US" w:eastAsia="zh-CN"/>
                    </w:rPr>
                  </w:pPr>
                  <w:r>
                    <w:rPr>
                      <w:rFonts w:hint="eastAsia"/>
                      <w:color w:val="auto"/>
                      <w:lang w:val="en-US" w:eastAsia="zh-CN"/>
                    </w:rPr>
                    <w:t>0.52</w:t>
                  </w:r>
                </w:p>
              </w:tc>
              <w:tc>
                <w:tcPr>
                  <w:tcW w:w="1037" w:type="dxa"/>
                  <w:vAlign w:val="center"/>
                </w:tcPr>
                <w:p w14:paraId="4D412781">
                  <w:pPr>
                    <w:pStyle w:val="32"/>
                    <w:rPr>
                      <w:rFonts w:hint="default" w:eastAsia="宋体"/>
                      <w:color w:val="auto"/>
                      <w:lang w:val="en-US" w:eastAsia="zh-CN"/>
                    </w:rPr>
                  </w:pPr>
                  <w:r>
                    <w:rPr>
                      <w:rFonts w:hint="eastAsia"/>
                      <w:color w:val="auto"/>
                      <w:lang w:val="en-US" w:eastAsia="zh-CN"/>
                    </w:rPr>
                    <w:t>0.208</w:t>
                  </w:r>
                </w:p>
              </w:tc>
              <w:tc>
                <w:tcPr>
                  <w:tcW w:w="1212" w:type="dxa"/>
                  <w:vAlign w:val="center"/>
                </w:tcPr>
                <w:p w14:paraId="57956098">
                  <w:pPr>
                    <w:pStyle w:val="32"/>
                    <w:rPr>
                      <w:rFonts w:hint="default" w:eastAsia="宋体"/>
                      <w:color w:val="auto"/>
                      <w:lang w:val="en-US" w:eastAsia="zh-CN"/>
                    </w:rPr>
                  </w:pPr>
                  <w:r>
                    <w:rPr>
                      <w:rFonts w:hint="eastAsia"/>
                      <w:color w:val="auto"/>
                      <w:lang w:val="en-US" w:eastAsia="zh-CN"/>
                    </w:rPr>
                    <w:t>0.6m，高15m</w:t>
                  </w:r>
                </w:p>
              </w:tc>
            </w:tr>
            <w:tr w14:paraId="13B4C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dxa"/>
                  <w:vMerge w:val="restart"/>
                  <w:vAlign w:val="center"/>
                </w:tcPr>
                <w:p w14:paraId="6FEBED24">
                  <w:pPr>
                    <w:pStyle w:val="32"/>
                    <w:rPr>
                      <w:color w:val="auto"/>
                    </w:rPr>
                  </w:pPr>
                  <w:r>
                    <w:rPr>
                      <w:rFonts w:hint="eastAsia"/>
                      <w:color w:val="auto"/>
                    </w:rPr>
                    <w:t>生物质热风炉</w:t>
                  </w:r>
                </w:p>
              </w:tc>
              <w:tc>
                <w:tcPr>
                  <w:tcW w:w="756" w:type="dxa"/>
                  <w:vMerge w:val="restart"/>
                  <w:vAlign w:val="center"/>
                </w:tcPr>
                <w:p w14:paraId="48F56EC5">
                  <w:pPr>
                    <w:pStyle w:val="32"/>
                    <w:rPr>
                      <w:color w:val="auto"/>
                    </w:rPr>
                  </w:pPr>
                  <w:r>
                    <w:rPr>
                      <w:rFonts w:hint="eastAsia"/>
                      <w:color w:val="auto"/>
                    </w:rPr>
                    <w:t>400</w:t>
                  </w:r>
                </w:p>
              </w:tc>
              <w:tc>
                <w:tcPr>
                  <w:tcW w:w="772" w:type="dxa"/>
                  <w:vMerge w:val="restart"/>
                  <w:vAlign w:val="center"/>
                </w:tcPr>
                <w:p w14:paraId="0AA75C9A">
                  <w:pPr>
                    <w:pStyle w:val="32"/>
                    <w:rPr>
                      <w:rFonts w:hint="default" w:eastAsia="宋体"/>
                      <w:color w:val="auto"/>
                      <w:lang w:val="en-US" w:eastAsia="zh-CN"/>
                    </w:rPr>
                  </w:pPr>
                  <w:r>
                    <w:rPr>
                      <w:rStyle w:val="27"/>
                      <w:rFonts w:hint="eastAsia"/>
                      <w:color w:val="auto"/>
                      <w:kern w:val="0"/>
                      <w:lang w:val="en-US" w:eastAsia="zh-CN"/>
                    </w:rPr>
                    <w:t>8700</w:t>
                  </w:r>
                </w:p>
              </w:tc>
              <w:tc>
                <w:tcPr>
                  <w:tcW w:w="919" w:type="dxa"/>
                  <w:vAlign w:val="center"/>
                </w:tcPr>
                <w:p w14:paraId="51983C09">
                  <w:pPr>
                    <w:pStyle w:val="32"/>
                    <w:rPr>
                      <w:color w:val="auto"/>
                    </w:rPr>
                  </w:pPr>
                  <w:r>
                    <w:rPr>
                      <w:rFonts w:hint="eastAsia"/>
                      <w:color w:val="auto"/>
                    </w:rPr>
                    <w:t>颗粒物</w:t>
                  </w:r>
                </w:p>
              </w:tc>
              <w:tc>
                <w:tcPr>
                  <w:tcW w:w="834" w:type="dxa"/>
                  <w:vAlign w:val="center"/>
                </w:tcPr>
                <w:p w14:paraId="58441908">
                  <w:pPr>
                    <w:pStyle w:val="32"/>
                    <w:rPr>
                      <w:rFonts w:hint="default" w:eastAsia="宋体"/>
                      <w:color w:val="auto"/>
                      <w:lang w:val="en-US" w:eastAsia="zh-CN"/>
                    </w:rPr>
                  </w:pPr>
                  <w:r>
                    <w:rPr>
                      <w:rFonts w:hint="eastAsia"/>
                      <w:color w:val="auto"/>
                      <w:lang w:val="en-US" w:eastAsia="zh-CN"/>
                    </w:rPr>
                    <w:t>80.11</w:t>
                  </w:r>
                </w:p>
              </w:tc>
              <w:tc>
                <w:tcPr>
                  <w:tcW w:w="833" w:type="dxa"/>
                  <w:vAlign w:val="center"/>
                </w:tcPr>
                <w:p w14:paraId="47813A19">
                  <w:pPr>
                    <w:pStyle w:val="32"/>
                    <w:rPr>
                      <w:rFonts w:hint="default" w:eastAsia="宋体"/>
                      <w:color w:val="auto"/>
                      <w:lang w:val="en-US" w:eastAsia="zh-CN"/>
                    </w:rPr>
                  </w:pPr>
                  <w:r>
                    <w:rPr>
                      <w:rFonts w:hint="eastAsia"/>
                      <w:color w:val="auto"/>
                      <w:lang w:val="en-US" w:eastAsia="zh-CN"/>
                    </w:rPr>
                    <w:t>0.697</w:t>
                  </w:r>
                </w:p>
              </w:tc>
              <w:tc>
                <w:tcPr>
                  <w:tcW w:w="849" w:type="dxa"/>
                  <w:vAlign w:val="center"/>
                </w:tcPr>
                <w:p w14:paraId="439EA407">
                  <w:pPr>
                    <w:pStyle w:val="32"/>
                    <w:topLinePunct/>
                    <w:rPr>
                      <w:rFonts w:hint="default" w:eastAsia="宋体"/>
                      <w:color w:val="auto"/>
                      <w:lang w:val="en-US" w:eastAsia="zh-CN"/>
                    </w:rPr>
                  </w:pPr>
                  <w:r>
                    <w:rPr>
                      <w:rFonts w:hint="eastAsia"/>
                      <w:color w:val="auto"/>
                      <w:lang w:val="en-US" w:eastAsia="zh-CN"/>
                    </w:rPr>
                    <w:t>0.279</w:t>
                  </w:r>
                </w:p>
              </w:tc>
              <w:tc>
                <w:tcPr>
                  <w:tcW w:w="1272" w:type="dxa"/>
                  <w:vMerge w:val="restart"/>
                  <w:vAlign w:val="center"/>
                </w:tcPr>
                <w:p w14:paraId="38077D4E">
                  <w:pPr>
                    <w:pStyle w:val="32"/>
                    <w:rPr>
                      <w:color w:val="auto"/>
                    </w:rPr>
                  </w:pPr>
                  <w:r>
                    <w:rPr>
                      <w:rFonts w:hint="eastAsia"/>
                      <w:color w:val="auto"/>
                    </w:rPr>
                    <w:t>低氮燃烧</w:t>
                  </w:r>
                  <w:r>
                    <w:rPr>
                      <w:rFonts w:hint="eastAsia"/>
                      <w:color w:val="auto"/>
                      <w:lang w:val="en-US" w:eastAsia="zh-CN"/>
                    </w:rPr>
                    <w:t>技术、燃烧废气经</w:t>
                  </w:r>
                  <w:r>
                    <w:rPr>
                      <w:rFonts w:hint="eastAsia"/>
                      <w:color w:val="auto"/>
                    </w:rPr>
                    <w:t>布袋除尘器（TA00</w:t>
                  </w:r>
                  <w:r>
                    <w:rPr>
                      <w:rFonts w:hint="eastAsia"/>
                      <w:color w:val="auto"/>
                      <w:lang w:val="en-US" w:eastAsia="zh-CN"/>
                    </w:rPr>
                    <w:t>3</w:t>
                  </w:r>
                  <w:r>
                    <w:rPr>
                      <w:rFonts w:hint="eastAsia"/>
                      <w:color w:val="auto"/>
                    </w:rPr>
                    <w:t>）+40m高排气筒（DA00</w:t>
                  </w:r>
                  <w:r>
                    <w:rPr>
                      <w:rFonts w:hint="eastAsia"/>
                      <w:color w:val="auto"/>
                      <w:lang w:val="en-US" w:eastAsia="zh-CN"/>
                    </w:rPr>
                    <w:t>3</w:t>
                  </w:r>
                  <w:r>
                    <w:rPr>
                      <w:rFonts w:hint="eastAsia"/>
                      <w:color w:val="auto"/>
                    </w:rPr>
                    <w:t>）</w:t>
                  </w:r>
                </w:p>
              </w:tc>
              <w:tc>
                <w:tcPr>
                  <w:tcW w:w="737" w:type="dxa"/>
                  <w:vAlign w:val="center"/>
                </w:tcPr>
                <w:p w14:paraId="125EEE3C">
                  <w:pPr>
                    <w:pStyle w:val="32"/>
                    <w:topLinePunct/>
                    <w:rPr>
                      <w:rFonts w:hint="default" w:eastAsia="宋体"/>
                      <w:color w:val="auto"/>
                      <w:lang w:val="en-US" w:eastAsia="zh-CN"/>
                    </w:rPr>
                  </w:pPr>
                  <w:r>
                    <w:rPr>
                      <w:rFonts w:hint="eastAsia"/>
                      <w:color w:val="auto"/>
                      <w:lang w:val="en-US" w:eastAsia="zh-CN"/>
                    </w:rPr>
                    <w:t>95</w:t>
                  </w:r>
                </w:p>
              </w:tc>
              <w:tc>
                <w:tcPr>
                  <w:tcW w:w="720" w:type="dxa"/>
                  <w:vMerge w:val="restart"/>
                  <w:vAlign w:val="center"/>
                </w:tcPr>
                <w:p w14:paraId="5EE61F8E">
                  <w:pPr>
                    <w:pStyle w:val="32"/>
                    <w:rPr>
                      <w:rFonts w:hint="default" w:eastAsia="宋体"/>
                      <w:color w:val="auto"/>
                      <w:lang w:val="en-US" w:eastAsia="zh-CN"/>
                    </w:rPr>
                  </w:pPr>
                  <w:r>
                    <w:rPr>
                      <w:rFonts w:hint="eastAsia"/>
                      <w:color w:val="auto"/>
                      <w:lang w:val="en-US" w:eastAsia="zh-CN"/>
                    </w:rPr>
                    <w:t>8700</w:t>
                  </w:r>
                </w:p>
              </w:tc>
              <w:tc>
                <w:tcPr>
                  <w:tcW w:w="828" w:type="dxa"/>
                  <w:vAlign w:val="center"/>
                </w:tcPr>
                <w:p w14:paraId="3D55676C">
                  <w:pPr>
                    <w:pStyle w:val="32"/>
                    <w:rPr>
                      <w:rFonts w:hint="default" w:eastAsia="宋体"/>
                      <w:color w:val="auto"/>
                      <w:lang w:val="en-US" w:eastAsia="zh-CN"/>
                    </w:rPr>
                  </w:pPr>
                  <w:r>
                    <w:rPr>
                      <w:rFonts w:hint="eastAsia"/>
                      <w:color w:val="auto"/>
                      <w:lang w:val="en-US" w:eastAsia="zh-CN"/>
                    </w:rPr>
                    <w:t>4.02</w:t>
                  </w:r>
                </w:p>
              </w:tc>
              <w:tc>
                <w:tcPr>
                  <w:tcW w:w="780" w:type="dxa"/>
                  <w:vAlign w:val="center"/>
                </w:tcPr>
                <w:p w14:paraId="106D761A">
                  <w:pPr>
                    <w:pStyle w:val="32"/>
                    <w:rPr>
                      <w:rFonts w:hint="default" w:eastAsia="宋体"/>
                      <w:color w:val="auto"/>
                      <w:lang w:val="en-US" w:eastAsia="zh-CN"/>
                    </w:rPr>
                  </w:pPr>
                  <w:r>
                    <w:rPr>
                      <w:rFonts w:hint="eastAsia"/>
                      <w:color w:val="auto"/>
                      <w:lang w:val="en-US" w:eastAsia="zh-CN"/>
                    </w:rPr>
                    <w:t>0.035</w:t>
                  </w:r>
                </w:p>
              </w:tc>
              <w:tc>
                <w:tcPr>
                  <w:tcW w:w="1037" w:type="dxa"/>
                  <w:vAlign w:val="center"/>
                </w:tcPr>
                <w:p w14:paraId="52586B15">
                  <w:pPr>
                    <w:pStyle w:val="32"/>
                    <w:topLinePunct/>
                    <w:rPr>
                      <w:rFonts w:hint="default" w:eastAsia="宋体"/>
                      <w:color w:val="auto"/>
                      <w:lang w:val="en-US" w:eastAsia="zh-CN"/>
                    </w:rPr>
                  </w:pPr>
                  <w:r>
                    <w:rPr>
                      <w:rFonts w:hint="eastAsia"/>
                      <w:color w:val="auto"/>
                      <w:lang w:val="en-US" w:eastAsia="zh-CN"/>
                    </w:rPr>
                    <w:t>0.014</w:t>
                  </w:r>
                </w:p>
              </w:tc>
              <w:tc>
                <w:tcPr>
                  <w:tcW w:w="1212" w:type="dxa"/>
                  <w:vMerge w:val="restart"/>
                  <w:vAlign w:val="center"/>
                </w:tcPr>
                <w:p w14:paraId="2510E1D7">
                  <w:pPr>
                    <w:pStyle w:val="32"/>
                    <w:rPr>
                      <w:color w:val="auto"/>
                    </w:rPr>
                  </w:pPr>
                  <w:r>
                    <w:rPr>
                      <w:color w:val="auto"/>
                    </w:rPr>
                    <w:t>内径</w:t>
                  </w:r>
                  <w:r>
                    <w:rPr>
                      <w:rFonts w:hint="eastAsia"/>
                      <w:color w:val="auto"/>
                      <w:lang w:val="en-US" w:eastAsia="zh-CN"/>
                    </w:rPr>
                    <w:t>0.5</w:t>
                  </w:r>
                  <w:r>
                    <w:rPr>
                      <w:color w:val="auto"/>
                    </w:rPr>
                    <w:t>m，高</w:t>
                  </w:r>
                  <w:r>
                    <w:rPr>
                      <w:rFonts w:hint="eastAsia"/>
                      <w:color w:val="auto"/>
                      <w:lang w:val="en-US" w:eastAsia="zh-CN"/>
                    </w:rPr>
                    <w:t>40</w:t>
                  </w:r>
                  <w:r>
                    <w:rPr>
                      <w:color w:val="auto"/>
                    </w:rPr>
                    <w:t>m</w:t>
                  </w:r>
                </w:p>
              </w:tc>
            </w:tr>
            <w:tr w14:paraId="66F3C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dxa"/>
                  <w:vMerge w:val="continue"/>
                  <w:vAlign w:val="center"/>
                </w:tcPr>
                <w:p w14:paraId="1A3A6E2D">
                  <w:pPr>
                    <w:pStyle w:val="32"/>
                    <w:rPr>
                      <w:color w:val="auto"/>
                    </w:rPr>
                  </w:pPr>
                </w:p>
              </w:tc>
              <w:tc>
                <w:tcPr>
                  <w:tcW w:w="756" w:type="dxa"/>
                  <w:vMerge w:val="continue"/>
                  <w:vAlign w:val="center"/>
                </w:tcPr>
                <w:p w14:paraId="4EA16D11">
                  <w:pPr>
                    <w:pStyle w:val="32"/>
                    <w:rPr>
                      <w:color w:val="auto"/>
                    </w:rPr>
                  </w:pPr>
                </w:p>
              </w:tc>
              <w:tc>
                <w:tcPr>
                  <w:tcW w:w="772" w:type="dxa"/>
                  <w:vMerge w:val="continue"/>
                  <w:vAlign w:val="center"/>
                </w:tcPr>
                <w:p w14:paraId="21E21246">
                  <w:pPr>
                    <w:pStyle w:val="32"/>
                    <w:rPr>
                      <w:color w:val="auto"/>
                    </w:rPr>
                  </w:pPr>
                </w:p>
              </w:tc>
              <w:tc>
                <w:tcPr>
                  <w:tcW w:w="919" w:type="dxa"/>
                  <w:vAlign w:val="center"/>
                </w:tcPr>
                <w:p w14:paraId="78E3CCE3">
                  <w:pPr>
                    <w:pStyle w:val="32"/>
                    <w:rPr>
                      <w:color w:val="auto"/>
                    </w:rPr>
                  </w:pPr>
                  <w:r>
                    <w:rPr>
                      <w:rFonts w:hint="eastAsia"/>
                      <w:color w:val="auto"/>
                    </w:rPr>
                    <w:t>SO</w:t>
                  </w:r>
                  <w:r>
                    <w:rPr>
                      <w:rFonts w:hint="eastAsia"/>
                      <w:color w:val="auto"/>
                      <w:vertAlign w:val="subscript"/>
                    </w:rPr>
                    <w:t>2</w:t>
                  </w:r>
                </w:p>
              </w:tc>
              <w:tc>
                <w:tcPr>
                  <w:tcW w:w="834" w:type="dxa"/>
                  <w:vAlign w:val="center"/>
                </w:tcPr>
                <w:p w14:paraId="563808EA">
                  <w:pPr>
                    <w:pStyle w:val="32"/>
                    <w:rPr>
                      <w:rFonts w:hint="default" w:eastAsia="宋体"/>
                      <w:color w:val="auto"/>
                      <w:lang w:val="en-US" w:eastAsia="zh-CN"/>
                    </w:rPr>
                  </w:pPr>
                  <w:r>
                    <w:rPr>
                      <w:rFonts w:hint="eastAsia"/>
                      <w:color w:val="auto"/>
                      <w:lang w:val="en-US" w:eastAsia="zh-CN"/>
                    </w:rPr>
                    <w:t>54.59</w:t>
                  </w:r>
                </w:p>
              </w:tc>
              <w:tc>
                <w:tcPr>
                  <w:tcW w:w="833" w:type="dxa"/>
                  <w:vAlign w:val="center"/>
                </w:tcPr>
                <w:p w14:paraId="3EBADAF1">
                  <w:pPr>
                    <w:pStyle w:val="32"/>
                    <w:rPr>
                      <w:rFonts w:hint="default" w:eastAsia="宋体"/>
                      <w:color w:val="auto"/>
                      <w:lang w:val="en-US" w:eastAsia="zh-CN"/>
                    </w:rPr>
                  </w:pPr>
                  <w:r>
                    <w:rPr>
                      <w:rFonts w:hint="eastAsia"/>
                      <w:color w:val="auto"/>
                      <w:lang w:val="en-US" w:eastAsia="zh-CN"/>
                    </w:rPr>
                    <w:t>0.475</w:t>
                  </w:r>
                </w:p>
              </w:tc>
              <w:tc>
                <w:tcPr>
                  <w:tcW w:w="849" w:type="dxa"/>
                  <w:vAlign w:val="center"/>
                </w:tcPr>
                <w:p w14:paraId="216E128A">
                  <w:pPr>
                    <w:pStyle w:val="32"/>
                    <w:topLinePunct/>
                    <w:rPr>
                      <w:rFonts w:hint="default" w:eastAsia="宋体"/>
                      <w:color w:val="auto"/>
                      <w:lang w:val="en-US" w:eastAsia="zh-CN"/>
                    </w:rPr>
                  </w:pPr>
                  <w:r>
                    <w:rPr>
                      <w:rFonts w:hint="eastAsia"/>
                      <w:color w:val="auto"/>
                      <w:lang w:val="en-US" w:eastAsia="zh-CN"/>
                    </w:rPr>
                    <w:t>0.19</w:t>
                  </w:r>
                </w:p>
              </w:tc>
              <w:tc>
                <w:tcPr>
                  <w:tcW w:w="1272" w:type="dxa"/>
                  <w:vMerge w:val="continue"/>
                  <w:vAlign w:val="center"/>
                </w:tcPr>
                <w:p w14:paraId="16C9FA72">
                  <w:pPr>
                    <w:pStyle w:val="32"/>
                    <w:rPr>
                      <w:color w:val="auto"/>
                    </w:rPr>
                  </w:pPr>
                </w:p>
              </w:tc>
              <w:tc>
                <w:tcPr>
                  <w:tcW w:w="737" w:type="dxa"/>
                  <w:vAlign w:val="center"/>
                </w:tcPr>
                <w:p w14:paraId="5D99B7BC">
                  <w:pPr>
                    <w:pStyle w:val="32"/>
                    <w:topLinePunct/>
                    <w:rPr>
                      <w:rFonts w:hint="eastAsia" w:eastAsia="宋体"/>
                      <w:color w:val="auto"/>
                      <w:lang w:eastAsia="zh-CN"/>
                    </w:rPr>
                  </w:pPr>
                  <w:r>
                    <w:rPr>
                      <w:rFonts w:hint="eastAsia"/>
                      <w:color w:val="auto"/>
                      <w:lang w:val="en-US" w:eastAsia="zh-CN"/>
                    </w:rPr>
                    <w:t>/</w:t>
                  </w:r>
                </w:p>
              </w:tc>
              <w:tc>
                <w:tcPr>
                  <w:tcW w:w="720" w:type="dxa"/>
                  <w:vMerge w:val="continue"/>
                  <w:vAlign w:val="center"/>
                </w:tcPr>
                <w:p w14:paraId="6D2A9CB5">
                  <w:pPr>
                    <w:pStyle w:val="32"/>
                    <w:rPr>
                      <w:color w:val="auto"/>
                    </w:rPr>
                  </w:pPr>
                </w:p>
              </w:tc>
              <w:tc>
                <w:tcPr>
                  <w:tcW w:w="828" w:type="dxa"/>
                  <w:vAlign w:val="center"/>
                </w:tcPr>
                <w:p w14:paraId="16CABDCC">
                  <w:pPr>
                    <w:pStyle w:val="32"/>
                    <w:rPr>
                      <w:rFonts w:hint="default" w:eastAsia="宋体"/>
                      <w:color w:val="auto"/>
                      <w:lang w:val="en-US" w:eastAsia="zh-CN"/>
                    </w:rPr>
                  </w:pPr>
                  <w:r>
                    <w:rPr>
                      <w:rFonts w:hint="eastAsia"/>
                      <w:color w:val="auto"/>
                      <w:lang w:val="en-US" w:eastAsia="zh-CN"/>
                    </w:rPr>
                    <w:t>22.94</w:t>
                  </w:r>
                </w:p>
              </w:tc>
              <w:tc>
                <w:tcPr>
                  <w:tcW w:w="780" w:type="dxa"/>
                  <w:vAlign w:val="center"/>
                </w:tcPr>
                <w:p w14:paraId="7AE00044">
                  <w:pPr>
                    <w:pStyle w:val="32"/>
                    <w:rPr>
                      <w:rFonts w:hint="default" w:eastAsia="宋体"/>
                      <w:color w:val="auto"/>
                      <w:lang w:val="en-US" w:eastAsia="zh-CN"/>
                    </w:rPr>
                  </w:pPr>
                  <w:r>
                    <w:rPr>
                      <w:rFonts w:hint="eastAsia"/>
                      <w:color w:val="auto"/>
                      <w:lang w:val="en-US" w:eastAsia="zh-CN"/>
                    </w:rPr>
                    <w:t>0.475</w:t>
                  </w:r>
                </w:p>
              </w:tc>
              <w:tc>
                <w:tcPr>
                  <w:tcW w:w="1037" w:type="dxa"/>
                  <w:vAlign w:val="center"/>
                </w:tcPr>
                <w:p w14:paraId="7E7723A4">
                  <w:pPr>
                    <w:pStyle w:val="32"/>
                    <w:topLinePunct/>
                    <w:rPr>
                      <w:rFonts w:hint="default" w:eastAsia="宋体"/>
                      <w:color w:val="auto"/>
                      <w:lang w:val="en-US" w:eastAsia="zh-CN"/>
                    </w:rPr>
                  </w:pPr>
                  <w:r>
                    <w:rPr>
                      <w:rFonts w:hint="eastAsia"/>
                      <w:color w:val="auto"/>
                      <w:lang w:val="en-US" w:eastAsia="zh-CN"/>
                    </w:rPr>
                    <w:t>0.19</w:t>
                  </w:r>
                </w:p>
              </w:tc>
              <w:tc>
                <w:tcPr>
                  <w:tcW w:w="1212" w:type="dxa"/>
                  <w:vMerge w:val="continue"/>
                  <w:vAlign w:val="center"/>
                </w:tcPr>
                <w:p w14:paraId="3B9F3CFF">
                  <w:pPr>
                    <w:pStyle w:val="32"/>
                    <w:rPr>
                      <w:color w:val="auto"/>
                    </w:rPr>
                  </w:pPr>
                </w:p>
              </w:tc>
            </w:tr>
            <w:tr w14:paraId="264AE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dxa"/>
                  <w:vMerge w:val="continue"/>
                  <w:vAlign w:val="center"/>
                </w:tcPr>
                <w:p w14:paraId="30BAAFE5">
                  <w:pPr>
                    <w:pStyle w:val="32"/>
                    <w:rPr>
                      <w:color w:val="auto"/>
                    </w:rPr>
                  </w:pPr>
                </w:p>
              </w:tc>
              <w:tc>
                <w:tcPr>
                  <w:tcW w:w="756" w:type="dxa"/>
                  <w:vMerge w:val="continue"/>
                  <w:vAlign w:val="center"/>
                </w:tcPr>
                <w:p w14:paraId="04FAB618">
                  <w:pPr>
                    <w:pStyle w:val="32"/>
                    <w:rPr>
                      <w:color w:val="auto"/>
                    </w:rPr>
                  </w:pPr>
                </w:p>
              </w:tc>
              <w:tc>
                <w:tcPr>
                  <w:tcW w:w="772" w:type="dxa"/>
                  <w:vMerge w:val="continue"/>
                  <w:vAlign w:val="center"/>
                </w:tcPr>
                <w:p w14:paraId="2128584A">
                  <w:pPr>
                    <w:pStyle w:val="32"/>
                    <w:rPr>
                      <w:color w:val="auto"/>
                    </w:rPr>
                  </w:pPr>
                </w:p>
              </w:tc>
              <w:tc>
                <w:tcPr>
                  <w:tcW w:w="919" w:type="dxa"/>
                  <w:vAlign w:val="center"/>
                </w:tcPr>
                <w:p w14:paraId="23CFD0BF">
                  <w:pPr>
                    <w:pStyle w:val="32"/>
                    <w:rPr>
                      <w:color w:val="auto"/>
                    </w:rPr>
                  </w:pPr>
                  <w:r>
                    <w:rPr>
                      <w:rFonts w:hint="eastAsia"/>
                      <w:color w:val="auto"/>
                    </w:rPr>
                    <w:t>NOx</w:t>
                  </w:r>
                </w:p>
              </w:tc>
              <w:tc>
                <w:tcPr>
                  <w:tcW w:w="834" w:type="dxa"/>
                  <w:vAlign w:val="center"/>
                </w:tcPr>
                <w:p w14:paraId="7687FC43">
                  <w:pPr>
                    <w:pStyle w:val="32"/>
                    <w:rPr>
                      <w:rFonts w:hint="default" w:eastAsia="宋体"/>
                      <w:color w:val="auto"/>
                      <w:lang w:val="en-US" w:eastAsia="zh-CN"/>
                    </w:rPr>
                  </w:pPr>
                  <w:r>
                    <w:rPr>
                      <w:rFonts w:hint="eastAsia"/>
                      <w:color w:val="auto"/>
                      <w:lang w:val="en-US" w:eastAsia="zh-CN"/>
                    </w:rPr>
                    <w:t>163.44</w:t>
                  </w:r>
                </w:p>
              </w:tc>
              <w:tc>
                <w:tcPr>
                  <w:tcW w:w="833" w:type="dxa"/>
                  <w:vAlign w:val="center"/>
                </w:tcPr>
                <w:p w14:paraId="59E57E1D">
                  <w:pPr>
                    <w:pStyle w:val="32"/>
                    <w:rPr>
                      <w:rFonts w:hint="default" w:eastAsia="宋体"/>
                      <w:color w:val="auto"/>
                      <w:lang w:val="en-US" w:eastAsia="zh-CN"/>
                    </w:rPr>
                  </w:pPr>
                  <w:r>
                    <w:rPr>
                      <w:rFonts w:hint="eastAsia"/>
                      <w:color w:val="auto"/>
                      <w:lang w:val="en-US" w:eastAsia="zh-CN"/>
                    </w:rPr>
                    <w:t>1.422</w:t>
                  </w:r>
                </w:p>
              </w:tc>
              <w:tc>
                <w:tcPr>
                  <w:tcW w:w="849" w:type="dxa"/>
                  <w:vAlign w:val="center"/>
                </w:tcPr>
                <w:p w14:paraId="54240E67">
                  <w:pPr>
                    <w:pStyle w:val="32"/>
                    <w:topLinePunct/>
                    <w:rPr>
                      <w:rFonts w:hint="default" w:eastAsia="宋体"/>
                      <w:color w:val="auto"/>
                      <w:lang w:val="en-US" w:eastAsia="zh-CN"/>
                    </w:rPr>
                  </w:pPr>
                  <w:r>
                    <w:rPr>
                      <w:rFonts w:hint="eastAsia"/>
                      <w:color w:val="auto"/>
                      <w:lang w:val="en-US" w:eastAsia="zh-CN"/>
                    </w:rPr>
                    <w:t>0.569</w:t>
                  </w:r>
                </w:p>
              </w:tc>
              <w:tc>
                <w:tcPr>
                  <w:tcW w:w="1272" w:type="dxa"/>
                  <w:vMerge w:val="continue"/>
                  <w:vAlign w:val="center"/>
                </w:tcPr>
                <w:p w14:paraId="06496687">
                  <w:pPr>
                    <w:pStyle w:val="32"/>
                    <w:rPr>
                      <w:color w:val="auto"/>
                    </w:rPr>
                  </w:pPr>
                </w:p>
              </w:tc>
              <w:tc>
                <w:tcPr>
                  <w:tcW w:w="737" w:type="dxa"/>
                  <w:vAlign w:val="center"/>
                </w:tcPr>
                <w:p w14:paraId="48EF0C1B">
                  <w:pPr>
                    <w:pStyle w:val="32"/>
                    <w:topLinePunct/>
                    <w:rPr>
                      <w:rFonts w:hint="default" w:eastAsia="宋体"/>
                      <w:color w:val="auto"/>
                      <w:lang w:val="en-US" w:eastAsia="zh-CN"/>
                    </w:rPr>
                  </w:pPr>
                  <w:r>
                    <w:rPr>
                      <w:rFonts w:hint="eastAsia"/>
                      <w:color w:val="auto"/>
                      <w:lang w:val="en-US" w:eastAsia="zh-CN"/>
                    </w:rPr>
                    <w:t>/</w:t>
                  </w:r>
                </w:p>
              </w:tc>
              <w:tc>
                <w:tcPr>
                  <w:tcW w:w="720" w:type="dxa"/>
                  <w:vMerge w:val="continue"/>
                  <w:vAlign w:val="center"/>
                </w:tcPr>
                <w:p w14:paraId="15B03117">
                  <w:pPr>
                    <w:jc w:val="center"/>
                    <w:rPr>
                      <w:color w:val="auto"/>
                      <w:szCs w:val="21"/>
                    </w:rPr>
                  </w:pPr>
                </w:p>
              </w:tc>
              <w:tc>
                <w:tcPr>
                  <w:tcW w:w="828" w:type="dxa"/>
                  <w:vAlign w:val="center"/>
                </w:tcPr>
                <w:p w14:paraId="23580B8F">
                  <w:pPr>
                    <w:pStyle w:val="32"/>
                    <w:rPr>
                      <w:rFonts w:hint="default" w:eastAsia="宋体"/>
                      <w:color w:val="auto"/>
                      <w:lang w:val="en-US" w:eastAsia="zh-CN"/>
                    </w:rPr>
                  </w:pPr>
                  <w:r>
                    <w:rPr>
                      <w:rFonts w:hint="eastAsia"/>
                      <w:color w:val="auto"/>
                      <w:lang w:val="en-US" w:eastAsia="zh-CN"/>
                    </w:rPr>
                    <w:t>27.04</w:t>
                  </w:r>
                </w:p>
              </w:tc>
              <w:tc>
                <w:tcPr>
                  <w:tcW w:w="780" w:type="dxa"/>
                  <w:vAlign w:val="center"/>
                </w:tcPr>
                <w:p w14:paraId="03C03C61">
                  <w:pPr>
                    <w:pStyle w:val="32"/>
                    <w:rPr>
                      <w:rFonts w:hint="default" w:eastAsia="宋体"/>
                      <w:color w:val="auto"/>
                      <w:lang w:val="en-US" w:eastAsia="zh-CN"/>
                    </w:rPr>
                  </w:pPr>
                  <w:r>
                    <w:rPr>
                      <w:rFonts w:hint="eastAsia"/>
                      <w:color w:val="auto"/>
                      <w:lang w:val="en-US" w:eastAsia="zh-CN"/>
                    </w:rPr>
                    <w:t>0.56</w:t>
                  </w:r>
                </w:p>
              </w:tc>
              <w:tc>
                <w:tcPr>
                  <w:tcW w:w="1037" w:type="dxa"/>
                  <w:vAlign w:val="center"/>
                </w:tcPr>
                <w:p w14:paraId="00D8F709">
                  <w:pPr>
                    <w:pStyle w:val="32"/>
                    <w:topLinePunct/>
                    <w:rPr>
                      <w:rFonts w:hint="default" w:eastAsia="宋体"/>
                      <w:color w:val="auto"/>
                      <w:lang w:val="en-US" w:eastAsia="zh-CN"/>
                    </w:rPr>
                  </w:pPr>
                  <w:r>
                    <w:rPr>
                      <w:rFonts w:hint="eastAsia"/>
                      <w:color w:val="auto"/>
                      <w:lang w:val="en-US" w:eastAsia="zh-CN"/>
                    </w:rPr>
                    <w:t>0.227</w:t>
                  </w:r>
                </w:p>
              </w:tc>
              <w:tc>
                <w:tcPr>
                  <w:tcW w:w="1212" w:type="dxa"/>
                  <w:vMerge w:val="continue"/>
                  <w:vAlign w:val="center"/>
                </w:tcPr>
                <w:p w14:paraId="1E89C4AD">
                  <w:pPr>
                    <w:pStyle w:val="32"/>
                    <w:rPr>
                      <w:color w:val="auto"/>
                    </w:rPr>
                  </w:pPr>
                </w:p>
              </w:tc>
            </w:tr>
          </w:tbl>
          <w:p w14:paraId="21B47AD3">
            <w:pPr>
              <w:jc w:val="center"/>
              <w:rPr>
                <w:b/>
                <w:bCs/>
                <w:color w:val="000000"/>
                <w:sz w:val="24"/>
              </w:rPr>
            </w:pPr>
            <w:r>
              <w:rPr>
                <w:b/>
                <w:bCs/>
                <w:color w:val="000000"/>
                <w:sz w:val="24"/>
              </w:rPr>
              <w:t>表</w:t>
            </w:r>
            <w:r>
              <w:rPr>
                <w:rFonts w:hint="eastAsia"/>
                <w:b/>
                <w:bCs/>
                <w:color w:val="000000"/>
                <w:sz w:val="24"/>
              </w:rPr>
              <w:t>4-4</w:t>
            </w:r>
            <w:r>
              <w:rPr>
                <w:b/>
                <w:bCs/>
                <w:color w:val="000000"/>
                <w:sz w:val="24"/>
              </w:rPr>
              <w:t xml:space="preserve">  </w:t>
            </w:r>
            <w:r>
              <w:rPr>
                <w:rFonts w:hint="eastAsia"/>
                <w:b/>
                <w:bCs/>
                <w:color w:val="000000"/>
                <w:sz w:val="24"/>
              </w:rPr>
              <w:t>本项目</w:t>
            </w:r>
            <w:r>
              <w:rPr>
                <w:b/>
                <w:bCs/>
                <w:color w:val="000000"/>
                <w:sz w:val="24"/>
              </w:rPr>
              <w:t>无组织废气排放情况</w:t>
            </w:r>
          </w:p>
          <w:tbl>
            <w:tblPr>
              <w:tblStyle w:val="23"/>
              <w:tblW w:w="12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9"/>
              <w:gridCol w:w="2220"/>
              <w:gridCol w:w="2059"/>
              <w:gridCol w:w="2071"/>
              <w:gridCol w:w="2064"/>
              <w:gridCol w:w="2054"/>
            </w:tblGrid>
            <w:tr w14:paraId="12D52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64" w:type="pct"/>
                  <w:vMerge w:val="restart"/>
                  <w:vAlign w:val="center"/>
                </w:tcPr>
                <w:p w14:paraId="23D8BE2B">
                  <w:pPr>
                    <w:pStyle w:val="32"/>
                    <w:rPr>
                      <w:color w:val="000000"/>
                    </w:rPr>
                  </w:pPr>
                  <w:r>
                    <w:rPr>
                      <w:rFonts w:hint="eastAsia"/>
                      <w:color w:val="000000"/>
                    </w:rPr>
                    <w:t>污染物来源</w:t>
                  </w:r>
                </w:p>
              </w:tc>
              <w:tc>
                <w:tcPr>
                  <w:tcW w:w="898" w:type="pct"/>
                  <w:vMerge w:val="restart"/>
                  <w:vAlign w:val="center"/>
                </w:tcPr>
                <w:p w14:paraId="4D043AB8">
                  <w:pPr>
                    <w:pStyle w:val="32"/>
                    <w:rPr>
                      <w:color w:val="000000"/>
                    </w:rPr>
                  </w:pPr>
                  <w:r>
                    <w:rPr>
                      <w:rFonts w:hint="eastAsia"/>
                      <w:color w:val="000000"/>
                    </w:rPr>
                    <w:t>污染物名称</w:t>
                  </w:r>
                </w:p>
              </w:tc>
              <w:tc>
                <w:tcPr>
                  <w:tcW w:w="1671" w:type="pct"/>
                  <w:gridSpan w:val="2"/>
                  <w:vAlign w:val="center"/>
                </w:tcPr>
                <w:p w14:paraId="364D84CA">
                  <w:pPr>
                    <w:pStyle w:val="32"/>
                    <w:rPr>
                      <w:color w:val="000000"/>
                    </w:rPr>
                  </w:pPr>
                  <w:r>
                    <w:rPr>
                      <w:rFonts w:hint="eastAsia"/>
                      <w:color w:val="000000"/>
                    </w:rPr>
                    <w:t>排放情况</w:t>
                  </w:r>
                </w:p>
              </w:tc>
              <w:tc>
                <w:tcPr>
                  <w:tcW w:w="835" w:type="pct"/>
                  <w:vMerge w:val="restart"/>
                  <w:vAlign w:val="center"/>
                </w:tcPr>
                <w:p w14:paraId="56EC16BE">
                  <w:pPr>
                    <w:pStyle w:val="32"/>
                    <w:rPr>
                      <w:color w:val="000000"/>
                    </w:rPr>
                  </w:pPr>
                  <w:r>
                    <w:rPr>
                      <w:rFonts w:hint="eastAsia"/>
                      <w:color w:val="000000"/>
                    </w:rPr>
                    <w:t>面源尺寸m*m</w:t>
                  </w:r>
                </w:p>
              </w:tc>
              <w:tc>
                <w:tcPr>
                  <w:tcW w:w="831" w:type="pct"/>
                  <w:vMerge w:val="restart"/>
                  <w:vAlign w:val="center"/>
                </w:tcPr>
                <w:p w14:paraId="3A315D4D">
                  <w:pPr>
                    <w:pStyle w:val="32"/>
                    <w:rPr>
                      <w:color w:val="000000"/>
                    </w:rPr>
                  </w:pPr>
                  <w:r>
                    <w:rPr>
                      <w:rFonts w:hint="eastAsia"/>
                      <w:color w:val="000000"/>
                    </w:rPr>
                    <w:t>面源高度m</w:t>
                  </w:r>
                </w:p>
              </w:tc>
            </w:tr>
            <w:tr w14:paraId="4F5DF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64" w:type="pct"/>
                  <w:vMerge w:val="continue"/>
                  <w:vAlign w:val="center"/>
                </w:tcPr>
                <w:p w14:paraId="16CBDD3F">
                  <w:pPr>
                    <w:pStyle w:val="32"/>
                    <w:rPr>
                      <w:color w:val="000000"/>
                    </w:rPr>
                  </w:pPr>
                </w:p>
              </w:tc>
              <w:tc>
                <w:tcPr>
                  <w:tcW w:w="898" w:type="pct"/>
                  <w:vMerge w:val="continue"/>
                  <w:vAlign w:val="center"/>
                </w:tcPr>
                <w:p w14:paraId="25F37994">
                  <w:pPr>
                    <w:pStyle w:val="32"/>
                    <w:rPr>
                      <w:color w:val="000000"/>
                    </w:rPr>
                  </w:pPr>
                </w:p>
              </w:tc>
              <w:tc>
                <w:tcPr>
                  <w:tcW w:w="833" w:type="pct"/>
                  <w:vAlign w:val="center"/>
                </w:tcPr>
                <w:p w14:paraId="088BE561">
                  <w:pPr>
                    <w:pStyle w:val="32"/>
                    <w:rPr>
                      <w:color w:val="000000"/>
                    </w:rPr>
                  </w:pPr>
                  <w:r>
                    <w:rPr>
                      <w:rFonts w:hint="eastAsia"/>
                      <w:color w:val="000000"/>
                    </w:rPr>
                    <w:t>速率kg/h</w:t>
                  </w:r>
                </w:p>
              </w:tc>
              <w:tc>
                <w:tcPr>
                  <w:tcW w:w="837" w:type="pct"/>
                  <w:vAlign w:val="center"/>
                </w:tcPr>
                <w:p w14:paraId="79EB8011">
                  <w:pPr>
                    <w:pStyle w:val="32"/>
                    <w:rPr>
                      <w:color w:val="000000"/>
                    </w:rPr>
                  </w:pPr>
                  <w:r>
                    <w:rPr>
                      <w:rFonts w:hint="eastAsia"/>
                      <w:color w:val="000000"/>
                    </w:rPr>
                    <w:t>产量t/a</w:t>
                  </w:r>
                </w:p>
              </w:tc>
              <w:tc>
                <w:tcPr>
                  <w:tcW w:w="835" w:type="pct"/>
                  <w:vMerge w:val="continue"/>
                  <w:vAlign w:val="center"/>
                </w:tcPr>
                <w:p w14:paraId="5A9D1777">
                  <w:pPr>
                    <w:pStyle w:val="32"/>
                    <w:rPr>
                      <w:color w:val="000000"/>
                    </w:rPr>
                  </w:pPr>
                </w:p>
              </w:tc>
              <w:tc>
                <w:tcPr>
                  <w:tcW w:w="831" w:type="pct"/>
                  <w:vMerge w:val="continue"/>
                  <w:vAlign w:val="center"/>
                </w:tcPr>
                <w:p w14:paraId="579A23D8">
                  <w:pPr>
                    <w:pStyle w:val="32"/>
                    <w:rPr>
                      <w:color w:val="000000"/>
                    </w:rPr>
                  </w:pPr>
                </w:p>
              </w:tc>
            </w:tr>
            <w:tr w14:paraId="703FD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64" w:type="pct"/>
                  <w:vAlign w:val="center"/>
                </w:tcPr>
                <w:p w14:paraId="63420965">
                  <w:pPr>
                    <w:pStyle w:val="33"/>
                    <w:tabs>
                      <w:tab w:val="left" w:pos="7488"/>
                    </w:tabs>
                    <w:adjustRightInd/>
                    <w:snapToGrid/>
                    <w:rPr>
                      <w:color w:val="000000"/>
                    </w:rPr>
                  </w:pPr>
                  <w:r>
                    <w:rPr>
                      <w:rFonts w:hint="eastAsia"/>
                      <w:color w:val="000000"/>
                    </w:rPr>
                    <w:t>生产车间</w:t>
                  </w:r>
                </w:p>
              </w:tc>
              <w:tc>
                <w:tcPr>
                  <w:tcW w:w="898" w:type="pct"/>
                  <w:vAlign w:val="center"/>
                </w:tcPr>
                <w:p w14:paraId="776F43B3">
                  <w:pPr>
                    <w:pStyle w:val="32"/>
                    <w:rPr>
                      <w:color w:val="000000"/>
                    </w:rPr>
                  </w:pPr>
                  <w:r>
                    <w:rPr>
                      <w:rFonts w:hint="eastAsia"/>
                      <w:color w:val="000000"/>
                    </w:rPr>
                    <w:t>颗粒物</w:t>
                  </w:r>
                </w:p>
              </w:tc>
              <w:tc>
                <w:tcPr>
                  <w:tcW w:w="833" w:type="pct"/>
                  <w:vAlign w:val="center"/>
                </w:tcPr>
                <w:p w14:paraId="02852C55">
                  <w:pPr>
                    <w:pStyle w:val="32"/>
                    <w:rPr>
                      <w:rFonts w:hint="default" w:eastAsia="宋体"/>
                      <w:color w:val="000000"/>
                      <w:lang w:val="en-US" w:eastAsia="zh-CN"/>
                    </w:rPr>
                  </w:pPr>
                  <w:r>
                    <w:rPr>
                      <w:rFonts w:hint="eastAsia"/>
                      <w:color w:val="000000"/>
                      <w:lang w:val="en-US" w:eastAsia="zh-CN"/>
                    </w:rPr>
                    <w:t>0.36</w:t>
                  </w:r>
                </w:p>
              </w:tc>
              <w:tc>
                <w:tcPr>
                  <w:tcW w:w="837" w:type="pct"/>
                  <w:vAlign w:val="center"/>
                </w:tcPr>
                <w:p w14:paraId="4A02678F">
                  <w:pPr>
                    <w:pStyle w:val="32"/>
                    <w:rPr>
                      <w:rFonts w:hint="default" w:eastAsia="宋体"/>
                      <w:color w:val="000000"/>
                      <w:lang w:val="en-US" w:eastAsia="zh-CN"/>
                    </w:rPr>
                  </w:pPr>
                  <w:r>
                    <w:rPr>
                      <w:rFonts w:hint="eastAsia"/>
                      <w:color w:val="000000"/>
                      <w:lang w:val="en-US" w:eastAsia="zh-CN"/>
                    </w:rPr>
                    <w:t>0.866</w:t>
                  </w:r>
                </w:p>
              </w:tc>
              <w:tc>
                <w:tcPr>
                  <w:tcW w:w="835" w:type="pct"/>
                  <w:vAlign w:val="center"/>
                </w:tcPr>
                <w:p w14:paraId="594BB902">
                  <w:pPr>
                    <w:pStyle w:val="32"/>
                    <w:rPr>
                      <w:color w:val="000000"/>
                    </w:rPr>
                  </w:pPr>
                  <w:r>
                    <w:rPr>
                      <w:rFonts w:hint="eastAsia"/>
                      <w:color w:val="000000"/>
                    </w:rPr>
                    <w:t>144*112</w:t>
                  </w:r>
                </w:p>
              </w:tc>
              <w:tc>
                <w:tcPr>
                  <w:tcW w:w="831" w:type="pct"/>
                  <w:vAlign w:val="center"/>
                </w:tcPr>
                <w:p w14:paraId="49056D53">
                  <w:pPr>
                    <w:pStyle w:val="32"/>
                    <w:rPr>
                      <w:rFonts w:hint="default" w:eastAsia="宋体"/>
                      <w:color w:val="000000"/>
                      <w:lang w:val="en-US" w:eastAsia="zh-CN"/>
                    </w:rPr>
                  </w:pPr>
                  <w:r>
                    <w:rPr>
                      <w:rFonts w:hint="eastAsia"/>
                      <w:color w:val="000000"/>
                      <w:lang w:val="en-US" w:eastAsia="zh-CN"/>
                    </w:rPr>
                    <w:t>6.2</w:t>
                  </w:r>
                </w:p>
              </w:tc>
            </w:tr>
          </w:tbl>
          <w:p w14:paraId="0D03D9C2"/>
        </w:tc>
      </w:tr>
    </w:tbl>
    <w:p w14:paraId="11BAEF76">
      <w:pPr>
        <w:pStyle w:val="4"/>
        <w:rPr>
          <w:color w:val="000000"/>
        </w:rPr>
        <w:sectPr>
          <w:pgSz w:w="16840" w:h="11907" w:orient="landscape"/>
          <w:pgMar w:top="1531" w:right="1701" w:bottom="1531" w:left="2127" w:header="851" w:footer="851" w:gutter="0"/>
          <w:cols w:space="720" w:num="1"/>
          <w:docGrid w:linePitch="312" w:charSpace="0"/>
        </w:sect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
        <w:gridCol w:w="8428"/>
      </w:tblGrid>
      <w:tr w14:paraId="78FE9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2" w:hRule="atLeast"/>
        </w:trPr>
        <w:tc>
          <w:tcPr>
            <w:tcW w:w="633" w:type="dxa"/>
          </w:tcPr>
          <w:p w14:paraId="4B813C9C">
            <w:pPr>
              <w:pStyle w:val="4"/>
              <w:rPr>
                <w:color w:val="auto"/>
              </w:rPr>
            </w:pPr>
          </w:p>
        </w:tc>
        <w:tc>
          <w:tcPr>
            <w:tcW w:w="8428" w:type="dxa"/>
          </w:tcPr>
          <w:p w14:paraId="37FF1619">
            <w:pPr>
              <w:spacing w:line="360" w:lineRule="auto"/>
              <w:rPr>
                <w:b/>
                <w:bCs/>
                <w:color w:val="auto"/>
                <w:sz w:val="24"/>
              </w:rPr>
            </w:pPr>
            <w:r>
              <w:rPr>
                <w:rFonts w:hint="eastAsia"/>
                <w:b/>
                <w:bCs/>
                <w:color w:val="auto"/>
                <w:sz w:val="24"/>
              </w:rPr>
              <w:t>2、</w:t>
            </w:r>
            <w:r>
              <w:rPr>
                <w:b/>
                <w:bCs/>
                <w:color w:val="auto"/>
                <w:sz w:val="24"/>
              </w:rPr>
              <w:t>排放口信息及自行监测</w:t>
            </w:r>
          </w:p>
          <w:p w14:paraId="4FFF865C">
            <w:pPr>
              <w:spacing w:line="360" w:lineRule="auto"/>
              <w:ind w:firstLine="480" w:firstLineChars="200"/>
              <w:rPr>
                <w:bCs/>
                <w:color w:val="auto"/>
                <w:sz w:val="24"/>
                <w:szCs w:val="32"/>
              </w:rPr>
            </w:pPr>
            <w:r>
              <w:rPr>
                <w:bCs/>
                <w:color w:val="auto"/>
                <w:sz w:val="24"/>
                <w:szCs w:val="32"/>
              </w:rPr>
              <w:t>根据</w:t>
            </w:r>
            <w:r>
              <w:rPr>
                <w:rFonts w:hint="eastAsia"/>
                <w:color w:val="auto"/>
                <w:sz w:val="24"/>
              </w:rPr>
              <w:t>《排污许可证申请与核发技术规范 总则》（HJ942-2018）、</w:t>
            </w:r>
            <w:r>
              <w:rPr>
                <w:bCs/>
                <w:color w:val="auto"/>
                <w:kern w:val="21"/>
                <w:sz w:val="24"/>
                <w:szCs w:val="32"/>
              </w:rPr>
              <w:t>《</w:t>
            </w:r>
            <w:r>
              <w:rPr>
                <w:color w:val="auto"/>
              </w:rPr>
              <w:fldChar w:fldCharType="begin"/>
            </w:r>
            <w:r>
              <w:rPr>
                <w:color w:val="auto"/>
              </w:rPr>
              <w:instrText xml:space="preserve"> HYPERLINK "https://www.eiacloud.com/hpyzs/lawsRegulations/searchDetail?modelName=%E6%8E%92%E6%B1%A1%E5%90%8D%E5%BD%95&amp;id=61c459b05d144dea89d584089fffd470" \t "https://www.eiacloud.com/hpyzs/category/_blank" </w:instrText>
            </w:r>
            <w:r>
              <w:rPr>
                <w:color w:val="auto"/>
              </w:rPr>
              <w:fldChar w:fldCharType="separate"/>
            </w:r>
            <w:r>
              <w:rPr>
                <w:rFonts w:hint="eastAsia"/>
                <w:bCs/>
                <w:color w:val="auto"/>
                <w:kern w:val="21"/>
                <w:sz w:val="24"/>
                <w:szCs w:val="32"/>
              </w:rPr>
              <w:t>排污单位自行监测技术指南 火力发电及锅炉》（</w:t>
            </w:r>
            <w:r>
              <w:rPr>
                <w:bCs/>
                <w:color w:val="auto"/>
                <w:kern w:val="21"/>
                <w:sz w:val="24"/>
                <w:szCs w:val="32"/>
              </w:rPr>
              <w:t> HJ</w:t>
            </w:r>
            <w:r>
              <w:rPr>
                <w:rFonts w:hint="eastAsia"/>
                <w:bCs/>
                <w:color w:val="auto"/>
                <w:kern w:val="21"/>
                <w:sz w:val="24"/>
                <w:szCs w:val="32"/>
              </w:rPr>
              <w:t>8</w:t>
            </w:r>
            <w:r>
              <w:rPr>
                <w:rFonts w:hint="eastAsia"/>
                <w:bCs/>
                <w:color w:val="auto"/>
                <w:kern w:val="21"/>
                <w:sz w:val="24"/>
                <w:szCs w:val="32"/>
              </w:rPr>
              <w:fldChar w:fldCharType="end"/>
            </w:r>
            <w:r>
              <w:rPr>
                <w:rFonts w:hint="eastAsia"/>
                <w:bCs/>
                <w:color w:val="auto"/>
                <w:kern w:val="21"/>
                <w:sz w:val="24"/>
                <w:szCs w:val="32"/>
              </w:rPr>
              <w:t>20-2017）、《排污许可证申请与核发技术规范 锅炉》（HJ953-2018）</w:t>
            </w:r>
            <w:r>
              <w:rPr>
                <w:bCs/>
                <w:color w:val="auto"/>
                <w:kern w:val="21"/>
                <w:sz w:val="24"/>
                <w:szCs w:val="32"/>
              </w:rPr>
              <w:t>中相关要求</w:t>
            </w:r>
            <w:r>
              <w:rPr>
                <w:bCs/>
                <w:color w:val="auto"/>
                <w:sz w:val="24"/>
                <w:szCs w:val="32"/>
              </w:rPr>
              <w:t>，项目在投入运行后，需定期对项目污染源开展监测活动，具体如下所示。</w:t>
            </w:r>
          </w:p>
          <w:p w14:paraId="18D269FD">
            <w:pPr>
              <w:adjustRightInd w:val="0"/>
              <w:snapToGrid w:val="0"/>
              <w:jc w:val="center"/>
              <w:rPr>
                <w:b/>
                <w:bCs/>
                <w:color w:val="auto"/>
                <w:szCs w:val="21"/>
              </w:rPr>
            </w:pPr>
            <w:r>
              <w:rPr>
                <w:b/>
                <w:bCs/>
                <w:color w:val="auto"/>
                <w:sz w:val="24"/>
              </w:rPr>
              <w:t>表4-</w:t>
            </w:r>
            <w:r>
              <w:rPr>
                <w:rFonts w:hint="eastAsia"/>
                <w:b/>
                <w:bCs/>
                <w:color w:val="auto"/>
                <w:sz w:val="24"/>
              </w:rPr>
              <w:t>5</w:t>
            </w:r>
            <w:r>
              <w:rPr>
                <w:b/>
                <w:bCs/>
                <w:color w:val="auto"/>
                <w:sz w:val="24"/>
              </w:rPr>
              <w:t xml:space="preserve">  排放口信息及自行监测一览表</w:t>
            </w:r>
          </w:p>
          <w:tbl>
            <w:tblPr>
              <w:tblStyle w:val="23"/>
              <w:tblW w:w="8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275"/>
              <w:gridCol w:w="896"/>
              <w:gridCol w:w="995"/>
              <w:gridCol w:w="1535"/>
              <w:gridCol w:w="1489"/>
              <w:gridCol w:w="1195"/>
            </w:tblGrid>
            <w:tr w14:paraId="6B215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 w:type="dxa"/>
                  <w:vMerge w:val="restart"/>
                  <w:tcBorders>
                    <w:top w:val="single" w:color="auto" w:sz="4" w:space="0"/>
                    <w:left w:val="single" w:color="auto" w:sz="4" w:space="0"/>
                    <w:bottom w:val="single" w:color="auto" w:sz="4" w:space="0"/>
                    <w:right w:val="single" w:color="auto" w:sz="4" w:space="0"/>
                  </w:tcBorders>
                  <w:vAlign w:val="center"/>
                </w:tcPr>
                <w:p w14:paraId="5B38DE55">
                  <w:pPr>
                    <w:autoSpaceDE w:val="0"/>
                    <w:jc w:val="center"/>
                    <w:rPr>
                      <w:color w:val="auto"/>
                      <w:szCs w:val="21"/>
                    </w:rPr>
                  </w:pPr>
                  <w:r>
                    <w:rPr>
                      <w:color w:val="auto"/>
                      <w:szCs w:val="21"/>
                    </w:rPr>
                    <w:t>排放口编号</w:t>
                  </w:r>
                </w:p>
              </w:tc>
              <w:tc>
                <w:tcPr>
                  <w:tcW w:w="1275" w:type="dxa"/>
                  <w:vMerge w:val="restart"/>
                  <w:tcBorders>
                    <w:top w:val="single" w:color="auto" w:sz="4" w:space="0"/>
                    <w:left w:val="nil"/>
                    <w:bottom w:val="single" w:color="auto" w:sz="4" w:space="0"/>
                    <w:right w:val="single" w:color="auto" w:sz="4" w:space="0"/>
                  </w:tcBorders>
                  <w:vAlign w:val="center"/>
                </w:tcPr>
                <w:p w14:paraId="2FB65166">
                  <w:pPr>
                    <w:autoSpaceDE w:val="0"/>
                    <w:jc w:val="center"/>
                    <w:rPr>
                      <w:color w:val="auto"/>
                      <w:szCs w:val="21"/>
                    </w:rPr>
                  </w:pPr>
                  <w:r>
                    <w:rPr>
                      <w:color w:val="auto"/>
                      <w:szCs w:val="21"/>
                    </w:rPr>
                    <w:t>污染物种类</w:t>
                  </w:r>
                </w:p>
              </w:tc>
              <w:tc>
                <w:tcPr>
                  <w:tcW w:w="896" w:type="dxa"/>
                  <w:vMerge w:val="restart"/>
                  <w:tcBorders>
                    <w:top w:val="single" w:color="auto" w:sz="4" w:space="0"/>
                    <w:left w:val="nil"/>
                    <w:bottom w:val="single" w:color="auto" w:sz="4" w:space="0"/>
                    <w:right w:val="single" w:color="auto" w:sz="4" w:space="0"/>
                  </w:tcBorders>
                  <w:vAlign w:val="center"/>
                </w:tcPr>
                <w:p w14:paraId="005D8CD3">
                  <w:pPr>
                    <w:autoSpaceDE w:val="0"/>
                    <w:jc w:val="center"/>
                    <w:rPr>
                      <w:color w:val="auto"/>
                      <w:szCs w:val="21"/>
                    </w:rPr>
                  </w:pPr>
                  <w:r>
                    <w:rPr>
                      <w:color w:val="auto"/>
                      <w:szCs w:val="21"/>
                    </w:rPr>
                    <w:t>排气筒高度m</w:t>
                  </w:r>
                </w:p>
              </w:tc>
              <w:tc>
                <w:tcPr>
                  <w:tcW w:w="995" w:type="dxa"/>
                  <w:vMerge w:val="restart"/>
                  <w:tcBorders>
                    <w:top w:val="single" w:color="auto" w:sz="4" w:space="0"/>
                    <w:left w:val="nil"/>
                    <w:bottom w:val="single" w:color="auto" w:sz="4" w:space="0"/>
                    <w:right w:val="single" w:color="auto" w:sz="4" w:space="0"/>
                  </w:tcBorders>
                  <w:vAlign w:val="center"/>
                </w:tcPr>
                <w:p w14:paraId="1FF03B2B">
                  <w:pPr>
                    <w:autoSpaceDE w:val="0"/>
                    <w:jc w:val="center"/>
                    <w:rPr>
                      <w:color w:val="auto"/>
                      <w:szCs w:val="21"/>
                    </w:rPr>
                  </w:pPr>
                  <w:r>
                    <w:rPr>
                      <w:color w:val="auto"/>
                      <w:szCs w:val="21"/>
                    </w:rPr>
                    <w:t>内径m</w:t>
                  </w:r>
                </w:p>
              </w:tc>
              <w:tc>
                <w:tcPr>
                  <w:tcW w:w="3024" w:type="dxa"/>
                  <w:gridSpan w:val="2"/>
                  <w:tcBorders>
                    <w:top w:val="single" w:color="auto" w:sz="4" w:space="0"/>
                    <w:left w:val="nil"/>
                    <w:bottom w:val="single" w:color="auto" w:sz="4" w:space="0"/>
                    <w:right w:val="single" w:color="auto" w:sz="4" w:space="0"/>
                  </w:tcBorders>
                  <w:vAlign w:val="center"/>
                </w:tcPr>
                <w:p w14:paraId="5E1AA328">
                  <w:pPr>
                    <w:autoSpaceDE w:val="0"/>
                    <w:jc w:val="center"/>
                    <w:rPr>
                      <w:color w:val="auto"/>
                      <w:szCs w:val="21"/>
                    </w:rPr>
                  </w:pPr>
                  <w:r>
                    <w:rPr>
                      <w:color w:val="auto"/>
                      <w:szCs w:val="21"/>
                    </w:rPr>
                    <w:t>坐标</w:t>
                  </w:r>
                </w:p>
              </w:tc>
              <w:tc>
                <w:tcPr>
                  <w:tcW w:w="1195" w:type="dxa"/>
                  <w:vMerge w:val="restart"/>
                  <w:tcBorders>
                    <w:top w:val="single" w:color="auto" w:sz="4" w:space="0"/>
                    <w:left w:val="nil"/>
                    <w:right w:val="single" w:color="auto" w:sz="4" w:space="0"/>
                  </w:tcBorders>
                  <w:vAlign w:val="center"/>
                </w:tcPr>
                <w:p w14:paraId="3EF22925">
                  <w:pPr>
                    <w:autoSpaceDE w:val="0"/>
                    <w:jc w:val="center"/>
                    <w:rPr>
                      <w:color w:val="auto"/>
                      <w:szCs w:val="21"/>
                    </w:rPr>
                  </w:pPr>
                  <w:r>
                    <w:rPr>
                      <w:color w:val="auto"/>
                      <w:szCs w:val="21"/>
                    </w:rPr>
                    <w:t>监测频次</w:t>
                  </w:r>
                </w:p>
              </w:tc>
            </w:tr>
            <w:tr w14:paraId="6D9B0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 w:type="dxa"/>
                  <w:vMerge w:val="continue"/>
                  <w:tcBorders>
                    <w:top w:val="single" w:color="auto" w:sz="4" w:space="0"/>
                    <w:left w:val="single" w:color="auto" w:sz="4" w:space="0"/>
                    <w:bottom w:val="single" w:color="auto" w:sz="4" w:space="0"/>
                    <w:right w:val="single" w:color="auto" w:sz="4" w:space="0"/>
                  </w:tcBorders>
                  <w:vAlign w:val="center"/>
                </w:tcPr>
                <w:p w14:paraId="78BB0BD9">
                  <w:pPr>
                    <w:widowControl/>
                    <w:jc w:val="center"/>
                    <w:rPr>
                      <w:color w:val="auto"/>
                      <w:szCs w:val="21"/>
                    </w:rPr>
                  </w:pPr>
                </w:p>
              </w:tc>
              <w:tc>
                <w:tcPr>
                  <w:tcW w:w="1275" w:type="dxa"/>
                  <w:vMerge w:val="continue"/>
                  <w:tcBorders>
                    <w:top w:val="single" w:color="auto" w:sz="4" w:space="0"/>
                    <w:left w:val="nil"/>
                    <w:bottom w:val="single" w:color="auto" w:sz="4" w:space="0"/>
                    <w:right w:val="single" w:color="auto" w:sz="4" w:space="0"/>
                  </w:tcBorders>
                  <w:vAlign w:val="center"/>
                </w:tcPr>
                <w:p w14:paraId="3AC28648">
                  <w:pPr>
                    <w:widowControl/>
                    <w:jc w:val="center"/>
                    <w:rPr>
                      <w:color w:val="auto"/>
                      <w:szCs w:val="21"/>
                    </w:rPr>
                  </w:pPr>
                </w:p>
              </w:tc>
              <w:tc>
                <w:tcPr>
                  <w:tcW w:w="896" w:type="dxa"/>
                  <w:vMerge w:val="continue"/>
                  <w:tcBorders>
                    <w:top w:val="single" w:color="auto" w:sz="4" w:space="0"/>
                    <w:left w:val="nil"/>
                    <w:bottom w:val="single" w:color="auto" w:sz="4" w:space="0"/>
                    <w:right w:val="single" w:color="auto" w:sz="4" w:space="0"/>
                  </w:tcBorders>
                  <w:vAlign w:val="center"/>
                </w:tcPr>
                <w:p w14:paraId="53A65B23">
                  <w:pPr>
                    <w:widowControl/>
                    <w:jc w:val="center"/>
                    <w:rPr>
                      <w:color w:val="auto"/>
                      <w:szCs w:val="21"/>
                    </w:rPr>
                  </w:pPr>
                </w:p>
              </w:tc>
              <w:tc>
                <w:tcPr>
                  <w:tcW w:w="995" w:type="dxa"/>
                  <w:vMerge w:val="continue"/>
                  <w:tcBorders>
                    <w:top w:val="single" w:color="auto" w:sz="4" w:space="0"/>
                    <w:left w:val="nil"/>
                    <w:bottom w:val="single" w:color="auto" w:sz="4" w:space="0"/>
                    <w:right w:val="single" w:color="auto" w:sz="4" w:space="0"/>
                  </w:tcBorders>
                  <w:vAlign w:val="center"/>
                </w:tcPr>
                <w:p w14:paraId="30032588">
                  <w:pPr>
                    <w:widowControl/>
                    <w:jc w:val="center"/>
                    <w:rPr>
                      <w:color w:val="auto"/>
                      <w:szCs w:val="21"/>
                    </w:rPr>
                  </w:pPr>
                </w:p>
              </w:tc>
              <w:tc>
                <w:tcPr>
                  <w:tcW w:w="1535" w:type="dxa"/>
                  <w:tcBorders>
                    <w:top w:val="single" w:color="auto" w:sz="4" w:space="0"/>
                    <w:left w:val="nil"/>
                    <w:bottom w:val="single" w:color="auto" w:sz="4" w:space="0"/>
                    <w:right w:val="single" w:color="auto" w:sz="4" w:space="0"/>
                  </w:tcBorders>
                  <w:vAlign w:val="center"/>
                </w:tcPr>
                <w:p w14:paraId="03C3A7C1">
                  <w:pPr>
                    <w:autoSpaceDE w:val="0"/>
                    <w:jc w:val="center"/>
                    <w:rPr>
                      <w:color w:val="auto"/>
                      <w:szCs w:val="21"/>
                    </w:rPr>
                  </w:pPr>
                  <w:r>
                    <w:rPr>
                      <w:color w:val="auto"/>
                      <w:szCs w:val="21"/>
                    </w:rPr>
                    <w:t>经度</w:t>
                  </w:r>
                </w:p>
              </w:tc>
              <w:tc>
                <w:tcPr>
                  <w:tcW w:w="1489" w:type="dxa"/>
                  <w:tcBorders>
                    <w:top w:val="single" w:color="auto" w:sz="4" w:space="0"/>
                    <w:left w:val="nil"/>
                    <w:bottom w:val="single" w:color="auto" w:sz="4" w:space="0"/>
                    <w:right w:val="single" w:color="auto" w:sz="4" w:space="0"/>
                  </w:tcBorders>
                  <w:vAlign w:val="center"/>
                </w:tcPr>
                <w:p w14:paraId="04074652">
                  <w:pPr>
                    <w:autoSpaceDE w:val="0"/>
                    <w:jc w:val="center"/>
                    <w:rPr>
                      <w:color w:val="auto"/>
                      <w:szCs w:val="21"/>
                    </w:rPr>
                  </w:pPr>
                  <w:r>
                    <w:rPr>
                      <w:color w:val="auto"/>
                      <w:szCs w:val="21"/>
                    </w:rPr>
                    <w:t>纬度</w:t>
                  </w:r>
                </w:p>
              </w:tc>
              <w:tc>
                <w:tcPr>
                  <w:tcW w:w="1195" w:type="dxa"/>
                  <w:vMerge w:val="continue"/>
                  <w:tcBorders>
                    <w:left w:val="nil"/>
                    <w:bottom w:val="single" w:color="auto" w:sz="4" w:space="0"/>
                    <w:right w:val="single" w:color="auto" w:sz="4" w:space="0"/>
                  </w:tcBorders>
                  <w:vAlign w:val="center"/>
                </w:tcPr>
                <w:p w14:paraId="26217BE7">
                  <w:pPr>
                    <w:widowControl/>
                    <w:jc w:val="center"/>
                    <w:rPr>
                      <w:color w:val="auto"/>
                      <w:szCs w:val="21"/>
                    </w:rPr>
                  </w:pPr>
                </w:p>
              </w:tc>
            </w:tr>
            <w:tr w14:paraId="33226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 w:type="dxa"/>
                  <w:tcBorders>
                    <w:left w:val="single" w:color="auto" w:sz="4" w:space="0"/>
                    <w:right w:val="single" w:color="auto" w:sz="4" w:space="0"/>
                  </w:tcBorders>
                  <w:vAlign w:val="center"/>
                </w:tcPr>
                <w:p w14:paraId="6F0ECCFD">
                  <w:pPr>
                    <w:adjustRightInd w:val="0"/>
                    <w:snapToGrid w:val="0"/>
                    <w:jc w:val="center"/>
                    <w:rPr>
                      <w:color w:val="auto"/>
                      <w:szCs w:val="21"/>
                    </w:rPr>
                  </w:pPr>
                  <w:r>
                    <w:rPr>
                      <w:color w:val="auto"/>
                      <w:szCs w:val="21"/>
                    </w:rPr>
                    <w:t>DA00</w:t>
                  </w:r>
                  <w:r>
                    <w:rPr>
                      <w:rFonts w:hint="eastAsia"/>
                      <w:color w:val="auto"/>
                      <w:szCs w:val="21"/>
                    </w:rPr>
                    <w:t>1</w:t>
                  </w:r>
                </w:p>
              </w:tc>
              <w:tc>
                <w:tcPr>
                  <w:tcW w:w="1275" w:type="dxa"/>
                  <w:tcBorders>
                    <w:top w:val="single" w:color="auto" w:sz="4" w:space="0"/>
                    <w:left w:val="nil"/>
                    <w:bottom w:val="single" w:color="auto" w:sz="4" w:space="0"/>
                    <w:right w:val="single" w:color="auto" w:sz="4" w:space="0"/>
                  </w:tcBorders>
                  <w:vAlign w:val="center"/>
                </w:tcPr>
                <w:p w14:paraId="25DB0105">
                  <w:pPr>
                    <w:pStyle w:val="32"/>
                    <w:rPr>
                      <w:color w:val="auto"/>
                    </w:rPr>
                  </w:pPr>
                  <w:r>
                    <w:rPr>
                      <w:rFonts w:hint="eastAsia"/>
                      <w:color w:val="auto"/>
                    </w:rPr>
                    <w:t>颗粒物</w:t>
                  </w:r>
                </w:p>
              </w:tc>
              <w:tc>
                <w:tcPr>
                  <w:tcW w:w="896" w:type="dxa"/>
                  <w:tcBorders>
                    <w:left w:val="nil"/>
                    <w:right w:val="single" w:color="auto" w:sz="4" w:space="0"/>
                  </w:tcBorders>
                  <w:vAlign w:val="center"/>
                </w:tcPr>
                <w:p w14:paraId="5DC2E113">
                  <w:pPr>
                    <w:autoSpaceDE w:val="0"/>
                    <w:jc w:val="center"/>
                    <w:rPr>
                      <w:color w:val="auto"/>
                      <w:szCs w:val="21"/>
                    </w:rPr>
                  </w:pPr>
                  <w:r>
                    <w:rPr>
                      <w:rFonts w:hint="eastAsia"/>
                      <w:color w:val="auto"/>
                      <w:szCs w:val="21"/>
                    </w:rPr>
                    <w:t>15</w:t>
                  </w:r>
                </w:p>
              </w:tc>
              <w:tc>
                <w:tcPr>
                  <w:tcW w:w="995" w:type="dxa"/>
                  <w:tcBorders>
                    <w:left w:val="nil"/>
                    <w:right w:val="single" w:color="auto" w:sz="4" w:space="0"/>
                  </w:tcBorders>
                  <w:vAlign w:val="center"/>
                </w:tcPr>
                <w:p w14:paraId="184181F4">
                  <w:pPr>
                    <w:autoSpaceDE w:val="0"/>
                    <w:jc w:val="center"/>
                    <w:rPr>
                      <w:rFonts w:hint="default" w:eastAsia="宋体"/>
                      <w:color w:val="auto"/>
                      <w:szCs w:val="21"/>
                      <w:lang w:val="en-US" w:eastAsia="zh-CN"/>
                    </w:rPr>
                  </w:pPr>
                  <w:r>
                    <w:rPr>
                      <w:rFonts w:hint="eastAsia"/>
                      <w:color w:val="auto"/>
                      <w:szCs w:val="21"/>
                      <w:lang w:val="en-US" w:eastAsia="zh-CN"/>
                    </w:rPr>
                    <w:t>0.5</w:t>
                  </w:r>
                </w:p>
              </w:tc>
              <w:tc>
                <w:tcPr>
                  <w:tcW w:w="1535" w:type="dxa"/>
                  <w:tcBorders>
                    <w:left w:val="nil"/>
                    <w:right w:val="single" w:color="auto" w:sz="4" w:space="0"/>
                  </w:tcBorders>
                  <w:vAlign w:val="center"/>
                </w:tcPr>
                <w:p w14:paraId="24231E45">
                  <w:pPr>
                    <w:autoSpaceDE w:val="0"/>
                    <w:jc w:val="center"/>
                    <w:rPr>
                      <w:color w:val="auto"/>
                      <w:szCs w:val="21"/>
                    </w:rPr>
                  </w:pPr>
                  <w:r>
                    <w:rPr>
                      <w:color w:val="auto"/>
                      <w:szCs w:val="21"/>
                    </w:rPr>
                    <w:t>117°</w:t>
                  </w:r>
                  <w:r>
                    <w:rPr>
                      <w:rFonts w:hint="eastAsia"/>
                      <w:color w:val="auto"/>
                      <w:szCs w:val="21"/>
                      <w:lang w:val="en-US" w:eastAsia="zh-CN"/>
                    </w:rPr>
                    <w:t>6</w:t>
                  </w:r>
                  <w:r>
                    <w:rPr>
                      <w:color w:val="auto"/>
                      <w:szCs w:val="21"/>
                    </w:rPr>
                    <w:t>′</w:t>
                  </w:r>
                  <w:r>
                    <w:rPr>
                      <w:rFonts w:hint="eastAsia"/>
                      <w:color w:val="auto"/>
                      <w:szCs w:val="21"/>
                      <w:lang w:val="en-US" w:eastAsia="zh-CN"/>
                    </w:rPr>
                    <w:t>3</w:t>
                  </w:r>
                  <w:r>
                    <w:rPr>
                      <w:color w:val="auto"/>
                      <w:szCs w:val="21"/>
                    </w:rPr>
                    <w:t>.</w:t>
                  </w:r>
                  <w:r>
                    <w:rPr>
                      <w:rFonts w:hint="eastAsia"/>
                      <w:color w:val="auto"/>
                      <w:szCs w:val="21"/>
                      <w:lang w:val="en-US" w:eastAsia="zh-CN"/>
                    </w:rPr>
                    <w:t>037</w:t>
                  </w:r>
                  <w:r>
                    <w:rPr>
                      <w:color w:val="auto"/>
                      <w:szCs w:val="21"/>
                    </w:rPr>
                    <w:t>″</w:t>
                  </w:r>
                </w:p>
              </w:tc>
              <w:tc>
                <w:tcPr>
                  <w:tcW w:w="1489" w:type="dxa"/>
                  <w:tcBorders>
                    <w:left w:val="nil"/>
                    <w:right w:val="single" w:color="auto" w:sz="4" w:space="0"/>
                  </w:tcBorders>
                  <w:vAlign w:val="center"/>
                </w:tcPr>
                <w:p w14:paraId="724D127B">
                  <w:pPr>
                    <w:autoSpaceDE w:val="0"/>
                    <w:jc w:val="center"/>
                    <w:rPr>
                      <w:color w:val="auto"/>
                      <w:szCs w:val="21"/>
                    </w:rPr>
                  </w:pPr>
                  <w:r>
                    <w:rPr>
                      <w:rFonts w:hint="eastAsia"/>
                      <w:color w:val="auto"/>
                      <w:szCs w:val="21"/>
                    </w:rPr>
                    <w:t>33</w:t>
                  </w:r>
                  <w:r>
                    <w:rPr>
                      <w:color w:val="auto"/>
                      <w:szCs w:val="21"/>
                    </w:rPr>
                    <w:t>°</w:t>
                  </w:r>
                  <w:r>
                    <w:rPr>
                      <w:rFonts w:hint="eastAsia"/>
                      <w:color w:val="auto"/>
                      <w:szCs w:val="21"/>
                      <w:lang w:val="en-US" w:eastAsia="zh-CN"/>
                    </w:rPr>
                    <w:t>41</w:t>
                  </w:r>
                  <w:r>
                    <w:rPr>
                      <w:color w:val="auto"/>
                      <w:szCs w:val="21"/>
                    </w:rPr>
                    <w:t>′</w:t>
                  </w:r>
                  <w:r>
                    <w:rPr>
                      <w:rFonts w:hint="eastAsia"/>
                      <w:color w:val="auto"/>
                      <w:szCs w:val="21"/>
                      <w:lang w:val="en-US" w:eastAsia="zh-CN"/>
                    </w:rPr>
                    <w:t>46.140</w:t>
                  </w:r>
                  <w:r>
                    <w:rPr>
                      <w:color w:val="auto"/>
                      <w:szCs w:val="21"/>
                    </w:rPr>
                    <w:t>″</w:t>
                  </w:r>
                </w:p>
              </w:tc>
              <w:tc>
                <w:tcPr>
                  <w:tcW w:w="1195" w:type="dxa"/>
                  <w:tcBorders>
                    <w:left w:val="nil"/>
                    <w:right w:val="single" w:color="auto" w:sz="4" w:space="0"/>
                  </w:tcBorders>
                  <w:vAlign w:val="center"/>
                </w:tcPr>
                <w:p w14:paraId="11CAFB96">
                  <w:pPr>
                    <w:autoSpaceDE w:val="0"/>
                    <w:jc w:val="center"/>
                    <w:rPr>
                      <w:color w:val="auto"/>
                      <w:szCs w:val="21"/>
                    </w:rPr>
                  </w:pPr>
                  <w:r>
                    <w:rPr>
                      <w:rFonts w:hint="eastAsia"/>
                      <w:color w:val="auto"/>
                      <w:szCs w:val="21"/>
                    </w:rPr>
                    <w:t>1次/年</w:t>
                  </w:r>
                </w:p>
              </w:tc>
            </w:tr>
            <w:tr w14:paraId="5390C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 w:type="dxa"/>
                  <w:tcBorders>
                    <w:left w:val="single" w:color="auto" w:sz="4" w:space="0"/>
                    <w:right w:val="single" w:color="auto" w:sz="4" w:space="0"/>
                  </w:tcBorders>
                  <w:vAlign w:val="center"/>
                </w:tcPr>
                <w:p w14:paraId="13E42422">
                  <w:pPr>
                    <w:adjustRightInd w:val="0"/>
                    <w:snapToGrid w:val="0"/>
                    <w:jc w:val="center"/>
                    <w:rPr>
                      <w:color w:val="auto"/>
                      <w:szCs w:val="21"/>
                    </w:rPr>
                  </w:pPr>
                  <w:r>
                    <w:rPr>
                      <w:color w:val="auto"/>
                      <w:szCs w:val="21"/>
                    </w:rPr>
                    <w:t>DA00</w:t>
                  </w:r>
                  <w:r>
                    <w:rPr>
                      <w:rFonts w:hint="eastAsia"/>
                      <w:color w:val="auto"/>
                      <w:szCs w:val="21"/>
                    </w:rPr>
                    <w:t>2</w:t>
                  </w:r>
                </w:p>
              </w:tc>
              <w:tc>
                <w:tcPr>
                  <w:tcW w:w="1275" w:type="dxa"/>
                  <w:tcBorders>
                    <w:top w:val="single" w:color="auto" w:sz="4" w:space="0"/>
                    <w:left w:val="nil"/>
                    <w:bottom w:val="single" w:color="auto" w:sz="4" w:space="0"/>
                    <w:right w:val="single" w:color="auto" w:sz="4" w:space="0"/>
                  </w:tcBorders>
                  <w:vAlign w:val="center"/>
                </w:tcPr>
                <w:p w14:paraId="4CD10C25">
                  <w:pPr>
                    <w:pStyle w:val="32"/>
                    <w:rPr>
                      <w:rFonts w:hint="eastAsia"/>
                      <w:color w:val="auto"/>
                    </w:rPr>
                  </w:pPr>
                  <w:r>
                    <w:rPr>
                      <w:rFonts w:hint="eastAsia"/>
                      <w:color w:val="auto"/>
                    </w:rPr>
                    <w:t>颗粒物</w:t>
                  </w:r>
                </w:p>
              </w:tc>
              <w:tc>
                <w:tcPr>
                  <w:tcW w:w="896" w:type="dxa"/>
                  <w:tcBorders>
                    <w:left w:val="nil"/>
                    <w:right w:val="single" w:color="auto" w:sz="4" w:space="0"/>
                  </w:tcBorders>
                  <w:vAlign w:val="center"/>
                </w:tcPr>
                <w:p w14:paraId="1B262E7E">
                  <w:pPr>
                    <w:autoSpaceDE w:val="0"/>
                    <w:jc w:val="center"/>
                    <w:rPr>
                      <w:rFonts w:hint="default" w:eastAsia="宋体"/>
                      <w:color w:val="auto"/>
                      <w:szCs w:val="21"/>
                      <w:lang w:val="en-US" w:eastAsia="zh-CN"/>
                    </w:rPr>
                  </w:pPr>
                  <w:r>
                    <w:rPr>
                      <w:rFonts w:hint="eastAsia"/>
                      <w:color w:val="auto"/>
                      <w:szCs w:val="21"/>
                      <w:lang w:val="en-US" w:eastAsia="zh-CN"/>
                    </w:rPr>
                    <w:t>15</w:t>
                  </w:r>
                </w:p>
              </w:tc>
              <w:tc>
                <w:tcPr>
                  <w:tcW w:w="995" w:type="dxa"/>
                  <w:tcBorders>
                    <w:left w:val="nil"/>
                    <w:right w:val="single" w:color="auto" w:sz="4" w:space="0"/>
                  </w:tcBorders>
                  <w:vAlign w:val="center"/>
                </w:tcPr>
                <w:p w14:paraId="7CF37AF8">
                  <w:pPr>
                    <w:autoSpaceDE w:val="0"/>
                    <w:jc w:val="center"/>
                    <w:rPr>
                      <w:rFonts w:hint="default" w:eastAsia="宋体"/>
                      <w:color w:val="auto"/>
                      <w:szCs w:val="21"/>
                      <w:lang w:val="en-US" w:eastAsia="zh-CN"/>
                    </w:rPr>
                  </w:pPr>
                  <w:r>
                    <w:rPr>
                      <w:rFonts w:hint="eastAsia"/>
                      <w:color w:val="auto"/>
                      <w:szCs w:val="21"/>
                      <w:lang w:val="en-US" w:eastAsia="zh-CN"/>
                    </w:rPr>
                    <w:t>0.9</w:t>
                  </w:r>
                </w:p>
              </w:tc>
              <w:tc>
                <w:tcPr>
                  <w:tcW w:w="1535" w:type="dxa"/>
                  <w:tcBorders>
                    <w:left w:val="nil"/>
                    <w:right w:val="single" w:color="auto" w:sz="4" w:space="0"/>
                  </w:tcBorders>
                  <w:vAlign w:val="center"/>
                </w:tcPr>
                <w:p w14:paraId="674884D5">
                  <w:pPr>
                    <w:autoSpaceDE w:val="0"/>
                    <w:jc w:val="center"/>
                    <w:rPr>
                      <w:color w:val="auto"/>
                      <w:szCs w:val="21"/>
                    </w:rPr>
                  </w:pPr>
                  <w:r>
                    <w:rPr>
                      <w:rFonts w:hint="eastAsia"/>
                      <w:color w:val="auto"/>
                      <w:szCs w:val="21"/>
                    </w:rPr>
                    <w:t>117</w:t>
                  </w:r>
                  <w:r>
                    <w:rPr>
                      <w:color w:val="auto"/>
                      <w:szCs w:val="21"/>
                    </w:rPr>
                    <w:t>°</w:t>
                  </w:r>
                  <w:r>
                    <w:rPr>
                      <w:rFonts w:hint="eastAsia"/>
                      <w:color w:val="auto"/>
                      <w:szCs w:val="21"/>
                      <w:lang w:val="en-US" w:eastAsia="zh-CN"/>
                    </w:rPr>
                    <w:t>5</w:t>
                  </w:r>
                  <w:r>
                    <w:rPr>
                      <w:color w:val="auto"/>
                      <w:szCs w:val="21"/>
                    </w:rPr>
                    <w:t>′</w:t>
                  </w:r>
                  <w:r>
                    <w:rPr>
                      <w:rFonts w:hint="eastAsia"/>
                      <w:color w:val="auto"/>
                      <w:szCs w:val="21"/>
                      <w:lang w:val="en-US" w:eastAsia="zh-CN"/>
                    </w:rPr>
                    <w:t>58.595</w:t>
                  </w:r>
                  <w:r>
                    <w:rPr>
                      <w:color w:val="auto"/>
                      <w:szCs w:val="21"/>
                    </w:rPr>
                    <w:t>″</w:t>
                  </w:r>
                </w:p>
              </w:tc>
              <w:tc>
                <w:tcPr>
                  <w:tcW w:w="1489" w:type="dxa"/>
                  <w:tcBorders>
                    <w:left w:val="nil"/>
                    <w:right w:val="single" w:color="auto" w:sz="4" w:space="0"/>
                  </w:tcBorders>
                  <w:vAlign w:val="center"/>
                </w:tcPr>
                <w:p w14:paraId="0CB6A0C8">
                  <w:pPr>
                    <w:autoSpaceDE w:val="0"/>
                    <w:jc w:val="center"/>
                    <w:rPr>
                      <w:rFonts w:hint="eastAsia"/>
                      <w:color w:val="auto"/>
                      <w:szCs w:val="21"/>
                    </w:rPr>
                  </w:pPr>
                  <w:r>
                    <w:rPr>
                      <w:rFonts w:hint="eastAsia"/>
                      <w:color w:val="auto"/>
                      <w:szCs w:val="21"/>
                    </w:rPr>
                    <w:t>33</w:t>
                  </w:r>
                  <w:r>
                    <w:rPr>
                      <w:color w:val="auto"/>
                      <w:szCs w:val="21"/>
                    </w:rPr>
                    <w:t>°</w:t>
                  </w:r>
                  <w:r>
                    <w:rPr>
                      <w:rFonts w:hint="eastAsia"/>
                      <w:color w:val="auto"/>
                      <w:szCs w:val="21"/>
                      <w:lang w:val="en-US" w:eastAsia="zh-CN"/>
                    </w:rPr>
                    <w:t>41</w:t>
                  </w:r>
                  <w:r>
                    <w:rPr>
                      <w:color w:val="auto"/>
                      <w:szCs w:val="21"/>
                    </w:rPr>
                    <w:t>′</w:t>
                  </w:r>
                  <w:r>
                    <w:rPr>
                      <w:rFonts w:hint="eastAsia"/>
                      <w:color w:val="auto"/>
                      <w:szCs w:val="21"/>
                      <w:lang w:val="en-US" w:eastAsia="zh-CN"/>
                    </w:rPr>
                    <w:t>46.507</w:t>
                  </w:r>
                  <w:r>
                    <w:rPr>
                      <w:color w:val="auto"/>
                      <w:szCs w:val="21"/>
                    </w:rPr>
                    <w:t>″</w:t>
                  </w:r>
                </w:p>
              </w:tc>
              <w:tc>
                <w:tcPr>
                  <w:tcW w:w="1195" w:type="dxa"/>
                  <w:tcBorders>
                    <w:left w:val="nil"/>
                    <w:right w:val="single" w:color="auto" w:sz="4" w:space="0"/>
                  </w:tcBorders>
                  <w:vAlign w:val="center"/>
                </w:tcPr>
                <w:p w14:paraId="4B82A84E">
                  <w:pPr>
                    <w:autoSpaceDE w:val="0"/>
                    <w:jc w:val="center"/>
                    <w:rPr>
                      <w:rFonts w:hint="eastAsia"/>
                      <w:color w:val="auto"/>
                      <w:szCs w:val="21"/>
                    </w:rPr>
                  </w:pPr>
                  <w:r>
                    <w:rPr>
                      <w:rFonts w:hint="eastAsia"/>
                      <w:color w:val="auto"/>
                      <w:szCs w:val="21"/>
                    </w:rPr>
                    <w:t>1次/年</w:t>
                  </w:r>
                </w:p>
              </w:tc>
            </w:tr>
            <w:tr w14:paraId="6C474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 w:type="dxa"/>
                  <w:vMerge w:val="restart"/>
                  <w:tcBorders>
                    <w:left w:val="single" w:color="auto" w:sz="4" w:space="0"/>
                    <w:right w:val="single" w:color="auto" w:sz="4" w:space="0"/>
                  </w:tcBorders>
                  <w:vAlign w:val="center"/>
                </w:tcPr>
                <w:p w14:paraId="4A38520A">
                  <w:pPr>
                    <w:adjustRightInd w:val="0"/>
                    <w:snapToGrid w:val="0"/>
                    <w:jc w:val="center"/>
                    <w:rPr>
                      <w:rFonts w:hint="eastAsia" w:eastAsia="宋体"/>
                      <w:color w:val="auto"/>
                      <w:szCs w:val="21"/>
                      <w:lang w:val="en-US" w:eastAsia="zh-CN"/>
                    </w:rPr>
                  </w:pPr>
                  <w:r>
                    <w:rPr>
                      <w:color w:val="auto"/>
                      <w:szCs w:val="21"/>
                    </w:rPr>
                    <w:t>DA00</w:t>
                  </w:r>
                  <w:r>
                    <w:rPr>
                      <w:rFonts w:hint="eastAsia"/>
                      <w:color w:val="auto"/>
                      <w:szCs w:val="21"/>
                      <w:lang w:val="en-US" w:eastAsia="zh-CN"/>
                    </w:rPr>
                    <w:t>3</w:t>
                  </w:r>
                </w:p>
              </w:tc>
              <w:tc>
                <w:tcPr>
                  <w:tcW w:w="1275" w:type="dxa"/>
                  <w:tcBorders>
                    <w:top w:val="single" w:color="auto" w:sz="4" w:space="0"/>
                    <w:left w:val="nil"/>
                    <w:bottom w:val="single" w:color="auto" w:sz="4" w:space="0"/>
                    <w:right w:val="single" w:color="auto" w:sz="4" w:space="0"/>
                  </w:tcBorders>
                  <w:vAlign w:val="center"/>
                </w:tcPr>
                <w:p w14:paraId="6DB02139">
                  <w:pPr>
                    <w:pStyle w:val="32"/>
                    <w:rPr>
                      <w:color w:val="auto"/>
                    </w:rPr>
                  </w:pPr>
                  <w:r>
                    <w:rPr>
                      <w:rFonts w:hint="eastAsia"/>
                      <w:color w:val="auto"/>
                    </w:rPr>
                    <w:t>SO</w:t>
                  </w:r>
                  <w:r>
                    <w:rPr>
                      <w:rFonts w:hint="eastAsia"/>
                      <w:color w:val="auto"/>
                      <w:vertAlign w:val="subscript"/>
                    </w:rPr>
                    <w:t>2</w:t>
                  </w:r>
                </w:p>
              </w:tc>
              <w:tc>
                <w:tcPr>
                  <w:tcW w:w="896" w:type="dxa"/>
                  <w:vMerge w:val="restart"/>
                  <w:tcBorders>
                    <w:left w:val="nil"/>
                    <w:right w:val="single" w:color="auto" w:sz="4" w:space="0"/>
                  </w:tcBorders>
                  <w:vAlign w:val="center"/>
                </w:tcPr>
                <w:p w14:paraId="18F76E83">
                  <w:pPr>
                    <w:autoSpaceDE w:val="0"/>
                    <w:jc w:val="center"/>
                    <w:rPr>
                      <w:color w:val="auto"/>
                      <w:szCs w:val="21"/>
                    </w:rPr>
                  </w:pPr>
                  <w:r>
                    <w:rPr>
                      <w:rFonts w:hint="eastAsia"/>
                      <w:color w:val="auto"/>
                      <w:szCs w:val="21"/>
                    </w:rPr>
                    <w:t>40</w:t>
                  </w:r>
                </w:p>
              </w:tc>
              <w:tc>
                <w:tcPr>
                  <w:tcW w:w="995" w:type="dxa"/>
                  <w:vMerge w:val="restart"/>
                  <w:tcBorders>
                    <w:left w:val="nil"/>
                    <w:right w:val="single" w:color="auto" w:sz="4" w:space="0"/>
                  </w:tcBorders>
                  <w:vAlign w:val="center"/>
                </w:tcPr>
                <w:p w14:paraId="67575328">
                  <w:pPr>
                    <w:autoSpaceDE w:val="0"/>
                    <w:jc w:val="center"/>
                    <w:rPr>
                      <w:rFonts w:hint="default" w:eastAsia="宋体"/>
                      <w:color w:val="auto"/>
                      <w:szCs w:val="21"/>
                      <w:lang w:val="en-US" w:eastAsia="zh-CN"/>
                    </w:rPr>
                  </w:pPr>
                  <w:r>
                    <w:rPr>
                      <w:rFonts w:hint="eastAsia"/>
                      <w:color w:val="auto"/>
                      <w:szCs w:val="21"/>
                      <w:lang w:val="en-US" w:eastAsia="zh-CN"/>
                    </w:rPr>
                    <w:t>0.5</w:t>
                  </w:r>
                </w:p>
              </w:tc>
              <w:tc>
                <w:tcPr>
                  <w:tcW w:w="1535" w:type="dxa"/>
                  <w:vMerge w:val="restart"/>
                  <w:tcBorders>
                    <w:left w:val="nil"/>
                    <w:right w:val="single" w:color="auto" w:sz="4" w:space="0"/>
                  </w:tcBorders>
                  <w:vAlign w:val="center"/>
                </w:tcPr>
                <w:p w14:paraId="1C1E0EE2">
                  <w:pPr>
                    <w:autoSpaceDE w:val="0"/>
                    <w:jc w:val="center"/>
                    <w:rPr>
                      <w:color w:val="auto"/>
                      <w:szCs w:val="21"/>
                    </w:rPr>
                  </w:pPr>
                  <w:r>
                    <w:rPr>
                      <w:rFonts w:hint="eastAsia"/>
                      <w:color w:val="auto"/>
                      <w:szCs w:val="21"/>
                    </w:rPr>
                    <w:t>117</w:t>
                  </w:r>
                  <w:r>
                    <w:rPr>
                      <w:color w:val="auto"/>
                      <w:szCs w:val="21"/>
                    </w:rPr>
                    <w:t>°</w:t>
                  </w:r>
                  <w:r>
                    <w:rPr>
                      <w:rFonts w:hint="eastAsia"/>
                      <w:color w:val="auto"/>
                      <w:szCs w:val="21"/>
                      <w:lang w:val="en-US" w:eastAsia="zh-CN"/>
                    </w:rPr>
                    <w:t>5</w:t>
                  </w:r>
                  <w:r>
                    <w:rPr>
                      <w:color w:val="auto"/>
                      <w:szCs w:val="21"/>
                    </w:rPr>
                    <w:t>′</w:t>
                  </w:r>
                  <w:r>
                    <w:rPr>
                      <w:rFonts w:hint="eastAsia"/>
                      <w:color w:val="auto"/>
                      <w:szCs w:val="21"/>
                      <w:lang w:val="en-US" w:eastAsia="zh-CN"/>
                    </w:rPr>
                    <w:t>58.054</w:t>
                  </w:r>
                  <w:r>
                    <w:rPr>
                      <w:color w:val="auto"/>
                      <w:szCs w:val="21"/>
                    </w:rPr>
                    <w:t>″</w:t>
                  </w:r>
                </w:p>
              </w:tc>
              <w:tc>
                <w:tcPr>
                  <w:tcW w:w="1489" w:type="dxa"/>
                  <w:vMerge w:val="restart"/>
                  <w:tcBorders>
                    <w:left w:val="nil"/>
                    <w:right w:val="single" w:color="auto" w:sz="4" w:space="0"/>
                  </w:tcBorders>
                  <w:vAlign w:val="center"/>
                </w:tcPr>
                <w:p w14:paraId="482DB66A">
                  <w:pPr>
                    <w:autoSpaceDE w:val="0"/>
                    <w:jc w:val="center"/>
                    <w:rPr>
                      <w:color w:val="auto"/>
                      <w:szCs w:val="21"/>
                    </w:rPr>
                  </w:pPr>
                  <w:r>
                    <w:rPr>
                      <w:rFonts w:hint="eastAsia"/>
                      <w:color w:val="auto"/>
                      <w:szCs w:val="21"/>
                    </w:rPr>
                    <w:t>33</w:t>
                  </w:r>
                  <w:r>
                    <w:rPr>
                      <w:color w:val="auto"/>
                      <w:szCs w:val="21"/>
                    </w:rPr>
                    <w:t>°</w:t>
                  </w:r>
                  <w:r>
                    <w:rPr>
                      <w:rFonts w:hint="eastAsia"/>
                      <w:color w:val="auto"/>
                      <w:szCs w:val="21"/>
                      <w:lang w:val="en-US" w:eastAsia="zh-CN"/>
                    </w:rPr>
                    <w:t>41</w:t>
                  </w:r>
                  <w:r>
                    <w:rPr>
                      <w:color w:val="auto"/>
                      <w:szCs w:val="21"/>
                    </w:rPr>
                    <w:t>′</w:t>
                  </w:r>
                  <w:r>
                    <w:rPr>
                      <w:rFonts w:hint="eastAsia"/>
                      <w:color w:val="auto"/>
                      <w:szCs w:val="21"/>
                      <w:lang w:val="en-US" w:eastAsia="zh-CN"/>
                    </w:rPr>
                    <w:t>45.658</w:t>
                  </w:r>
                  <w:r>
                    <w:rPr>
                      <w:color w:val="auto"/>
                      <w:szCs w:val="21"/>
                    </w:rPr>
                    <w:t>″</w:t>
                  </w:r>
                </w:p>
              </w:tc>
              <w:tc>
                <w:tcPr>
                  <w:tcW w:w="1195" w:type="dxa"/>
                  <w:tcBorders>
                    <w:left w:val="nil"/>
                    <w:right w:val="single" w:color="auto" w:sz="4" w:space="0"/>
                  </w:tcBorders>
                  <w:vAlign w:val="center"/>
                </w:tcPr>
                <w:p w14:paraId="1CBBD0D5">
                  <w:pPr>
                    <w:autoSpaceDE w:val="0"/>
                    <w:jc w:val="center"/>
                    <w:rPr>
                      <w:color w:val="auto"/>
                      <w:szCs w:val="21"/>
                    </w:rPr>
                  </w:pPr>
                  <w:r>
                    <w:rPr>
                      <w:rFonts w:hint="eastAsia"/>
                      <w:color w:val="auto"/>
                      <w:szCs w:val="21"/>
                    </w:rPr>
                    <w:t>1次/年</w:t>
                  </w:r>
                </w:p>
              </w:tc>
            </w:tr>
            <w:tr w14:paraId="6131B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 w:type="dxa"/>
                  <w:vMerge w:val="continue"/>
                  <w:tcBorders>
                    <w:left w:val="single" w:color="auto" w:sz="4" w:space="0"/>
                    <w:right w:val="single" w:color="auto" w:sz="4" w:space="0"/>
                  </w:tcBorders>
                  <w:vAlign w:val="center"/>
                </w:tcPr>
                <w:p w14:paraId="05FF29A4">
                  <w:pPr>
                    <w:adjustRightInd w:val="0"/>
                    <w:snapToGrid w:val="0"/>
                    <w:jc w:val="center"/>
                    <w:rPr>
                      <w:color w:val="auto"/>
                      <w:szCs w:val="21"/>
                    </w:rPr>
                  </w:pPr>
                </w:p>
              </w:tc>
              <w:tc>
                <w:tcPr>
                  <w:tcW w:w="1275" w:type="dxa"/>
                  <w:tcBorders>
                    <w:top w:val="single" w:color="auto" w:sz="4" w:space="0"/>
                    <w:left w:val="nil"/>
                    <w:bottom w:val="single" w:color="auto" w:sz="4" w:space="0"/>
                    <w:right w:val="single" w:color="auto" w:sz="4" w:space="0"/>
                  </w:tcBorders>
                  <w:vAlign w:val="center"/>
                </w:tcPr>
                <w:p w14:paraId="28ED3DBD">
                  <w:pPr>
                    <w:pStyle w:val="32"/>
                    <w:rPr>
                      <w:color w:val="auto"/>
                    </w:rPr>
                  </w:pPr>
                  <w:r>
                    <w:rPr>
                      <w:rFonts w:hint="eastAsia"/>
                      <w:color w:val="auto"/>
                    </w:rPr>
                    <w:t>NOx</w:t>
                  </w:r>
                </w:p>
              </w:tc>
              <w:tc>
                <w:tcPr>
                  <w:tcW w:w="896" w:type="dxa"/>
                  <w:vMerge w:val="continue"/>
                  <w:tcBorders>
                    <w:left w:val="nil"/>
                    <w:right w:val="single" w:color="auto" w:sz="4" w:space="0"/>
                  </w:tcBorders>
                  <w:vAlign w:val="center"/>
                </w:tcPr>
                <w:p w14:paraId="3066483D">
                  <w:pPr>
                    <w:autoSpaceDE w:val="0"/>
                    <w:jc w:val="center"/>
                    <w:rPr>
                      <w:color w:val="auto"/>
                      <w:szCs w:val="21"/>
                    </w:rPr>
                  </w:pPr>
                </w:p>
              </w:tc>
              <w:tc>
                <w:tcPr>
                  <w:tcW w:w="995" w:type="dxa"/>
                  <w:vMerge w:val="continue"/>
                  <w:tcBorders>
                    <w:left w:val="nil"/>
                    <w:right w:val="single" w:color="auto" w:sz="4" w:space="0"/>
                  </w:tcBorders>
                  <w:vAlign w:val="center"/>
                </w:tcPr>
                <w:p w14:paraId="5EEE1810">
                  <w:pPr>
                    <w:autoSpaceDE w:val="0"/>
                    <w:jc w:val="center"/>
                    <w:rPr>
                      <w:color w:val="auto"/>
                      <w:szCs w:val="21"/>
                    </w:rPr>
                  </w:pPr>
                </w:p>
              </w:tc>
              <w:tc>
                <w:tcPr>
                  <w:tcW w:w="1535" w:type="dxa"/>
                  <w:vMerge w:val="continue"/>
                  <w:tcBorders>
                    <w:left w:val="nil"/>
                    <w:right w:val="single" w:color="auto" w:sz="4" w:space="0"/>
                  </w:tcBorders>
                  <w:vAlign w:val="center"/>
                </w:tcPr>
                <w:p w14:paraId="6F1DF7B9">
                  <w:pPr>
                    <w:autoSpaceDE w:val="0"/>
                    <w:jc w:val="center"/>
                    <w:rPr>
                      <w:color w:val="auto"/>
                      <w:szCs w:val="21"/>
                    </w:rPr>
                  </w:pPr>
                </w:p>
              </w:tc>
              <w:tc>
                <w:tcPr>
                  <w:tcW w:w="1489" w:type="dxa"/>
                  <w:vMerge w:val="continue"/>
                  <w:tcBorders>
                    <w:left w:val="nil"/>
                    <w:right w:val="single" w:color="auto" w:sz="4" w:space="0"/>
                  </w:tcBorders>
                  <w:vAlign w:val="center"/>
                </w:tcPr>
                <w:p w14:paraId="6BB57335">
                  <w:pPr>
                    <w:autoSpaceDE w:val="0"/>
                    <w:jc w:val="center"/>
                    <w:rPr>
                      <w:color w:val="auto"/>
                      <w:szCs w:val="21"/>
                    </w:rPr>
                  </w:pPr>
                </w:p>
              </w:tc>
              <w:tc>
                <w:tcPr>
                  <w:tcW w:w="1195" w:type="dxa"/>
                  <w:tcBorders>
                    <w:left w:val="nil"/>
                    <w:right w:val="single" w:color="auto" w:sz="4" w:space="0"/>
                  </w:tcBorders>
                  <w:vAlign w:val="center"/>
                </w:tcPr>
                <w:p w14:paraId="2B11B3F6">
                  <w:pPr>
                    <w:autoSpaceDE w:val="0"/>
                    <w:jc w:val="center"/>
                    <w:rPr>
                      <w:color w:val="auto"/>
                      <w:szCs w:val="21"/>
                    </w:rPr>
                  </w:pPr>
                  <w:r>
                    <w:rPr>
                      <w:rFonts w:hint="eastAsia"/>
                      <w:color w:val="auto"/>
                      <w:szCs w:val="21"/>
                    </w:rPr>
                    <w:t>1次/月</w:t>
                  </w:r>
                </w:p>
              </w:tc>
            </w:tr>
            <w:tr w14:paraId="3DEAD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 w:type="dxa"/>
                  <w:vMerge w:val="continue"/>
                  <w:tcBorders>
                    <w:left w:val="single" w:color="auto" w:sz="4" w:space="0"/>
                    <w:right w:val="single" w:color="auto" w:sz="4" w:space="0"/>
                  </w:tcBorders>
                  <w:vAlign w:val="center"/>
                </w:tcPr>
                <w:p w14:paraId="4BB9D02B">
                  <w:pPr>
                    <w:adjustRightInd w:val="0"/>
                    <w:snapToGrid w:val="0"/>
                    <w:jc w:val="center"/>
                    <w:rPr>
                      <w:color w:val="auto"/>
                      <w:szCs w:val="21"/>
                    </w:rPr>
                  </w:pPr>
                </w:p>
              </w:tc>
              <w:tc>
                <w:tcPr>
                  <w:tcW w:w="1275" w:type="dxa"/>
                  <w:tcBorders>
                    <w:top w:val="single" w:color="auto" w:sz="4" w:space="0"/>
                    <w:left w:val="nil"/>
                    <w:bottom w:val="single" w:color="auto" w:sz="4" w:space="0"/>
                    <w:right w:val="single" w:color="auto" w:sz="4" w:space="0"/>
                  </w:tcBorders>
                  <w:vAlign w:val="center"/>
                </w:tcPr>
                <w:p w14:paraId="3273DB9C">
                  <w:pPr>
                    <w:pStyle w:val="32"/>
                    <w:rPr>
                      <w:color w:val="auto"/>
                    </w:rPr>
                  </w:pPr>
                  <w:r>
                    <w:rPr>
                      <w:rFonts w:hint="eastAsia"/>
                      <w:color w:val="auto"/>
                    </w:rPr>
                    <w:t>颗粒物</w:t>
                  </w:r>
                </w:p>
              </w:tc>
              <w:tc>
                <w:tcPr>
                  <w:tcW w:w="896" w:type="dxa"/>
                  <w:vMerge w:val="continue"/>
                  <w:tcBorders>
                    <w:left w:val="nil"/>
                    <w:right w:val="single" w:color="auto" w:sz="4" w:space="0"/>
                  </w:tcBorders>
                  <w:vAlign w:val="center"/>
                </w:tcPr>
                <w:p w14:paraId="21BCCF48">
                  <w:pPr>
                    <w:autoSpaceDE w:val="0"/>
                    <w:jc w:val="center"/>
                    <w:rPr>
                      <w:color w:val="auto"/>
                      <w:szCs w:val="21"/>
                    </w:rPr>
                  </w:pPr>
                </w:p>
              </w:tc>
              <w:tc>
                <w:tcPr>
                  <w:tcW w:w="995" w:type="dxa"/>
                  <w:vMerge w:val="continue"/>
                  <w:tcBorders>
                    <w:left w:val="nil"/>
                    <w:right w:val="single" w:color="auto" w:sz="4" w:space="0"/>
                  </w:tcBorders>
                  <w:vAlign w:val="center"/>
                </w:tcPr>
                <w:p w14:paraId="6368CE4D">
                  <w:pPr>
                    <w:autoSpaceDE w:val="0"/>
                    <w:jc w:val="center"/>
                    <w:rPr>
                      <w:color w:val="auto"/>
                      <w:szCs w:val="21"/>
                    </w:rPr>
                  </w:pPr>
                </w:p>
              </w:tc>
              <w:tc>
                <w:tcPr>
                  <w:tcW w:w="1535" w:type="dxa"/>
                  <w:vMerge w:val="continue"/>
                  <w:tcBorders>
                    <w:left w:val="nil"/>
                    <w:right w:val="single" w:color="auto" w:sz="4" w:space="0"/>
                  </w:tcBorders>
                  <w:vAlign w:val="center"/>
                </w:tcPr>
                <w:p w14:paraId="46BF554F">
                  <w:pPr>
                    <w:autoSpaceDE w:val="0"/>
                    <w:jc w:val="center"/>
                    <w:rPr>
                      <w:color w:val="auto"/>
                      <w:szCs w:val="21"/>
                    </w:rPr>
                  </w:pPr>
                </w:p>
              </w:tc>
              <w:tc>
                <w:tcPr>
                  <w:tcW w:w="1489" w:type="dxa"/>
                  <w:vMerge w:val="continue"/>
                  <w:tcBorders>
                    <w:left w:val="nil"/>
                    <w:right w:val="single" w:color="auto" w:sz="4" w:space="0"/>
                  </w:tcBorders>
                  <w:vAlign w:val="center"/>
                </w:tcPr>
                <w:p w14:paraId="3538A2C6">
                  <w:pPr>
                    <w:autoSpaceDE w:val="0"/>
                    <w:jc w:val="center"/>
                    <w:rPr>
                      <w:color w:val="auto"/>
                      <w:szCs w:val="21"/>
                    </w:rPr>
                  </w:pPr>
                </w:p>
              </w:tc>
              <w:tc>
                <w:tcPr>
                  <w:tcW w:w="1195" w:type="dxa"/>
                  <w:tcBorders>
                    <w:left w:val="nil"/>
                    <w:right w:val="single" w:color="auto" w:sz="4" w:space="0"/>
                  </w:tcBorders>
                  <w:vAlign w:val="center"/>
                </w:tcPr>
                <w:p w14:paraId="58C94F0F">
                  <w:pPr>
                    <w:autoSpaceDE w:val="0"/>
                    <w:jc w:val="center"/>
                    <w:rPr>
                      <w:color w:val="auto"/>
                      <w:szCs w:val="21"/>
                    </w:rPr>
                  </w:pPr>
                  <w:r>
                    <w:rPr>
                      <w:rFonts w:hint="eastAsia"/>
                      <w:color w:val="auto"/>
                      <w:szCs w:val="21"/>
                    </w:rPr>
                    <w:t>1次/年</w:t>
                  </w:r>
                </w:p>
              </w:tc>
            </w:tr>
            <w:tr w14:paraId="1FF65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 w:type="dxa"/>
                  <w:tcBorders>
                    <w:left w:val="single" w:color="auto" w:sz="4" w:space="0"/>
                    <w:right w:val="single" w:color="auto" w:sz="4" w:space="0"/>
                  </w:tcBorders>
                  <w:vAlign w:val="center"/>
                </w:tcPr>
                <w:p w14:paraId="4A50B72D">
                  <w:pPr>
                    <w:adjustRightInd w:val="0"/>
                    <w:snapToGrid w:val="0"/>
                    <w:jc w:val="center"/>
                    <w:rPr>
                      <w:rFonts w:hint="default" w:eastAsia="宋体"/>
                      <w:color w:val="auto"/>
                      <w:szCs w:val="21"/>
                      <w:lang w:val="en-US" w:eastAsia="zh-CN"/>
                    </w:rPr>
                  </w:pPr>
                  <w:r>
                    <w:rPr>
                      <w:rFonts w:hint="eastAsia"/>
                      <w:color w:val="auto"/>
                      <w:szCs w:val="21"/>
                      <w:lang w:val="en-US" w:eastAsia="zh-CN"/>
                    </w:rPr>
                    <w:t>DA004</w:t>
                  </w:r>
                </w:p>
              </w:tc>
              <w:tc>
                <w:tcPr>
                  <w:tcW w:w="1275" w:type="dxa"/>
                  <w:tcBorders>
                    <w:top w:val="single" w:color="auto" w:sz="4" w:space="0"/>
                    <w:left w:val="nil"/>
                    <w:bottom w:val="single" w:color="auto" w:sz="4" w:space="0"/>
                    <w:right w:val="single" w:color="auto" w:sz="4" w:space="0"/>
                  </w:tcBorders>
                  <w:vAlign w:val="center"/>
                </w:tcPr>
                <w:p w14:paraId="021C8CA2">
                  <w:pPr>
                    <w:pStyle w:val="32"/>
                    <w:rPr>
                      <w:rFonts w:hint="eastAsia"/>
                      <w:color w:val="auto"/>
                    </w:rPr>
                  </w:pPr>
                  <w:r>
                    <w:rPr>
                      <w:rFonts w:hint="eastAsia"/>
                      <w:color w:val="auto"/>
                    </w:rPr>
                    <w:t>颗粒物</w:t>
                  </w:r>
                </w:p>
              </w:tc>
              <w:tc>
                <w:tcPr>
                  <w:tcW w:w="896" w:type="dxa"/>
                  <w:tcBorders>
                    <w:left w:val="nil"/>
                    <w:right w:val="single" w:color="auto" w:sz="4" w:space="0"/>
                  </w:tcBorders>
                  <w:vAlign w:val="center"/>
                </w:tcPr>
                <w:p w14:paraId="4C312BDC">
                  <w:pPr>
                    <w:autoSpaceDE w:val="0"/>
                    <w:jc w:val="center"/>
                    <w:rPr>
                      <w:rFonts w:hint="default" w:eastAsia="宋体"/>
                      <w:color w:val="auto"/>
                      <w:szCs w:val="21"/>
                      <w:lang w:val="en-US" w:eastAsia="zh-CN"/>
                    </w:rPr>
                  </w:pPr>
                  <w:r>
                    <w:rPr>
                      <w:rFonts w:hint="eastAsia"/>
                      <w:color w:val="auto"/>
                      <w:szCs w:val="21"/>
                      <w:lang w:val="en-US" w:eastAsia="zh-CN"/>
                    </w:rPr>
                    <w:t>15</w:t>
                  </w:r>
                </w:p>
              </w:tc>
              <w:tc>
                <w:tcPr>
                  <w:tcW w:w="995" w:type="dxa"/>
                  <w:tcBorders>
                    <w:left w:val="nil"/>
                    <w:right w:val="single" w:color="auto" w:sz="4" w:space="0"/>
                  </w:tcBorders>
                  <w:vAlign w:val="center"/>
                </w:tcPr>
                <w:p w14:paraId="586091F0">
                  <w:pPr>
                    <w:autoSpaceDE w:val="0"/>
                    <w:jc w:val="center"/>
                    <w:rPr>
                      <w:rFonts w:hint="default" w:eastAsia="宋体"/>
                      <w:color w:val="auto"/>
                      <w:szCs w:val="21"/>
                      <w:lang w:val="en-US" w:eastAsia="zh-CN"/>
                    </w:rPr>
                  </w:pPr>
                  <w:r>
                    <w:rPr>
                      <w:rFonts w:hint="eastAsia"/>
                      <w:color w:val="auto"/>
                      <w:szCs w:val="21"/>
                      <w:lang w:val="en-US" w:eastAsia="zh-CN"/>
                    </w:rPr>
                    <w:t>0.6</w:t>
                  </w:r>
                </w:p>
              </w:tc>
              <w:tc>
                <w:tcPr>
                  <w:tcW w:w="1535" w:type="dxa"/>
                  <w:tcBorders>
                    <w:left w:val="nil"/>
                    <w:right w:val="single" w:color="auto" w:sz="4" w:space="0"/>
                  </w:tcBorders>
                  <w:vAlign w:val="center"/>
                </w:tcPr>
                <w:p w14:paraId="0ECC0C85">
                  <w:pPr>
                    <w:autoSpaceDE w:val="0"/>
                    <w:jc w:val="center"/>
                    <w:rPr>
                      <w:color w:val="auto"/>
                      <w:szCs w:val="21"/>
                    </w:rPr>
                  </w:pPr>
                  <w:r>
                    <w:rPr>
                      <w:rFonts w:hint="default" w:ascii="Times New Roman" w:hAnsi="Times New Roman" w:cs="Times New Roman"/>
                      <w:color w:val="auto"/>
                      <w:szCs w:val="21"/>
                      <w:lang w:val="en-US" w:eastAsia="zh-CN"/>
                    </w:rPr>
                    <w:t>117°5′58.700″</w:t>
                  </w:r>
                </w:p>
              </w:tc>
              <w:tc>
                <w:tcPr>
                  <w:tcW w:w="1489" w:type="dxa"/>
                  <w:tcBorders>
                    <w:left w:val="nil"/>
                    <w:right w:val="single" w:color="auto" w:sz="4" w:space="0"/>
                  </w:tcBorders>
                  <w:vAlign w:val="center"/>
                </w:tcPr>
                <w:p w14:paraId="29105BD4">
                  <w:pPr>
                    <w:autoSpaceDE w:val="0"/>
                    <w:jc w:val="center"/>
                    <w:rPr>
                      <w:color w:val="auto"/>
                      <w:szCs w:val="21"/>
                    </w:rPr>
                  </w:pPr>
                  <w:r>
                    <w:rPr>
                      <w:rFonts w:hint="default" w:ascii="Times New Roman" w:hAnsi="Times New Roman" w:cs="Times New Roman"/>
                      <w:color w:val="auto"/>
                      <w:szCs w:val="21"/>
                    </w:rPr>
                    <w:t>33°41′45.556″</w:t>
                  </w:r>
                </w:p>
              </w:tc>
              <w:tc>
                <w:tcPr>
                  <w:tcW w:w="1195" w:type="dxa"/>
                  <w:tcBorders>
                    <w:left w:val="nil"/>
                    <w:right w:val="single" w:color="auto" w:sz="4" w:space="0"/>
                  </w:tcBorders>
                  <w:vAlign w:val="center"/>
                </w:tcPr>
                <w:p w14:paraId="6DD95901">
                  <w:pPr>
                    <w:autoSpaceDE w:val="0"/>
                    <w:jc w:val="center"/>
                    <w:rPr>
                      <w:rFonts w:hint="eastAsia"/>
                      <w:color w:val="auto"/>
                      <w:szCs w:val="21"/>
                    </w:rPr>
                  </w:pPr>
                  <w:r>
                    <w:rPr>
                      <w:rFonts w:hint="eastAsia"/>
                      <w:color w:val="auto"/>
                      <w:szCs w:val="21"/>
                    </w:rPr>
                    <w:t>1次/年</w:t>
                  </w:r>
                </w:p>
              </w:tc>
            </w:tr>
            <w:tr w14:paraId="61BB9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 w:type="dxa"/>
                  <w:tcBorders>
                    <w:left w:val="single" w:color="auto" w:sz="4" w:space="0"/>
                    <w:right w:val="single" w:color="auto" w:sz="4" w:space="0"/>
                  </w:tcBorders>
                  <w:vAlign w:val="center"/>
                </w:tcPr>
                <w:p w14:paraId="7549F1EE">
                  <w:pPr>
                    <w:adjustRightInd w:val="0"/>
                    <w:snapToGrid w:val="0"/>
                    <w:jc w:val="center"/>
                    <w:rPr>
                      <w:color w:val="auto"/>
                      <w:szCs w:val="21"/>
                    </w:rPr>
                  </w:pPr>
                  <w:r>
                    <w:rPr>
                      <w:color w:val="auto"/>
                      <w:szCs w:val="21"/>
                    </w:rPr>
                    <w:t>厂界</w:t>
                  </w:r>
                </w:p>
              </w:tc>
              <w:tc>
                <w:tcPr>
                  <w:tcW w:w="1275" w:type="dxa"/>
                  <w:tcBorders>
                    <w:top w:val="single" w:color="auto" w:sz="4" w:space="0"/>
                    <w:left w:val="nil"/>
                    <w:bottom w:val="single" w:color="auto" w:sz="4" w:space="0"/>
                    <w:right w:val="single" w:color="auto" w:sz="4" w:space="0"/>
                  </w:tcBorders>
                  <w:vAlign w:val="center"/>
                </w:tcPr>
                <w:p w14:paraId="30D3253B">
                  <w:pPr>
                    <w:pStyle w:val="32"/>
                    <w:rPr>
                      <w:color w:val="auto"/>
                    </w:rPr>
                  </w:pPr>
                  <w:r>
                    <w:rPr>
                      <w:rFonts w:hint="eastAsia"/>
                      <w:color w:val="auto"/>
                    </w:rPr>
                    <w:t>颗粒物</w:t>
                  </w:r>
                </w:p>
              </w:tc>
              <w:tc>
                <w:tcPr>
                  <w:tcW w:w="896" w:type="dxa"/>
                  <w:tcBorders>
                    <w:left w:val="nil"/>
                    <w:right w:val="single" w:color="auto" w:sz="4" w:space="0"/>
                  </w:tcBorders>
                  <w:vAlign w:val="center"/>
                </w:tcPr>
                <w:p w14:paraId="2F482652">
                  <w:pPr>
                    <w:autoSpaceDE w:val="0"/>
                    <w:jc w:val="center"/>
                    <w:rPr>
                      <w:color w:val="auto"/>
                      <w:szCs w:val="21"/>
                    </w:rPr>
                  </w:pPr>
                  <w:r>
                    <w:rPr>
                      <w:color w:val="auto"/>
                      <w:szCs w:val="21"/>
                    </w:rPr>
                    <w:t>/</w:t>
                  </w:r>
                </w:p>
              </w:tc>
              <w:tc>
                <w:tcPr>
                  <w:tcW w:w="995" w:type="dxa"/>
                  <w:tcBorders>
                    <w:left w:val="nil"/>
                    <w:right w:val="single" w:color="auto" w:sz="4" w:space="0"/>
                  </w:tcBorders>
                  <w:vAlign w:val="center"/>
                </w:tcPr>
                <w:p w14:paraId="7DF2E21D">
                  <w:pPr>
                    <w:autoSpaceDE w:val="0"/>
                    <w:jc w:val="center"/>
                    <w:rPr>
                      <w:color w:val="auto"/>
                      <w:szCs w:val="21"/>
                    </w:rPr>
                  </w:pPr>
                  <w:r>
                    <w:rPr>
                      <w:color w:val="auto"/>
                      <w:szCs w:val="21"/>
                    </w:rPr>
                    <w:t>/</w:t>
                  </w:r>
                </w:p>
              </w:tc>
              <w:tc>
                <w:tcPr>
                  <w:tcW w:w="1535" w:type="dxa"/>
                  <w:tcBorders>
                    <w:left w:val="nil"/>
                    <w:right w:val="single" w:color="auto" w:sz="4" w:space="0"/>
                  </w:tcBorders>
                  <w:vAlign w:val="center"/>
                </w:tcPr>
                <w:p w14:paraId="69D979EE">
                  <w:pPr>
                    <w:autoSpaceDE w:val="0"/>
                    <w:jc w:val="center"/>
                    <w:rPr>
                      <w:color w:val="auto"/>
                      <w:szCs w:val="21"/>
                    </w:rPr>
                  </w:pPr>
                  <w:r>
                    <w:rPr>
                      <w:color w:val="auto"/>
                      <w:szCs w:val="21"/>
                    </w:rPr>
                    <w:t>/</w:t>
                  </w:r>
                </w:p>
              </w:tc>
              <w:tc>
                <w:tcPr>
                  <w:tcW w:w="1489" w:type="dxa"/>
                  <w:tcBorders>
                    <w:left w:val="nil"/>
                    <w:right w:val="single" w:color="auto" w:sz="4" w:space="0"/>
                  </w:tcBorders>
                  <w:vAlign w:val="center"/>
                </w:tcPr>
                <w:p w14:paraId="572781FE">
                  <w:pPr>
                    <w:autoSpaceDE w:val="0"/>
                    <w:jc w:val="center"/>
                    <w:rPr>
                      <w:color w:val="auto"/>
                      <w:szCs w:val="21"/>
                    </w:rPr>
                  </w:pPr>
                  <w:r>
                    <w:rPr>
                      <w:color w:val="auto"/>
                      <w:szCs w:val="21"/>
                    </w:rPr>
                    <w:t>/</w:t>
                  </w:r>
                </w:p>
              </w:tc>
              <w:tc>
                <w:tcPr>
                  <w:tcW w:w="1195" w:type="dxa"/>
                  <w:tcBorders>
                    <w:left w:val="nil"/>
                    <w:right w:val="single" w:color="auto" w:sz="4" w:space="0"/>
                  </w:tcBorders>
                  <w:vAlign w:val="center"/>
                </w:tcPr>
                <w:p w14:paraId="21B2C1A5">
                  <w:pPr>
                    <w:autoSpaceDE w:val="0"/>
                    <w:jc w:val="center"/>
                    <w:rPr>
                      <w:color w:val="auto"/>
                      <w:szCs w:val="21"/>
                    </w:rPr>
                  </w:pPr>
                  <w:r>
                    <w:rPr>
                      <w:rFonts w:hint="eastAsia"/>
                      <w:color w:val="auto"/>
                      <w:szCs w:val="21"/>
                    </w:rPr>
                    <w:t>1次/年</w:t>
                  </w:r>
                </w:p>
              </w:tc>
            </w:tr>
          </w:tbl>
          <w:p w14:paraId="75C2199F">
            <w:pPr>
              <w:spacing w:line="360" w:lineRule="auto"/>
              <w:rPr>
                <w:b/>
                <w:bCs/>
                <w:color w:val="auto"/>
                <w:sz w:val="24"/>
              </w:rPr>
            </w:pPr>
            <w:r>
              <w:rPr>
                <w:b/>
                <w:bCs/>
                <w:color w:val="auto"/>
                <w:sz w:val="24"/>
              </w:rPr>
              <w:t>3、废气处理措施及可行性分析</w:t>
            </w:r>
          </w:p>
          <w:p w14:paraId="325DE85E">
            <w:pPr>
              <w:spacing w:line="360" w:lineRule="auto"/>
              <w:ind w:firstLine="480"/>
              <w:rPr>
                <w:color w:val="auto"/>
                <w:sz w:val="24"/>
              </w:rPr>
            </w:pPr>
            <w:r>
              <w:rPr>
                <w:color w:val="auto"/>
                <w:sz w:val="24"/>
              </w:rPr>
              <w:t>（1）治理设施可行性分析</w:t>
            </w:r>
          </w:p>
          <w:p w14:paraId="5C5AD31B">
            <w:pPr>
              <w:spacing w:line="360" w:lineRule="auto"/>
              <w:ind w:firstLine="482"/>
              <w:rPr>
                <w:rFonts w:hint="eastAsia"/>
                <w:bCs/>
                <w:color w:val="auto"/>
                <w:sz w:val="24"/>
                <w:szCs w:val="32"/>
              </w:rPr>
            </w:pPr>
            <w:r>
              <w:rPr>
                <w:rFonts w:hint="eastAsia"/>
                <w:color w:val="auto"/>
                <w:sz w:val="24"/>
              </w:rPr>
              <w:t>本项目锅炉燃烧产生的颗粒物、二氧化硫、氮氧化物</w:t>
            </w:r>
            <w:r>
              <w:rPr>
                <w:rFonts w:hint="eastAsia"/>
                <w:color w:val="auto"/>
                <w:sz w:val="24"/>
                <w:lang w:eastAsia="zh-CN"/>
              </w:rPr>
              <w:t>，</w:t>
            </w:r>
            <w:r>
              <w:rPr>
                <w:rFonts w:hint="eastAsia"/>
                <w:color w:val="auto"/>
                <w:sz w:val="24"/>
                <w:lang w:val="en-US" w:eastAsia="zh-CN"/>
              </w:rPr>
              <w:t>采用低氮燃烧技术，燃烧废气采取</w:t>
            </w:r>
            <w:r>
              <w:rPr>
                <w:rFonts w:hint="eastAsia"/>
                <w:color w:val="auto"/>
                <w:sz w:val="24"/>
              </w:rPr>
              <w:t>布袋除尘器处理后通过40m高排气筒排放，根据《排污许可证申请与核发技术规范 总则》（HJ942-2018），</w:t>
            </w:r>
            <w:r>
              <w:rPr>
                <w:rFonts w:hint="eastAsia"/>
                <w:bCs/>
                <w:color w:val="auto"/>
                <w:kern w:val="21"/>
                <w:sz w:val="24"/>
                <w:szCs w:val="32"/>
              </w:rPr>
              <w:t>《排污许可证申请与核发技术规范 锅炉》（HJ953-2018）中</w:t>
            </w:r>
            <w:r>
              <w:rPr>
                <w:rFonts w:hint="eastAsia"/>
                <w:color w:val="auto"/>
                <w:sz w:val="24"/>
              </w:rPr>
              <w:t>锅炉烟气防治可行技术</w:t>
            </w:r>
            <w:r>
              <w:rPr>
                <w:rFonts w:hint="eastAsia"/>
                <w:bCs/>
                <w:color w:val="auto"/>
                <w:sz w:val="24"/>
                <w:szCs w:val="32"/>
              </w:rPr>
              <w:t>，能够有效的去除废气中的污染物。</w:t>
            </w:r>
          </w:p>
          <w:p w14:paraId="3C15EF2D">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bCs w:val="0"/>
                <w:color w:val="auto"/>
                <w:sz w:val="24"/>
                <w:szCs w:val="32"/>
                <w:lang w:val="en-US" w:eastAsia="zh-CN"/>
              </w:rPr>
            </w:pPr>
            <w:r>
              <w:rPr>
                <w:rFonts w:hint="default" w:ascii="Times New Roman" w:hAnsi="Times New Roman" w:cs="Times New Roman"/>
                <w:b/>
                <w:bCs w:val="0"/>
                <w:color w:val="auto"/>
                <w:sz w:val="24"/>
                <w:szCs w:val="32"/>
                <w:lang w:val="en-US" w:eastAsia="zh-CN"/>
              </w:rPr>
              <w:t>表4-6  本项目废气治理设施可行性分析</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1046"/>
              <w:gridCol w:w="2979"/>
              <w:gridCol w:w="1849"/>
              <w:gridCol w:w="1187"/>
            </w:tblGrid>
            <w:tr w14:paraId="22F76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096" w:type="dxa"/>
                  <w:vAlign w:val="center"/>
                </w:tcPr>
                <w:p w14:paraId="6AB61B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color w:val="auto"/>
                      <w:sz w:val="21"/>
                      <w:szCs w:val="24"/>
                      <w:vertAlign w:val="baseline"/>
                      <w:lang w:val="en-US" w:eastAsia="zh-CN"/>
                    </w:rPr>
                  </w:pPr>
                  <w:r>
                    <w:rPr>
                      <w:rFonts w:hint="eastAsia"/>
                      <w:bCs/>
                      <w:color w:val="auto"/>
                      <w:sz w:val="21"/>
                      <w:szCs w:val="24"/>
                      <w:vertAlign w:val="baseline"/>
                      <w:lang w:val="en-US" w:eastAsia="zh-CN"/>
                    </w:rPr>
                    <w:t>废气种类</w:t>
                  </w:r>
                </w:p>
              </w:tc>
              <w:tc>
                <w:tcPr>
                  <w:tcW w:w="1046" w:type="dxa"/>
                  <w:vAlign w:val="center"/>
                </w:tcPr>
                <w:p w14:paraId="68918E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Cs/>
                      <w:color w:val="auto"/>
                      <w:sz w:val="21"/>
                      <w:szCs w:val="24"/>
                      <w:vertAlign w:val="baseline"/>
                      <w:lang w:val="en-US" w:eastAsia="zh-CN"/>
                    </w:rPr>
                  </w:pPr>
                  <w:r>
                    <w:rPr>
                      <w:rFonts w:hint="eastAsia"/>
                      <w:bCs/>
                      <w:color w:val="auto"/>
                      <w:sz w:val="21"/>
                      <w:szCs w:val="24"/>
                      <w:vertAlign w:val="baseline"/>
                      <w:lang w:val="en-US" w:eastAsia="zh-CN"/>
                    </w:rPr>
                    <w:t>污染物</w:t>
                  </w:r>
                </w:p>
              </w:tc>
              <w:tc>
                <w:tcPr>
                  <w:tcW w:w="2979" w:type="dxa"/>
                  <w:vAlign w:val="center"/>
                </w:tcPr>
                <w:p w14:paraId="40B88D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color w:val="auto"/>
                      <w:sz w:val="21"/>
                      <w:szCs w:val="24"/>
                      <w:vertAlign w:val="baseline"/>
                      <w:lang w:val="en-US" w:eastAsia="zh-CN"/>
                    </w:rPr>
                  </w:pPr>
                  <w:r>
                    <w:rPr>
                      <w:rFonts w:hint="eastAsia"/>
                      <w:bCs/>
                      <w:color w:val="auto"/>
                      <w:sz w:val="21"/>
                      <w:szCs w:val="24"/>
                      <w:vertAlign w:val="baseline"/>
                      <w:lang w:val="en-US" w:eastAsia="zh-CN"/>
                    </w:rPr>
                    <w:t>规范推荐可行技术</w:t>
                  </w:r>
                </w:p>
              </w:tc>
              <w:tc>
                <w:tcPr>
                  <w:tcW w:w="1849" w:type="dxa"/>
                  <w:vAlign w:val="center"/>
                </w:tcPr>
                <w:p w14:paraId="460AFD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color w:val="auto"/>
                      <w:sz w:val="21"/>
                      <w:szCs w:val="24"/>
                      <w:vertAlign w:val="baseline"/>
                      <w:lang w:val="en-US" w:eastAsia="zh-CN"/>
                    </w:rPr>
                  </w:pPr>
                  <w:r>
                    <w:rPr>
                      <w:rFonts w:hint="eastAsia"/>
                      <w:bCs/>
                      <w:color w:val="auto"/>
                      <w:sz w:val="21"/>
                      <w:szCs w:val="24"/>
                      <w:vertAlign w:val="baseline"/>
                      <w:lang w:val="en-US" w:eastAsia="zh-CN"/>
                    </w:rPr>
                    <w:t>本项目采取措施</w:t>
                  </w:r>
                </w:p>
              </w:tc>
              <w:tc>
                <w:tcPr>
                  <w:tcW w:w="1187" w:type="dxa"/>
                  <w:vAlign w:val="center"/>
                </w:tcPr>
                <w:p w14:paraId="09831E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color w:val="auto"/>
                      <w:sz w:val="21"/>
                      <w:szCs w:val="24"/>
                      <w:vertAlign w:val="baseline"/>
                      <w:lang w:val="en-US" w:eastAsia="zh-CN"/>
                    </w:rPr>
                  </w:pPr>
                  <w:r>
                    <w:rPr>
                      <w:rFonts w:hint="eastAsia"/>
                      <w:bCs/>
                      <w:color w:val="auto"/>
                      <w:sz w:val="21"/>
                      <w:szCs w:val="24"/>
                      <w:vertAlign w:val="baseline"/>
                      <w:lang w:val="en-US" w:eastAsia="zh-CN"/>
                    </w:rPr>
                    <w:t>是否可行</w:t>
                  </w:r>
                </w:p>
              </w:tc>
            </w:tr>
            <w:tr w14:paraId="21A77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096" w:type="dxa"/>
                  <w:vMerge w:val="restart"/>
                  <w:vAlign w:val="center"/>
                </w:tcPr>
                <w:p w14:paraId="6BCC75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4"/>
                      <w:vertAlign w:val="baseline"/>
                      <w:lang w:val="en-US" w:eastAsia="zh-CN"/>
                    </w:rPr>
                  </w:pPr>
                  <w:r>
                    <w:rPr>
                      <w:rFonts w:hint="eastAsia"/>
                      <w:bCs/>
                      <w:color w:val="auto"/>
                      <w:sz w:val="21"/>
                      <w:szCs w:val="24"/>
                      <w:vertAlign w:val="baseline"/>
                      <w:lang w:val="en-US" w:eastAsia="zh-CN"/>
                    </w:rPr>
                    <w:t>锅炉废气</w:t>
                  </w:r>
                </w:p>
              </w:tc>
              <w:tc>
                <w:tcPr>
                  <w:tcW w:w="1046" w:type="dxa"/>
                  <w:vAlign w:val="center"/>
                </w:tcPr>
                <w:p w14:paraId="079B24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4"/>
                      <w:vertAlign w:val="baseline"/>
                      <w:lang w:val="en-US" w:eastAsia="zh-CN"/>
                    </w:rPr>
                  </w:pPr>
                  <w:r>
                    <w:rPr>
                      <w:rFonts w:hint="eastAsia"/>
                      <w:bCs/>
                      <w:color w:val="auto"/>
                      <w:sz w:val="21"/>
                      <w:szCs w:val="24"/>
                      <w:vertAlign w:val="baseline"/>
                      <w:lang w:val="en-US" w:eastAsia="zh-CN"/>
                    </w:rPr>
                    <w:t>颗粒物</w:t>
                  </w:r>
                </w:p>
              </w:tc>
              <w:tc>
                <w:tcPr>
                  <w:tcW w:w="2979" w:type="dxa"/>
                  <w:vAlign w:val="center"/>
                </w:tcPr>
                <w:p w14:paraId="12B964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4"/>
                      <w:vertAlign w:val="baseline"/>
                      <w:lang w:val="en-US" w:eastAsia="zh-CN"/>
                    </w:rPr>
                  </w:pPr>
                  <w:r>
                    <w:rPr>
                      <w:rFonts w:hint="eastAsia"/>
                      <w:bCs/>
                      <w:color w:val="auto"/>
                      <w:sz w:val="21"/>
                      <w:szCs w:val="24"/>
                      <w:vertAlign w:val="baseline"/>
                      <w:lang w:val="en-US" w:eastAsia="zh-CN"/>
                    </w:rPr>
                    <w:t>旋风除尘和袋式除尘组合技术</w:t>
                  </w:r>
                </w:p>
              </w:tc>
              <w:tc>
                <w:tcPr>
                  <w:tcW w:w="1849" w:type="dxa"/>
                  <w:vAlign w:val="center"/>
                </w:tcPr>
                <w:p w14:paraId="776B38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4"/>
                      <w:vertAlign w:val="baseline"/>
                      <w:lang w:val="en-US" w:eastAsia="zh-CN"/>
                    </w:rPr>
                  </w:pPr>
                  <w:r>
                    <w:rPr>
                      <w:rFonts w:hint="eastAsia"/>
                      <w:bCs/>
                      <w:color w:val="auto"/>
                      <w:sz w:val="21"/>
                      <w:szCs w:val="24"/>
                      <w:vertAlign w:val="baseline"/>
                      <w:lang w:val="en-US" w:eastAsia="zh-CN"/>
                    </w:rPr>
                    <w:t>布袋除尘器</w:t>
                  </w:r>
                </w:p>
              </w:tc>
              <w:tc>
                <w:tcPr>
                  <w:tcW w:w="1187" w:type="dxa"/>
                  <w:vAlign w:val="center"/>
                </w:tcPr>
                <w:p w14:paraId="2B1EFD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4"/>
                      <w:vertAlign w:val="baseline"/>
                      <w:lang w:val="en-US" w:eastAsia="zh-CN"/>
                    </w:rPr>
                  </w:pPr>
                  <w:r>
                    <w:rPr>
                      <w:rFonts w:hint="eastAsia"/>
                      <w:bCs/>
                      <w:color w:val="auto"/>
                      <w:sz w:val="21"/>
                      <w:szCs w:val="24"/>
                      <w:vertAlign w:val="baseline"/>
                      <w:lang w:val="en-US" w:eastAsia="zh-CN"/>
                    </w:rPr>
                    <w:t>是</w:t>
                  </w:r>
                </w:p>
              </w:tc>
            </w:tr>
            <w:tr w14:paraId="12823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096" w:type="dxa"/>
                  <w:vMerge w:val="continue"/>
                  <w:vAlign w:val="center"/>
                </w:tcPr>
                <w:p w14:paraId="4A9AB9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color w:val="auto"/>
                      <w:sz w:val="21"/>
                      <w:szCs w:val="24"/>
                      <w:vertAlign w:val="baseline"/>
                      <w:lang w:val="en-US" w:eastAsia="zh-CN"/>
                    </w:rPr>
                  </w:pPr>
                </w:p>
              </w:tc>
              <w:tc>
                <w:tcPr>
                  <w:tcW w:w="1046" w:type="dxa"/>
                  <w:vAlign w:val="center"/>
                </w:tcPr>
                <w:p w14:paraId="46A5D27A">
                  <w:pPr>
                    <w:pStyle w:val="32"/>
                    <w:ind w:firstLine="0" w:firstLineChars="0"/>
                    <w:rPr>
                      <w:rFonts w:hint="eastAsia"/>
                      <w:bCs/>
                      <w:color w:val="auto"/>
                      <w:sz w:val="21"/>
                      <w:szCs w:val="24"/>
                      <w:vertAlign w:val="baseline"/>
                      <w:lang w:val="en-US" w:eastAsia="zh-CN"/>
                    </w:rPr>
                  </w:pPr>
                  <w:r>
                    <w:rPr>
                      <w:rFonts w:hint="eastAsia"/>
                      <w:color w:val="auto"/>
                    </w:rPr>
                    <w:t>SO</w:t>
                  </w:r>
                  <w:r>
                    <w:rPr>
                      <w:rFonts w:hint="eastAsia"/>
                      <w:color w:val="auto"/>
                      <w:vertAlign w:val="subscript"/>
                    </w:rPr>
                    <w:t>2</w:t>
                  </w:r>
                </w:p>
              </w:tc>
              <w:tc>
                <w:tcPr>
                  <w:tcW w:w="2979" w:type="dxa"/>
                  <w:vAlign w:val="center"/>
                </w:tcPr>
                <w:p w14:paraId="4D85F2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4"/>
                      <w:vertAlign w:val="baseline"/>
                      <w:lang w:val="en-US" w:eastAsia="zh-CN"/>
                    </w:rPr>
                  </w:pPr>
                  <w:r>
                    <w:rPr>
                      <w:rFonts w:hint="eastAsia"/>
                      <w:bCs/>
                      <w:color w:val="auto"/>
                      <w:sz w:val="21"/>
                      <w:szCs w:val="24"/>
                      <w:vertAlign w:val="baseline"/>
                      <w:lang w:val="en-US" w:eastAsia="zh-CN"/>
                    </w:rPr>
                    <w:t>/</w:t>
                  </w:r>
                </w:p>
              </w:tc>
              <w:tc>
                <w:tcPr>
                  <w:tcW w:w="1849" w:type="dxa"/>
                  <w:vAlign w:val="center"/>
                </w:tcPr>
                <w:p w14:paraId="0334F0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4"/>
                      <w:vertAlign w:val="baseline"/>
                      <w:lang w:val="en-US" w:eastAsia="zh-CN"/>
                    </w:rPr>
                  </w:pPr>
                  <w:r>
                    <w:rPr>
                      <w:rFonts w:hint="eastAsia"/>
                      <w:bCs/>
                      <w:color w:val="auto"/>
                      <w:sz w:val="21"/>
                      <w:szCs w:val="24"/>
                      <w:vertAlign w:val="baseline"/>
                      <w:lang w:val="en-US" w:eastAsia="zh-CN"/>
                    </w:rPr>
                    <w:t>/</w:t>
                  </w:r>
                </w:p>
              </w:tc>
              <w:tc>
                <w:tcPr>
                  <w:tcW w:w="1187" w:type="dxa"/>
                  <w:vAlign w:val="center"/>
                </w:tcPr>
                <w:p w14:paraId="590B8A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4"/>
                      <w:vertAlign w:val="baseline"/>
                      <w:lang w:val="en-US" w:eastAsia="zh-CN"/>
                    </w:rPr>
                  </w:pPr>
                  <w:r>
                    <w:rPr>
                      <w:rFonts w:hint="eastAsia"/>
                      <w:bCs/>
                      <w:color w:val="auto"/>
                      <w:sz w:val="21"/>
                      <w:szCs w:val="24"/>
                      <w:vertAlign w:val="baseline"/>
                      <w:lang w:val="en-US" w:eastAsia="zh-CN"/>
                    </w:rPr>
                    <w:t>/</w:t>
                  </w:r>
                </w:p>
              </w:tc>
            </w:tr>
            <w:tr w14:paraId="755C5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096" w:type="dxa"/>
                  <w:vMerge w:val="continue"/>
                  <w:vAlign w:val="center"/>
                </w:tcPr>
                <w:p w14:paraId="397E89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color w:val="auto"/>
                      <w:sz w:val="21"/>
                      <w:szCs w:val="24"/>
                      <w:vertAlign w:val="baseline"/>
                      <w:lang w:val="en-US" w:eastAsia="zh-CN"/>
                    </w:rPr>
                  </w:pPr>
                </w:p>
              </w:tc>
              <w:tc>
                <w:tcPr>
                  <w:tcW w:w="1046" w:type="dxa"/>
                  <w:vAlign w:val="center"/>
                </w:tcPr>
                <w:p w14:paraId="61AB9B7D">
                  <w:pPr>
                    <w:pStyle w:val="32"/>
                    <w:ind w:firstLine="0" w:firstLineChars="0"/>
                    <w:rPr>
                      <w:rFonts w:hint="eastAsia"/>
                      <w:bCs/>
                      <w:color w:val="auto"/>
                      <w:sz w:val="21"/>
                      <w:szCs w:val="24"/>
                      <w:vertAlign w:val="baseline"/>
                      <w:lang w:val="en-US" w:eastAsia="zh-CN"/>
                    </w:rPr>
                  </w:pPr>
                  <w:r>
                    <w:rPr>
                      <w:rFonts w:hint="eastAsia"/>
                      <w:color w:val="auto"/>
                    </w:rPr>
                    <w:t>NOx</w:t>
                  </w:r>
                </w:p>
              </w:tc>
              <w:tc>
                <w:tcPr>
                  <w:tcW w:w="2979" w:type="dxa"/>
                  <w:vAlign w:val="center"/>
                </w:tcPr>
                <w:p w14:paraId="3BB0E5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color w:val="auto"/>
                      <w:sz w:val="21"/>
                      <w:szCs w:val="24"/>
                      <w:vertAlign w:val="baseline"/>
                      <w:lang w:val="en-US" w:eastAsia="zh-CN"/>
                    </w:rPr>
                  </w:pPr>
                  <w:r>
                    <w:rPr>
                      <w:rFonts w:hint="eastAsia"/>
                      <w:bCs/>
                      <w:color w:val="auto"/>
                      <w:sz w:val="21"/>
                      <w:szCs w:val="24"/>
                      <w:vertAlign w:val="baseline"/>
                      <w:lang w:val="en-US" w:eastAsia="zh-CN"/>
                    </w:rPr>
                    <w:t>低氮燃烧+SNCR脱硝技术、低氮燃烧技术+SCR脱硝技术、低氮燃烧+(SNCR-SCR联合)脱硝技术、SNCR脱硝技术、SCR脱硝技术、SNCR-SCR联合脱硝技术</w:t>
                  </w:r>
                </w:p>
              </w:tc>
              <w:tc>
                <w:tcPr>
                  <w:tcW w:w="1849" w:type="dxa"/>
                  <w:vAlign w:val="center"/>
                </w:tcPr>
                <w:p w14:paraId="7A666B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Cs/>
                      <w:color w:val="auto"/>
                      <w:sz w:val="21"/>
                      <w:szCs w:val="24"/>
                      <w:vertAlign w:val="baseline"/>
                      <w:lang w:val="en-US" w:eastAsia="zh-CN"/>
                    </w:rPr>
                  </w:pPr>
                  <w:r>
                    <w:rPr>
                      <w:rFonts w:hint="eastAsia"/>
                      <w:bCs/>
                      <w:color w:val="auto"/>
                      <w:sz w:val="21"/>
                      <w:szCs w:val="24"/>
                      <w:vertAlign w:val="baseline"/>
                      <w:lang w:val="en-US" w:eastAsia="zh-CN"/>
                    </w:rPr>
                    <w:t>低氮燃烧</w:t>
                  </w:r>
                </w:p>
              </w:tc>
              <w:tc>
                <w:tcPr>
                  <w:tcW w:w="1187" w:type="dxa"/>
                  <w:vAlign w:val="center"/>
                </w:tcPr>
                <w:p w14:paraId="5A789A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Cs/>
                      <w:color w:val="auto"/>
                      <w:sz w:val="21"/>
                      <w:szCs w:val="24"/>
                      <w:vertAlign w:val="baseline"/>
                      <w:lang w:val="en-US" w:eastAsia="zh-CN"/>
                    </w:rPr>
                  </w:pPr>
                  <w:r>
                    <w:rPr>
                      <w:rFonts w:hint="eastAsia"/>
                      <w:bCs/>
                      <w:color w:val="auto"/>
                      <w:sz w:val="21"/>
                      <w:szCs w:val="24"/>
                      <w:vertAlign w:val="baseline"/>
                      <w:lang w:val="en-US" w:eastAsia="zh-CN"/>
                    </w:rPr>
                    <w:t>是</w:t>
                  </w:r>
                </w:p>
              </w:tc>
            </w:tr>
          </w:tbl>
          <w:p w14:paraId="47B2C5CA">
            <w:pPr>
              <w:spacing w:line="360" w:lineRule="auto"/>
              <w:rPr>
                <w:b/>
                <w:bCs/>
                <w:color w:val="auto"/>
                <w:sz w:val="24"/>
              </w:rPr>
            </w:pPr>
            <w:r>
              <w:rPr>
                <w:b/>
                <w:bCs/>
                <w:color w:val="auto"/>
                <w:sz w:val="24"/>
              </w:rPr>
              <w:t>4、非正常工况</w:t>
            </w:r>
          </w:p>
          <w:p w14:paraId="305ABA0A">
            <w:pPr>
              <w:widowControl/>
              <w:kinsoku w:val="0"/>
              <w:autoSpaceDE w:val="0"/>
              <w:autoSpaceDN w:val="0"/>
              <w:spacing w:line="360" w:lineRule="auto"/>
              <w:ind w:firstLine="480" w:firstLineChars="200"/>
              <w:jc w:val="left"/>
              <w:textAlignment w:val="baseline"/>
              <w:rPr>
                <w:bCs/>
                <w:color w:val="auto"/>
                <w:kern w:val="21"/>
                <w:sz w:val="24"/>
                <w:szCs w:val="32"/>
              </w:rPr>
            </w:pPr>
            <w:r>
              <w:rPr>
                <w:rFonts w:hint="eastAsia"/>
                <w:bCs/>
                <w:color w:val="auto"/>
                <w:kern w:val="21"/>
                <w:sz w:val="24"/>
                <w:szCs w:val="32"/>
              </w:rPr>
              <w:t>非正常工况排放指生产中开停车（工、炉）、设备检修、工艺设备运转异常等非正常工况下的污染物排放，以及污染排放控制措施达不到应有的效率等情况下的排放。</w:t>
            </w:r>
          </w:p>
          <w:p w14:paraId="239FDB70">
            <w:pPr>
              <w:adjustRightInd w:val="0"/>
              <w:snapToGrid w:val="0"/>
              <w:jc w:val="center"/>
              <w:rPr>
                <w:b/>
                <w:bCs/>
                <w:color w:val="auto"/>
                <w:sz w:val="24"/>
              </w:rPr>
            </w:pPr>
            <w:r>
              <w:rPr>
                <w:b/>
                <w:bCs/>
                <w:color w:val="auto"/>
                <w:sz w:val="24"/>
              </w:rPr>
              <w:t>表4-</w:t>
            </w:r>
            <w:r>
              <w:rPr>
                <w:rFonts w:hint="eastAsia"/>
                <w:b/>
                <w:bCs/>
                <w:color w:val="auto"/>
                <w:sz w:val="24"/>
                <w:lang w:val="en-US" w:eastAsia="zh-CN"/>
              </w:rPr>
              <w:t>7</w:t>
            </w:r>
            <w:r>
              <w:rPr>
                <w:b/>
                <w:bCs/>
                <w:color w:val="auto"/>
                <w:sz w:val="24"/>
              </w:rPr>
              <w:t xml:space="preserve">  非正常工况污染物排放情况</w:t>
            </w:r>
          </w:p>
          <w:tbl>
            <w:tblPr>
              <w:tblStyle w:val="23"/>
              <w:tblW w:w="84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3"/>
              <w:gridCol w:w="1388"/>
              <w:gridCol w:w="1583"/>
              <w:gridCol w:w="1527"/>
              <w:gridCol w:w="1167"/>
              <w:gridCol w:w="1167"/>
            </w:tblGrid>
            <w:tr w14:paraId="744A9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3" w:type="dxa"/>
                  <w:vMerge w:val="restart"/>
                  <w:vAlign w:val="center"/>
                </w:tcPr>
                <w:p w14:paraId="46B22E4E">
                  <w:pPr>
                    <w:pStyle w:val="32"/>
                    <w:rPr>
                      <w:color w:val="auto"/>
                    </w:rPr>
                  </w:pPr>
                  <w:r>
                    <w:rPr>
                      <w:color w:val="auto"/>
                    </w:rPr>
                    <w:t>污染源</w:t>
                  </w:r>
                </w:p>
              </w:tc>
              <w:tc>
                <w:tcPr>
                  <w:tcW w:w="1388" w:type="dxa"/>
                  <w:vMerge w:val="restart"/>
                  <w:vAlign w:val="center"/>
                </w:tcPr>
                <w:p w14:paraId="3CA73F47">
                  <w:pPr>
                    <w:pStyle w:val="32"/>
                    <w:rPr>
                      <w:color w:val="auto"/>
                    </w:rPr>
                  </w:pPr>
                  <w:r>
                    <w:rPr>
                      <w:color w:val="auto"/>
                    </w:rPr>
                    <w:t>污染物</w:t>
                  </w:r>
                </w:p>
              </w:tc>
              <w:tc>
                <w:tcPr>
                  <w:tcW w:w="3110" w:type="dxa"/>
                  <w:gridSpan w:val="2"/>
                  <w:vAlign w:val="center"/>
                </w:tcPr>
                <w:p w14:paraId="77335192">
                  <w:pPr>
                    <w:pStyle w:val="32"/>
                    <w:rPr>
                      <w:color w:val="auto"/>
                    </w:rPr>
                  </w:pPr>
                  <w:r>
                    <w:rPr>
                      <w:color w:val="auto"/>
                    </w:rPr>
                    <w:t>产生情况</w:t>
                  </w:r>
                </w:p>
              </w:tc>
              <w:tc>
                <w:tcPr>
                  <w:tcW w:w="1167" w:type="dxa"/>
                  <w:vMerge w:val="restart"/>
                  <w:vAlign w:val="center"/>
                </w:tcPr>
                <w:p w14:paraId="06CD3286">
                  <w:pPr>
                    <w:pStyle w:val="32"/>
                    <w:rPr>
                      <w:color w:val="auto"/>
                    </w:rPr>
                  </w:pPr>
                  <w:r>
                    <w:rPr>
                      <w:color w:val="auto"/>
                    </w:rPr>
                    <w:t>工作时间h</w:t>
                  </w:r>
                </w:p>
              </w:tc>
              <w:tc>
                <w:tcPr>
                  <w:tcW w:w="1167" w:type="dxa"/>
                  <w:vMerge w:val="restart"/>
                  <w:vAlign w:val="center"/>
                </w:tcPr>
                <w:p w14:paraId="0917E220">
                  <w:pPr>
                    <w:pStyle w:val="32"/>
                    <w:rPr>
                      <w:color w:val="auto"/>
                    </w:rPr>
                  </w:pPr>
                  <w:r>
                    <w:rPr>
                      <w:color w:val="auto"/>
                    </w:rPr>
                    <w:t>措施</w:t>
                  </w:r>
                </w:p>
              </w:tc>
            </w:tr>
            <w:tr w14:paraId="56FF2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3" w:type="dxa"/>
                  <w:vMerge w:val="continue"/>
                  <w:vAlign w:val="center"/>
                </w:tcPr>
                <w:p w14:paraId="6C64B1AD">
                  <w:pPr>
                    <w:pStyle w:val="32"/>
                    <w:rPr>
                      <w:color w:val="auto"/>
                    </w:rPr>
                  </w:pPr>
                </w:p>
              </w:tc>
              <w:tc>
                <w:tcPr>
                  <w:tcW w:w="1388" w:type="dxa"/>
                  <w:vMerge w:val="continue"/>
                  <w:vAlign w:val="center"/>
                </w:tcPr>
                <w:p w14:paraId="6E012B10">
                  <w:pPr>
                    <w:pStyle w:val="32"/>
                    <w:rPr>
                      <w:color w:val="auto"/>
                    </w:rPr>
                  </w:pPr>
                </w:p>
              </w:tc>
              <w:tc>
                <w:tcPr>
                  <w:tcW w:w="1583" w:type="dxa"/>
                  <w:vAlign w:val="center"/>
                </w:tcPr>
                <w:p w14:paraId="3DDDF056">
                  <w:pPr>
                    <w:pStyle w:val="32"/>
                    <w:rPr>
                      <w:color w:val="auto"/>
                    </w:rPr>
                  </w:pPr>
                  <w:r>
                    <w:rPr>
                      <w:color w:val="auto"/>
                    </w:rPr>
                    <w:t>浓度mg/m</w:t>
                  </w:r>
                  <w:r>
                    <w:rPr>
                      <w:color w:val="auto"/>
                      <w:vertAlign w:val="superscript"/>
                    </w:rPr>
                    <w:t>3</w:t>
                  </w:r>
                </w:p>
              </w:tc>
              <w:tc>
                <w:tcPr>
                  <w:tcW w:w="1527" w:type="dxa"/>
                  <w:vAlign w:val="center"/>
                </w:tcPr>
                <w:p w14:paraId="0659DFE6">
                  <w:pPr>
                    <w:pStyle w:val="32"/>
                    <w:rPr>
                      <w:color w:val="auto"/>
                    </w:rPr>
                  </w:pPr>
                  <w:r>
                    <w:rPr>
                      <w:color w:val="auto"/>
                    </w:rPr>
                    <w:t>速率kg/h</w:t>
                  </w:r>
                </w:p>
              </w:tc>
              <w:tc>
                <w:tcPr>
                  <w:tcW w:w="1167" w:type="dxa"/>
                  <w:vMerge w:val="continue"/>
                  <w:vAlign w:val="center"/>
                </w:tcPr>
                <w:p w14:paraId="40EF2710">
                  <w:pPr>
                    <w:pStyle w:val="32"/>
                    <w:rPr>
                      <w:color w:val="auto"/>
                    </w:rPr>
                  </w:pPr>
                </w:p>
              </w:tc>
              <w:tc>
                <w:tcPr>
                  <w:tcW w:w="1167" w:type="dxa"/>
                  <w:vMerge w:val="continue"/>
                  <w:vAlign w:val="center"/>
                </w:tcPr>
                <w:p w14:paraId="31BA669B">
                  <w:pPr>
                    <w:pStyle w:val="32"/>
                    <w:rPr>
                      <w:color w:val="auto"/>
                    </w:rPr>
                  </w:pPr>
                </w:p>
              </w:tc>
            </w:tr>
            <w:tr w14:paraId="2B079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3" w:type="dxa"/>
                  <w:vAlign w:val="center"/>
                </w:tcPr>
                <w:p w14:paraId="14AE3EE7">
                  <w:pPr>
                    <w:pStyle w:val="32"/>
                    <w:rPr>
                      <w:color w:val="auto"/>
                    </w:rPr>
                  </w:pPr>
                  <w:r>
                    <w:rPr>
                      <w:rFonts w:hint="eastAsia"/>
                      <w:color w:val="auto"/>
                    </w:rPr>
                    <w:t>卸料</w:t>
                  </w:r>
                </w:p>
              </w:tc>
              <w:tc>
                <w:tcPr>
                  <w:tcW w:w="1388" w:type="dxa"/>
                  <w:vAlign w:val="center"/>
                </w:tcPr>
                <w:p w14:paraId="7BAFDDE9">
                  <w:pPr>
                    <w:pStyle w:val="32"/>
                    <w:rPr>
                      <w:color w:val="auto"/>
                    </w:rPr>
                  </w:pPr>
                  <w:r>
                    <w:rPr>
                      <w:rFonts w:hint="eastAsia"/>
                      <w:color w:val="auto"/>
                    </w:rPr>
                    <w:t>颗粒物</w:t>
                  </w:r>
                </w:p>
              </w:tc>
              <w:tc>
                <w:tcPr>
                  <w:tcW w:w="1583" w:type="dxa"/>
                  <w:vAlign w:val="center"/>
                </w:tcPr>
                <w:p w14:paraId="24E1241D">
                  <w:pPr>
                    <w:pStyle w:val="32"/>
                    <w:ind w:firstLine="0" w:firstLineChars="0"/>
                    <w:rPr>
                      <w:color w:val="auto"/>
                    </w:rPr>
                  </w:pPr>
                  <w:r>
                    <w:rPr>
                      <w:rFonts w:hint="eastAsia"/>
                      <w:color w:val="auto"/>
                      <w:lang w:val="en-US" w:eastAsia="zh-CN"/>
                    </w:rPr>
                    <w:t>68.53</w:t>
                  </w:r>
                </w:p>
              </w:tc>
              <w:tc>
                <w:tcPr>
                  <w:tcW w:w="1527" w:type="dxa"/>
                  <w:vAlign w:val="center"/>
                </w:tcPr>
                <w:p w14:paraId="6C3338BC">
                  <w:pPr>
                    <w:pStyle w:val="32"/>
                    <w:ind w:firstLine="0" w:firstLineChars="0"/>
                    <w:rPr>
                      <w:color w:val="auto"/>
                    </w:rPr>
                  </w:pPr>
                  <w:r>
                    <w:rPr>
                      <w:rFonts w:hint="eastAsia"/>
                      <w:color w:val="auto"/>
                      <w:lang w:val="en-US" w:eastAsia="zh-CN"/>
                    </w:rPr>
                    <w:t>2.056</w:t>
                  </w:r>
                </w:p>
              </w:tc>
              <w:tc>
                <w:tcPr>
                  <w:tcW w:w="1167" w:type="dxa"/>
                  <w:vAlign w:val="center"/>
                </w:tcPr>
                <w:p w14:paraId="04147A17">
                  <w:pPr>
                    <w:pStyle w:val="32"/>
                    <w:rPr>
                      <w:color w:val="auto"/>
                    </w:rPr>
                  </w:pPr>
                  <w:r>
                    <w:rPr>
                      <w:rFonts w:hint="eastAsia"/>
                      <w:color w:val="auto"/>
                    </w:rPr>
                    <w:t>0.5</w:t>
                  </w:r>
                </w:p>
              </w:tc>
              <w:tc>
                <w:tcPr>
                  <w:tcW w:w="1167" w:type="dxa"/>
                  <w:vMerge w:val="restart"/>
                  <w:vAlign w:val="center"/>
                </w:tcPr>
                <w:p w14:paraId="209C6626">
                  <w:pPr>
                    <w:pStyle w:val="32"/>
                    <w:rPr>
                      <w:color w:val="auto"/>
                    </w:rPr>
                  </w:pPr>
                  <w:r>
                    <w:rPr>
                      <w:rFonts w:hint="eastAsia"/>
                      <w:color w:val="auto"/>
                    </w:rPr>
                    <w:t>制定环保设备例行检查制度，加强定期维护保养</w:t>
                  </w:r>
                </w:p>
              </w:tc>
            </w:tr>
            <w:tr w14:paraId="6589B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3" w:type="dxa"/>
                  <w:vAlign w:val="center"/>
                </w:tcPr>
                <w:p w14:paraId="5D2845EA">
                  <w:pPr>
                    <w:pStyle w:val="32"/>
                    <w:rPr>
                      <w:color w:val="auto"/>
                    </w:rPr>
                  </w:pPr>
                  <w:r>
                    <w:rPr>
                      <w:rFonts w:hint="eastAsia"/>
                      <w:color w:val="auto"/>
                    </w:rPr>
                    <w:t>筛分</w:t>
                  </w:r>
                </w:p>
              </w:tc>
              <w:tc>
                <w:tcPr>
                  <w:tcW w:w="1388" w:type="dxa"/>
                  <w:vAlign w:val="center"/>
                </w:tcPr>
                <w:p w14:paraId="6D0F0AE8">
                  <w:pPr>
                    <w:pStyle w:val="32"/>
                    <w:rPr>
                      <w:color w:val="auto"/>
                    </w:rPr>
                  </w:pPr>
                  <w:r>
                    <w:rPr>
                      <w:rFonts w:hint="eastAsia"/>
                      <w:color w:val="auto"/>
                    </w:rPr>
                    <w:t>颗粒物</w:t>
                  </w:r>
                </w:p>
              </w:tc>
              <w:tc>
                <w:tcPr>
                  <w:tcW w:w="1583" w:type="dxa"/>
                  <w:vAlign w:val="center"/>
                </w:tcPr>
                <w:p w14:paraId="75224B82">
                  <w:pPr>
                    <w:pStyle w:val="32"/>
                    <w:ind w:firstLine="0" w:firstLineChars="0"/>
                    <w:rPr>
                      <w:color w:val="auto"/>
                      <w:highlight w:val="none"/>
                    </w:rPr>
                  </w:pPr>
                  <w:r>
                    <w:rPr>
                      <w:rFonts w:hint="eastAsia"/>
                      <w:color w:val="auto"/>
                      <w:highlight w:val="none"/>
                      <w:lang w:val="en-US" w:eastAsia="zh-CN"/>
                    </w:rPr>
                    <w:t>198.25</w:t>
                  </w:r>
                </w:p>
              </w:tc>
              <w:tc>
                <w:tcPr>
                  <w:tcW w:w="1527" w:type="dxa"/>
                  <w:vAlign w:val="center"/>
                </w:tcPr>
                <w:p w14:paraId="3FB7A35A">
                  <w:pPr>
                    <w:pStyle w:val="32"/>
                    <w:ind w:firstLine="0" w:firstLineChars="0"/>
                    <w:rPr>
                      <w:color w:val="auto"/>
                      <w:highlight w:val="none"/>
                    </w:rPr>
                  </w:pPr>
                  <w:r>
                    <w:rPr>
                      <w:rFonts w:hint="eastAsia"/>
                      <w:color w:val="auto"/>
                      <w:highlight w:val="none"/>
                      <w:lang w:val="en-US" w:eastAsia="zh-CN"/>
                    </w:rPr>
                    <w:t>1.586</w:t>
                  </w:r>
                </w:p>
              </w:tc>
              <w:tc>
                <w:tcPr>
                  <w:tcW w:w="1167" w:type="dxa"/>
                  <w:vAlign w:val="center"/>
                </w:tcPr>
                <w:p w14:paraId="0302878B">
                  <w:pPr>
                    <w:jc w:val="center"/>
                    <w:rPr>
                      <w:color w:val="auto"/>
                      <w:szCs w:val="21"/>
                    </w:rPr>
                  </w:pPr>
                  <w:r>
                    <w:rPr>
                      <w:rFonts w:hint="eastAsia"/>
                      <w:color w:val="auto"/>
                      <w:szCs w:val="21"/>
                    </w:rPr>
                    <w:t>0.5</w:t>
                  </w:r>
                </w:p>
              </w:tc>
              <w:tc>
                <w:tcPr>
                  <w:tcW w:w="1167" w:type="dxa"/>
                  <w:vMerge w:val="continue"/>
                  <w:vAlign w:val="center"/>
                </w:tcPr>
                <w:p w14:paraId="13169CCA">
                  <w:pPr>
                    <w:jc w:val="center"/>
                    <w:rPr>
                      <w:color w:val="auto"/>
                      <w:szCs w:val="21"/>
                    </w:rPr>
                  </w:pPr>
                </w:p>
              </w:tc>
            </w:tr>
            <w:tr w14:paraId="597E0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3" w:type="dxa"/>
                  <w:vAlign w:val="center"/>
                </w:tcPr>
                <w:p w14:paraId="6FDF0E0E">
                  <w:pPr>
                    <w:pStyle w:val="32"/>
                    <w:rPr>
                      <w:color w:val="auto"/>
                    </w:rPr>
                  </w:pPr>
                  <w:r>
                    <w:rPr>
                      <w:rFonts w:hint="eastAsia"/>
                      <w:color w:val="auto"/>
                    </w:rPr>
                    <w:t>烘干</w:t>
                  </w:r>
                </w:p>
              </w:tc>
              <w:tc>
                <w:tcPr>
                  <w:tcW w:w="1388" w:type="dxa"/>
                  <w:vAlign w:val="center"/>
                </w:tcPr>
                <w:p w14:paraId="5B2B2552">
                  <w:pPr>
                    <w:pStyle w:val="32"/>
                    <w:rPr>
                      <w:color w:val="auto"/>
                    </w:rPr>
                  </w:pPr>
                  <w:r>
                    <w:rPr>
                      <w:rFonts w:hint="eastAsia"/>
                      <w:color w:val="auto"/>
                    </w:rPr>
                    <w:t>颗粒物</w:t>
                  </w:r>
                </w:p>
              </w:tc>
              <w:tc>
                <w:tcPr>
                  <w:tcW w:w="1583" w:type="dxa"/>
                  <w:vAlign w:val="center"/>
                </w:tcPr>
                <w:p w14:paraId="2143ACE8">
                  <w:pPr>
                    <w:pStyle w:val="32"/>
                    <w:ind w:firstLine="0" w:firstLineChars="0"/>
                    <w:rPr>
                      <w:color w:val="auto"/>
                    </w:rPr>
                  </w:pPr>
                  <w:r>
                    <w:rPr>
                      <w:rFonts w:hint="eastAsia"/>
                      <w:color w:val="auto"/>
                      <w:lang w:val="en-US" w:eastAsia="zh-CN"/>
                    </w:rPr>
                    <w:t>764.33</w:t>
                  </w:r>
                </w:p>
              </w:tc>
              <w:tc>
                <w:tcPr>
                  <w:tcW w:w="1527" w:type="dxa"/>
                  <w:vAlign w:val="center"/>
                </w:tcPr>
                <w:p w14:paraId="3C4D0C42">
                  <w:pPr>
                    <w:pStyle w:val="32"/>
                    <w:ind w:firstLine="0" w:firstLineChars="0"/>
                    <w:rPr>
                      <w:color w:val="auto"/>
                    </w:rPr>
                  </w:pPr>
                  <w:r>
                    <w:rPr>
                      <w:rFonts w:hint="eastAsia"/>
                      <w:color w:val="auto"/>
                      <w:lang w:val="en-US" w:eastAsia="zh-CN"/>
                    </w:rPr>
                    <w:t>9.172</w:t>
                  </w:r>
                </w:p>
              </w:tc>
              <w:tc>
                <w:tcPr>
                  <w:tcW w:w="1167" w:type="dxa"/>
                  <w:vAlign w:val="center"/>
                </w:tcPr>
                <w:p w14:paraId="72DC20DB">
                  <w:pPr>
                    <w:jc w:val="center"/>
                    <w:rPr>
                      <w:color w:val="auto"/>
                      <w:szCs w:val="21"/>
                    </w:rPr>
                  </w:pPr>
                  <w:r>
                    <w:rPr>
                      <w:rFonts w:hint="eastAsia"/>
                      <w:color w:val="auto"/>
                      <w:szCs w:val="21"/>
                    </w:rPr>
                    <w:t>0.5</w:t>
                  </w:r>
                </w:p>
              </w:tc>
              <w:tc>
                <w:tcPr>
                  <w:tcW w:w="1167" w:type="dxa"/>
                  <w:vMerge w:val="continue"/>
                  <w:vAlign w:val="center"/>
                </w:tcPr>
                <w:p w14:paraId="01E56C72">
                  <w:pPr>
                    <w:jc w:val="center"/>
                    <w:rPr>
                      <w:color w:val="auto"/>
                      <w:szCs w:val="21"/>
                    </w:rPr>
                  </w:pPr>
                </w:p>
              </w:tc>
            </w:tr>
            <w:tr w14:paraId="71FD5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3" w:type="dxa"/>
                  <w:vMerge w:val="restart"/>
                  <w:vAlign w:val="center"/>
                </w:tcPr>
                <w:p w14:paraId="51ED77BE">
                  <w:pPr>
                    <w:pStyle w:val="32"/>
                    <w:rPr>
                      <w:color w:val="auto"/>
                    </w:rPr>
                  </w:pPr>
                  <w:r>
                    <w:rPr>
                      <w:rFonts w:hint="eastAsia"/>
                      <w:color w:val="auto"/>
                    </w:rPr>
                    <w:t>热风炉</w:t>
                  </w:r>
                </w:p>
              </w:tc>
              <w:tc>
                <w:tcPr>
                  <w:tcW w:w="1388" w:type="dxa"/>
                  <w:vAlign w:val="center"/>
                </w:tcPr>
                <w:p w14:paraId="1E17A505">
                  <w:pPr>
                    <w:pStyle w:val="32"/>
                    <w:rPr>
                      <w:color w:val="auto"/>
                    </w:rPr>
                  </w:pPr>
                  <w:r>
                    <w:rPr>
                      <w:rFonts w:hint="eastAsia"/>
                      <w:color w:val="auto"/>
                    </w:rPr>
                    <w:t>颗粒物</w:t>
                  </w:r>
                </w:p>
              </w:tc>
              <w:tc>
                <w:tcPr>
                  <w:tcW w:w="1583" w:type="dxa"/>
                  <w:vAlign w:val="center"/>
                </w:tcPr>
                <w:p w14:paraId="0C226100">
                  <w:pPr>
                    <w:pStyle w:val="32"/>
                    <w:ind w:firstLine="0" w:firstLineChars="0"/>
                    <w:rPr>
                      <w:color w:val="auto"/>
                    </w:rPr>
                  </w:pPr>
                  <w:r>
                    <w:rPr>
                      <w:rFonts w:hint="eastAsia"/>
                      <w:color w:val="auto"/>
                      <w:lang w:val="en-US" w:eastAsia="zh-CN"/>
                    </w:rPr>
                    <w:t>80.1</w:t>
                  </w:r>
                </w:p>
              </w:tc>
              <w:tc>
                <w:tcPr>
                  <w:tcW w:w="1527" w:type="dxa"/>
                  <w:vAlign w:val="center"/>
                </w:tcPr>
                <w:p w14:paraId="1DEFE89C">
                  <w:pPr>
                    <w:pStyle w:val="32"/>
                    <w:ind w:firstLine="0" w:firstLineChars="0"/>
                    <w:rPr>
                      <w:color w:val="auto"/>
                    </w:rPr>
                  </w:pPr>
                  <w:r>
                    <w:rPr>
                      <w:rFonts w:hint="eastAsia"/>
                      <w:color w:val="auto"/>
                      <w:lang w:val="en-US" w:eastAsia="zh-CN"/>
                    </w:rPr>
                    <w:t>0.697</w:t>
                  </w:r>
                </w:p>
              </w:tc>
              <w:tc>
                <w:tcPr>
                  <w:tcW w:w="1167" w:type="dxa"/>
                  <w:vAlign w:val="center"/>
                </w:tcPr>
                <w:p w14:paraId="17BB7793">
                  <w:pPr>
                    <w:jc w:val="center"/>
                    <w:rPr>
                      <w:color w:val="auto"/>
                      <w:szCs w:val="21"/>
                    </w:rPr>
                  </w:pPr>
                  <w:r>
                    <w:rPr>
                      <w:rFonts w:hint="eastAsia"/>
                      <w:color w:val="auto"/>
                      <w:szCs w:val="21"/>
                    </w:rPr>
                    <w:t>0.5</w:t>
                  </w:r>
                </w:p>
              </w:tc>
              <w:tc>
                <w:tcPr>
                  <w:tcW w:w="1167" w:type="dxa"/>
                  <w:vMerge w:val="continue"/>
                  <w:vAlign w:val="center"/>
                </w:tcPr>
                <w:p w14:paraId="0DE70026">
                  <w:pPr>
                    <w:jc w:val="center"/>
                    <w:rPr>
                      <w:color w:val="auto"/>
                      <w:szCs w:val="21"/>
                    </w:rPr>
                  </w:pPr>
                </w:p>
              </w:tc>
            </w:tr>
            <w:tr w14:paraId="607DB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3" w:type="dxa"/>
                  <w:vMerge w:val="continue"/>
                  <w:vAlign w:val="center"/>
                </w:tcPr>
                <w:p w14:paraId="1F40628F">
                  <w:pPr>
                    <w:pStyle w:val="32"/>
                    <w:rPr>
                      <w:color w:val="auto"/>
                    </w:rPr>
                  </w:pPr>
                </w:p>
              </w:tc>
              <w:tc>
                <w:tcPr>
                  <w:tcW w:w="1388" w:type="dxa"/>
                  <w:vAlign w:val="center"/>
                </w:tcPr>
                <w:p w14:paraId="0411BCED">
                  <w:pPr>
                    <w:pStyle w:val="32"/>
                    <w:rPr>
                      <w:color w:val="auto"/>
                    </w:rPr>
                  </w:pPr>
                  <w:r>
                    <w:rPr>
                      <w:rFonts w:hint="eastAsia"/>
                      <w:color w:val="auto"/>
                    </w:rPr>
                    <w:t>二氧化硫</w:t>
                  </w:r>
                </w:p>
              </w:tc>
              <w:tc>
                <w:tcPr>
                  <w:tcW w:w="1583" w:type="dxa"/>
                  <w:vAlign w:val="center"/>
                </w:tcPr>
                <w:p w14:paraId="378993AF">
                  <w:pPr>
                    <w:pStyle w:val="32"/>
                    <w:ind w:firstLine="0" w:firstLineChars="0"/>
                    <w:rPr>
                      <w:color w:val="auto"/>
                    </w:rPr>
                  </w:pPr>
                  <w:r>
                    <w:rPr>
                      <w:rFonts w:hint="eastAsia"/>
                      <w:color w:val="auto"/>
                      <w:lang w:val="en-US" w:eastAsia="zh-CN"/>
                    </w:rPr>
                    <w:t>54.57</w:t>
                  </w:r>
                </w:p>
              </w:tc>
              <w:tc>
                <w:tcPr>
                  <w:tcW w:w="1527" w:type="dxa"/>
                  <w:vAlign w:val="center"/>
                </w:tcPr>
                <w:p w14:paraId="33F37445">
                  <w:pPr>
                    <w:pStyle w:val="32"/>
                    <w:ind w:firstLine="0" w:firstLineChars="0"/>
                    <w:rPr>
                      <w:color w:val="auto"/>
                    </w:rPr>
                  </w:pPr>
                  <w:r>
                    <w:rPr>
                      <w:rFonts w:hint="eastAsia"/>
                      <w:color w:val="auto"/>
                      <w:lang w:val="en-US" w:eastAsia="zh-CN"/>
                    </w:rPr>
                    <w:t>0.475</w:t>
                  </w:r>
                </w:p>
              </w:tc>
              <w:tc>
                <w:tcPr>
                  <w:tcW w:w="1167" w:type="dxa"/>
                  <w:vAlign w:val="center"/>
                </w:tcPr>
                <w:p w14:paraId="1DC050C9">
                  <w:pPr>
                    <w:jc w:val="center"/>
                    <w:rPr>
                      <w:color w:val="auto"/>
                      <w:szCs w:val="21"/>
                    </w:rPr>
                  </w:pPr>
                  <w:r>
                    <w:rPr>
                      <w:rFonts w:hint="eastAsia"/>
                      <w:color w:val="auto"/>
                      <w:szCs w:val="21"/>
                    </w:rPr>
                    <w:t>0.5</w:t>
                  </w:r>
                </w:p>
              </w:tc>
              <w:tc>
                <w:tcPr>
                  <w:tcW w:w="1167" w:type="dxa"/>
                  <w:vMerge w:val="continue"/>
                  <w:vAlign w:val="center"/>
                </w:tcPr>
                <w:p w14:paraId="75E80110">
                  <w:pPr>
                    <w:jc w:val="center"/>
                    <w:rPr>
                      <w:color w:val="auto"/>
                      <w:szCs w:val="21"/>
                    </w:rPr>
                  </w:pPr>
                </w:p>
              </w:tc>
            </w:tr>
            <w:tr w14:paraId="255A1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3" w:type="dxa"/>
                  <w:vMerge w:val="continue"/>
                  <w:vAlign w:val="center"/>
                </w:tcPr>
                <w:p w14:paraId="5316E921">
                  <w:pPr>
                    <w:pStyle w:val="32"/>
                    <w:rPr>
                      <w:color w:val="auto"/>
                    </w:rPr>
                  </w:pPr>
                </w:p>
              </w:tc>
              <w:tc>
                <w:tcPr>
                  <w:tcW w:w="1388" w:type="dxa"/>
                  <w:vAlign w:val="center"/>
                </w:tcPr>
                <w:p w14:paraId="30FA728D">
                  <w:pPr>
                    <w:pStyle w:val="32"/>
                    <w:rPr>
                      <w:color w:val="auto"/>
                    </w:rPr>
                  </w:pPr>
                  <w:r>
                    <w:rPr>
                      <w:rFonts w:hint="eastAsia"/>
                      <w:color w:val="auto"/>
                    </w:rPr>
                    <w:t>氮氧化物</w:t>
                  </w:r>
                </w:p>
              </w:tc>
              <w:tc>
                <w:tcPr>
                  <w:tcW w:w="1583" w:type="dxa"/>
                  <w:vAlign w:val="center"/>
                </w:tcPr>
                <w:p w14:paraId="130963B7">
                  <w:pPr>
                    <w:pStyle w:val="32"/>
                    <w:ind w:firstLine="0" w:firstLineChars="0"/>
                    <w:rPr>
                      <w:color w:val="auto"/>
                    </w:rPr>
                  </w:pPr>
                  <w:r>
                    <w:rPr>
                      <w:rFonts w:hint="eastAsia"/>
                      <w:color w:val="auto"/>
                      <w:lang w:val="en-US" w:eastAsia="zh-CN"/>
                    </w:rPr>
                    <w:t>163.37</w:t>
                  </w:r>
                </w:p>
              </w:tc>
              <w:tc>
                <w:tcPr>
                  <w:tcW w:w="1527" w:type="dxa"/>
                  <w:vAlign w:val="center"/>
                </w:tcPr>
                <w:p w14:paraId="6A432ACF">
                  <w:pPr>
                    <w:pStyle w:val="32"/>
                    <w:ind w:firstLine="0" w:firstLineChars="0"/>
                    <w:rPr>
                      <w:color w:val="auto"/>
                    </w:rPr>
                  </w:pPr>
                  <w:r>
                    <w:rPr>
                      <w:rFonts w:hint="eastAsia"/>
                      <w:color w:val="auto"/>
                      <w:lang w:val="en-US" w:eastAsia="zh-CN"/>
                    </w:rPr>
                    <w:t>1.422</w:t>
                  </w:r>
                </w:p>
              </w:tc>
              <w:tc>
                <w:tcPr>
                  <w:tcW w:w="1167" w:type="dxa"/>
                  <w:vAlign w:val="center"/>
                </w:tcPr>
                <w:p w14:paraId="2DCE4468">
                  <w:pPr>
                    <w:jc w:val="center"/>
                    <w:rPr>
                      <w:color w:val="auto"/>
                      <w:szCs w:val="21"/>
                    </w:rPr>
                  </w:pPr>
                  <w:r>
                    <w:rPr>
                      <w:rFonts w:hint="eastAsia"/>
                      <w:color w:val="auto"/>
                      <w:szCs w:val="21"/>
                    </w:rPr>
                    <w:t>0.5</w:t>
                  </w:r>
                </w:p>
              </w:tc>
              <w:tc>
                <w:tcPr>
                  <w:tcW w:w="1167" w:type="dxa"/>
                  <w:vMerge w:val="continue"/>
                  <w:vAlign w:val="center"/>
                </w:tcPr>
                <w:p w14:paraId="5D231143">
                  <w:pPr>
                    <w:jc w:val="center"/>
                    <w:rPr>
                      <w:color w:val="auto"/>
                      <w:szCs w:val="21"/>
                    </w:rPr>
                  </w:pPr>
                </w:p>
              </w:tc>
            </w:tr>
          </w:tbl>
          <w:p w14:paraId="0CF59081">
            <w:pPr>
              <w:spacing w:line="360" w:lineRule="auto"/>
              <w:ind w:firstLine="480" w:firstLineChars="200"/>
              <w:rPr>
                <w:color w:val="auto"/>
                <w:sz w:val="24"/>
                <w:szCs w:val="32"/>
              </w:rPr>
            </w:pPr>
            <w:r>
              <w:rPr>
                <w:rFonts w:hint="eastAsia"/>
                <w:color w:val="auto"/>
                <w:sz w:val="24"/>
                <w:szCs w:val="32"/>
              </w:rPr>
              <w:t>建设</w:t>
            </w:r>
            <w:r>
              <w:rPr>
                <w:color w:val="auto"/>
                <w:sz w:val="24"/>
                <w:szCs w:val="32"/>
              </w:rPr>
              <w:t>单位应严格控制废气非正常排放，并采取以下措施</w:t>
            </w:r>
            <w:r>
              <w:rPr>
                <w:rFonts w:hint="eastAsia"/>
                <w:color w:val="auto"/>
                <w:sz w:val="24"/>
                <w:szCs w:val="32"/>
              </w:rPr>
              <w:t>：</w:t>
            </w:r>
          </w:p>
          <w:p w14:paraId="43B56407">
            <w:pPr>
              <w:spacing w:line="360" w:lineRule="auto"/>
              <w:ind w:firstLine="480" w:firstLineChars="200"/>
              <w:rPr>
                <w:color w:val="auto"/>
                <w:sz w:val="24"/>
                <w:szCs w:val="32"/>
              </w:rPr>
            </w:pPr>
            <w:r>
              <w:rPr>
                <w:rFonts w:hint="eastAsia"/>
                <w:color w:val="auto"/>
                <w:sz w:val="24"/>
                <w:szCs w:val="32"/>
              </w:rPr>
              <w:t>（1）</w:t>
            </w:r>
            <w:r>
              <w:rPr>
                <w:color w:val="auto"/>
                <w:sz w:val="24"/>
                <w:szCs w:val="32"/>
              </w:rPr>
              <w:t>制定设备检查制度</w:t>
            </w:r>
            <w:r>
              <w:rPr>
                <w:rFonts w:hint="eastAsia"/>
                <w:color w:val="auto"/>
                <w:sz w:val="24"/>
                <w:szCs w:val="32"/>
              </w:rPr>
              <w:t>，</w:t>
            </w:r>
            <w:r>
              <w:rPr>
                <w:color w:val="auto"/>
                <w:sz w:val="24"/>
                <w:szCs w:val="32"/>
              </w:rPr>
              <w:t>加强定期维护保养</w:t>
            </w:r>
            <w:r>
              <w:rPr>
                <w:rFonts w:hint="eastAsia"/>
                <w:color w:val="auto"/>
                <w:sz w:val="24"/>
                <w:szCs w:val="32"/>
              </w:rPr>
              <w:t>，</w:t>
            </w:r>
            <w:r>
              <w:rPr>
                <w:color w:val="auto"/>
                <w:sz w:val="24"/>
                <w:szCs w:val="32"/>
              </w:rPr>
              <w:t>发现设备设施故障、损坏或排风管道破损时，应立即停止生产活动</w:t>
            </w:r>
            <w:r>
              <w:rPr>
                <w:rFonts w:hint="eastAsia"/>
                <w:color w:val="auto"/>
                <w:sz w:val="24"/>
                <w:szCs w:val="32"/>
              </w:rPr>
              <w:t>，</w:t>
            </w:r>
            <w:r>
              <w:rPr>
                <w:color w:val="auto"/>
                <w:sz w:val="24"/>
                <w:szCs w:val="32"/>
              </w:rPr>
              <w:t>对设备或管道进行维修</w:t>
            </w:r>
            <w:r>
              <w:rPr>
                <w:rFonts w:hint="eastAsia"/>
                <w:color w:val="auto"/>
                <w:sz w:val="24"/>
                <w:szCs w:val="32"/>
              </w:rPr>
              <w:t>，</w:t>
            </w:r>
            <w:r>
              <w:rPr>
                <w:color w:val="auto"/>
                <w:sz w:val="24"/>
                <w:szCs w:val="32"/>
              </w:rPr>
              <w:t>待恢复正常后方</w:t>
            </w:r>
            <w:r>
              <w:rPr>
                <w:rFonts w:hint="eastAsia"/>
                <w:color w:val="auto"/>
                <w:sz w:val="24"/>
                <w:szCs w:val="32"/>
              </w:rPr>
              <w:t>可</w:t>
            </w:r>
            <w:r>
              <w:rPr>
                <w:color w:val="auto"/>
                <w:sz w:val="24"/>
                <w:szCs w:val="32"/>
              </w:rPr>
              <w:t>正常运行。</w:t>
            </w:r>
          </w:p>
          <w:p w14:paraId="20CB3F1B">
            <w:pPr>
              <w:spacing w:line="360" w:lineRule="auto"/>
              <w:ind w:firstLine="480" w:firstLineChars="200"/>
              <w:rPr>
                <w:color w:val="auto"/>
                <w:sz w:val="24"/>
                <w:szCs w:val="32"/>
              </w:rPr>
            </w:pPr>
            <w:r>
              <w:rPr>
                <w:rFonts w:hint="eastAsia"/>
                <w:color w:val="auto"/>
                <w:sz w:val="24"/>
                <w:szCs w:val="32"/>
              </w:rPr>
              <w:t>（2）</w:t>
            </w:r>
            <w:r>
              <w:rPr>
                <w:color w:val="auto"/>
                <w:sz w:val="24"/>
                <w:szCs w:val="32"/>
              </w:rPr>
              <w:t>定期检修低氮燃烧器</w:t>
            </w:r>
            <w:r>
              <w:rPr>
                <w:rFonts w:hint="eastAsia"/>
                <w:color w:val="auto"/>
                <w:sz w:val="24"/>
                <w:szCs w:val="32"/>
              </w:rPr>
              <w:t>、布袋除尘器</w:t>
            </w:r>
            <w:r>
              <w:rPr>
                <w:color w:val="auto"/>
                <w:sz w:val="24"/>
                <w:szCs w:val="32"/>
              </w:rPr>
              <w:t>运行情况</w:t>
            </w:r>
            <w:r>
              <w:rPr>
                <w:rFonts w:hint="eastAsia"/>
                <w:color w:val="auto"/>
                <w:sz w:val="24"/>
                <w:szCs w:val="32"/>
              </w:rPr>
              <w:t>，</w:t>
            </w:r>
            <w:r>
              <w:rPr>
                <w:color w:val="auto"/>
                <w:sz w:val="24"/>
                <w:szCs w:val="32"/>
              </w:rPr>
              <w:t>确保正常运行</w:t>
            </w:r>
          </w:p>
          <w:p w14:paraId="3040AB21">
            <w:pPr>
              <w:spacing w:line="360" w:lineRule="auto"/>
              <w:ind w:firstLine="480" w:firstLineChars="200"/>
              <w:rPr>
                <w:b/>
                <w:color w:val="auto"/>
                <w:sz w:val="24"/>
              </w:rPr>
            </w:pPr>
            <w:r>
              <w:rPr>
                <w:rFonts w:hint="eastAsia"/>
                <w:color w:val="auto"/>
                <w:sz w:val="24"/>
                <w:szCs w:val="32"/>
              </w:rPr>
              <w:t>（3）</w:t>
            </w:r>
            <w:r>
              <w:rPr>
                <w:color w:val="auto"/>
                <w:sz w:val="24"/>
                <w:szCs w:val="32"/>
              </w:rPr>
              <w:t>对设备管理人员及技术人员进行岗位培训</w:t>
            </w:r>
            <w:r>
              <w:rPr>
                <w:rFonts w:hint="eastAsia"/>
                <w:color w:val="auto"/>
                <w:sz w:val="24"/>
                <w:szCs w:val="32"/>
              </w:rPr>
              <w:t>，</w:t>
            </w:r>
            <w:r>
              <w:rPr>
                <w:color w:val="auto"/>
                <w:sz w:val="24"/>
                <w:szCs w:val="32"/>
              </w:rPr>
              <w:t>委托具有专业资质的环境检测单位对项目排放的各类废气污染物进行定期监测。</w:t>
            </w:r>
          </w:p>
          <w:p w14:paraId="3BF1CCEE">
            <w:pPr>
              <w:spacing w:line="360" w:lineRule="auto"/>
              <w:rPr>
                <w:b/>
                <w:color w:val="auto"/>
                <w:sz w:val="24"/>
              </w:rPr>
            </w:pPr>
            <w:r>
              <w:rPr>
                <w:b/>
                <w:color w:val="auto"/>
                <w:sz w:val="24"/>
              </w:rPr>
              <w:t>二、水污染</w:t>
            </w:r>
          </w:p>
          <w:p w14:paraId="464FAC4A">
            <w:pPr>
              <w:spacing w:line="360" w:lineRule="auto"/>
              <w:rPr>
                <w:b/>
                <w:bCs/>
                <w:color w:val="auto"/>
                <w:sz w:val="24"/>
              </w:rPr>
            </w:pPr>
            <w:r>
              <w:rPr>
                <w:b/>
                <w:bCs/>
                <w:color w:val="auto"/>
                <w:sz w:val="24"/>
              </w:rPr>
              <w:t>1、废水污染源强</w:t>
            </w:r>
          </w:p>
          <w:p w14:paraId="5A2770D6">
            <w:pPr>
              <w:spacing w:line="360" w:lineRule="auto"/>
              <w:ind w:firstLine="480"/>
              <w:rPr>
                <w:color w:val="auto"/>
                <w:sz w:val="24"/>
              </w:rPr>
            </w:pPr>
            <w:r>
              <w:rPr>
                <w:rFonts w:hint="eastAsia"/>
                <w:color w:val="auto"/>
                <w:sz w:val="24"/>
              </w:rPr>
              <w:t>本项目新增劳动人员3人</w:t>
            </w:r>
            <w:r>
              <w:rPr>
                <w:color w:val="auto"/>
                <w:sz w:val="24"/>
              </w:rPr>
              <w:t>，</w:t>
            </w:r>
            <w:r>
              <w:rPr>
                <w:rFonts w:hint="eastAsia"/>
                <w:color w:val="auto"/>
                <w:sz w:val="24"/>
              </w:rPr>
              <w:t>均不在厂内食宿，</w:t>
            </w:r>
            <w:r>
              <w:rPr>
                <w:color w:val="auto"/>
                <w:sz w:val="24"/>
              </w:rPr>
              <w:t>根据《安徽省行业用水定额》（DB34/T679-2025）表5中用水定额，按38m³/(人·d)计，项目年工作日300天</w:t>
            </w:r>
            <w:r>
              <w:rPr>
                <w:rFonts w:hint="eastAsia"/>
                <w:color w:val="auto"/>
                <w:sz w:val="24"/>
              </w:rPr>
              <w:t>。则用水量为0.38m</w:t>
            </w:r>
            <w:r>
              <w:rPr>
                <w:rFonts w:hint="eastAsia"/>
                <w:color w:val="auto"/>
                <w:sz w:val="24"/>
                <w:vertAlign w:val="superscript"/>
              </w:rPr>
              <w:t>3</w:t>
            </w:r>
            <w:r>
              <w:rPr>
                <w:rFonts w:hint="eastAsia"/>
                <w:color w:val="auto"/>
                <w:sz w:val="24"/>
              </w:rPr>
              <w:t>/d，114m</w:t>
            </w:r>
            <w:r>
              <w:rPr>
                <w:rFonts w:hint="eastAsia"/>
                <w:color w:val="auto"/>
                <w:sz w:val="24"/>
                <w:vertAlign w:val="superscript"/>
              </w:rPr>
              <w:t>3</w:t>
            </w:r>
            <w:r>
              <w:rPr>
                <w:rFonts w:hint="eastAsia"/>
                <w:color w:val="auto"/>
                <w:sz w:val="24"/>
              </w:rPr>
              <w:t>/a。</w:t>
            </w:r>
          </w:p>
          <w:p w14:paraId="3620A59F">
            <w:pPr>
              <w:spacing w:line="360" w:lineRule="auto"/>
              <w:rPr>
                <w:b/>
                <w:bCs/>
                <w:color w:val="auto"/>
                <w:sz w:val="24"/>
              </w:rPr>
            </w:pPr>
            <w:r>
              <w:rPr>
                <w:rFonts w:hint="eastAsia"/>
                <w:b/>
                <w:bCs/>
                <w:color w:val="auto"/>
                <w:sz w:val="24"/>
              </w:rPr>
              <w:t>2、</w:t>
            </w:r>
            <w:r>
              <w:rPr>
                <w:b/>
                <w:bCs/>
                <w:color w:val="auto"/>
                <w:sz w:val="24"/>
              </w:rPr>
              <w:t>废水产排情况及处理措施</w:t>
            </w:r>
          </w:p>
          <w:p w14:paraId="1D7EA379">
            <w:pPr>
              <w:spacing w:line="360" w:lineRule="auto"/>
              <w:ind w:firstLine="480" w:firstLineChars="200"/>
              <w:rPr>
                <w:bCs/>
                <w:color w:val="auto"/>
                <w:sz w:val="24"/>
              </w:rPr>
            </w:pPr>
            <w:r>
              <w:rPr>
                <w:rFonts w:hint="eastAsia"/>
                <w:bCs/>
                <w:color w:val="auto"/>
                <w:sz w:val="24"/>
              </w:rPr>
              <w:t>项目生活污水产排情况及治理措施如下：</w:t>
            </w:r>
          </w:p>
          <w:p w14:paraId="1E522337">
            <w:pPr>
              <w:jc w:val="center"/>
              <w:rPr>
                <w:b/>
                <w:bCs/>
                <w:color w:val="auto"/>
                <w:sz w:val="24"/>
              </w:rPr>
            </w:pPr>
            <w:r>
              <w:rPr>
                <w:b/>
                <w:bCs/>
                <w:color w:val="auto"/>
                <w:sz w:val="24"/>
              </w:rPr>
              <w:t>表4-</w:t>
            </w:r>
            <w:r>
              <w:rPr>
                <w:rFonts w:hint="eastAsia"/>
                <w:b/>
                <w:bCs/>
                <w:color w:val="auto"/>
                <w:sz w:val="24"/>
                <w:lang w:val="en-US" w:eastAsia="zh-CN"/>
              </w:rPr>
              <w:t>7</w:t>
            </w:r>
            <w:r>
              <w:rPr>
                <w:b/>
                <w:bCs/>
                <w:color w:val="auto"/>
                <w:sz w:val="24"/>
              </w:rPr>
              <w:t xml:space="preserve">  项目废水产生及排放情况一览表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06"/>
              <w:gridCol w:w="1347"/>
              <w:gridCol w:w="1051"/>
              <w:gridCol w:w="1266"/>
              <w:gridCol w:w="1211"/>
              <w:gridCol w:w="830"/>
              <w:gridCol w:w="1588"/>
            </w:tblGrid>
            <w:tr w14:paraId="4896F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3" w:hRule="atLeast"/>
                <w:jc w:val="center"/>
              </w:trPr>
              <w:tc>
                <w:tcPr>
                  <w:tcW w:w="552" w:type="pct"/>
                  <w:vMerge w:val="restart"/>
                  <w:vAlign w:val="center"/>
                </w:tcPr>
                <w:p w14:paraId="501DA8AE">
                  <w:pPr>
                    <w:widowControl/>
                    <w:jc w:val="center"/>
                    <w:textAlignment w:val="center"/>
                    <w:rPr>
                      <w:color w:val="auto"/>
                      <w:kern w:val="0"/>
                      <w:szCs w:val="21"/>
                    </w:rPr>
                  </w:pPr>
                  <w:r>
                    <w:rPr>
                      <w:color w:val="auto"/>
                      <w:kern w:val="0"/>
                      <w:szCs w:val="21"/>
                    </w:rPr>
                    <w:t>废水</w:t>
                  </w:r>
                </w:p>
                <w:p w14:paraId="1CDD01CA">
                  <w:pPr>
                    <w:widowControl/>
                    <w:jc w:val="center"/>
                    <w:textAlignment w:val="center"/>
                    <w:rPr>
                      <w:color w:val="auto"/>
                      <w:szCs w:val="21"/>
                    </w:rPr>
                  </w:pPr>
                  <w:r>
                    <w:rPr>
                      <w:color w:val="auto"/>
                      <w:kern w:val="0"/>
                      <w:szCs w:val="21"/>
                    </w:rPr>
                    <w:t>来源</w:t>
                  </w:r>
                </w:p>
              </w:tc>
              <w:tc>
                <w:tcPr>
                  <w:tcW w:w="821" w:type="pct"/>
                  <w:vMerge w:val="restart"/>
                  <w:vAlign w:val="center"/>
                </w:tcPr>
                <w:p w14:paraId="659A6F68">
                  <w:pPr>
                    <w:widowControl/>
                    <w:jc w:val="center"/>
                    <w:textAlignment w:val="center"/>
                    <w:rPr>
                      <w:color w:val="auto"/>
                      <w:kern w:val="0"/>
                      <w:szCs w:val="21"/>
                    </w:rPr>
                  </w:pPr>
                  <w:r>
                    <w:rPr>
                      <w:color w:val="auto"/>
                      <w:kern w:val="0"/>
                      <w:szCs w:val="21"/>
                    </w:rPr>
                    <w:t>污染物</w:t>
                  </w:r>
                </w:p>
                <w:p w14:paraId="70B0DE7E">
                  <w:pPr>
                    <w:widowControl/>
                    <w:jc w:val="center"/>
                    <w:textAlignment w:val="center"/>
                    <w:rPr>
                      <w:color w:val="auto"/>
                      <w:szCs w:val="21"/>
                    </w:rPr>
                  </w:pPr>
                  <w:r>
                    <w:rPr>
                      <w:color w:val="auto"/>
                      <w:kern w:val="0"/>
                      <w:szCs w:val="21"/>
                    </w:rPr>
                    <w:t>名称</w:t>
                  </w:r>
                </w:p>
              </w:tc>
              <w:tc>
                <w:tcPr>
                  <w:tcW w:w="2151" w:type="pct"/>
                  <w:gridSpan w:val="3"/>
                  <w:vAlign w:val="center"/>
                </w:tcPr>
                <w:p w14:paraId="4C546F53">
                  <w:pPr>
                    <w:widowControl/>
                    <w:jc w:val="center"/>
                    <w:textAlignment w:val="center"/>
                    <w:rPr>
                      <w:color w:val="auto"/>
                      <w:szCs w:val="21"/>
                    </w:rPr>
                  </w:pPr>
                  <w:r>
                    <w:rPr>
                      <w:color w:val="auto"/>
                      <w:kern w:val="0"/>
                      <w:szCs w:val="21"/>
                    </w:rPr>
                    <w:t>产生情况</w:t>
                  </w:r>
                </w:p>
              </w:tc>
              <w:tc>
                <w:tcPr>
                  <w:tcW w:w="506" w:type="pct"/>
                  <w:vMerge w:val="restart"/>
                  <w:vAlign w:val="center"/>
                </w:tcPr>
                <w:p w14:paraId="5E3F9E30">
                  <w:pPr>
                    <w:widowControl/>
                    <w:jc w:val="center"/>
                    <w:textAlignment w:val="center"/>
                    <w:rPr>
                      <w:color w:val="auto"/>
                      <w:szCs w:val="21"/>
                    </w:rPr>
                  </w:pPr>
                  <w:r>
                    <w:rPr>
                      <w:color w:val="auto"/>
                      <w:kern w:val="0"/>
                      <w:szCs w:val="21"/>
                    </w:rPr>
                    <w:t>治理措施</w:t>
                  </w:r>
                </w:p>
              </w:tc>
              <w:tc>
                <w:tcPr>
                  <w:tcW w:w="968" w:type="pct"/>
                  <w:vAlign w:val="center"/>
                </w:tcPr>
                <w:p w14:paraId="49A48BE0">
                  <w:pPr>
                    <w:widowControl/>
                    <w:jc w:val="center"/>
                    <w:textAlignment w:val="center"/>
                    <w:rPr>
                      <w:color w:val="auto"/>
                      <w:kern w:val="0"/>
                      <w:szCs w:val="21"/>
                    </w:rPr>
                  </w:pPr>
                  <w:r>
                    <w:rPr>
                      <w:rStyle w:val="39"/>
                      <w:rFonts w:hint="default" w:ascii="Times New Roman" w:hAnsi="Times New Roman" w:cs="Times New Roman"/>
                      <w:color w:val="auto"/>
                      <w:lang w:bidi="ar"/>
                    </w:rPr>
                    <w:t>排放去向</w:t>
                  </w:r>
                </w:p>
              </w:tc>
            </w:tr>
            <w:tr w14:paraId="17498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3" w:hRule="atLeast"/>
                <w:jc w:val="center"/>
              </w:trPr>
              <w:tc>
                <w:tcPr>
                  <w:tcW w:w="552" w:type="pct"/>
                  <w:vMerge w:val="continue"/>
                  <w:vAlign w:val="center"/>
                </w:tcPr>
                <w:p w14:paraId="6230BFCE">
                  <w:pPr>
                    <w:widowControl/>
                    <w:jc w:val="center"/>
                    <w:rPr>
                      <w:color w:val="auto"/>
                      <w:szCs w:val="21"/>
                    </w:rPr>
                  </w:pPr>
                </w:p>
              </w:tc>
              <w:tc>
                <w:tcPr>
                  <w:tcW w:w="821" w:type="pct"/>
                  <w:vMerge w:val="continue"/>
                  <w:vAlign w:val="center"/>
                </w:tcPr>
                <w:p w14:paraId="033B21F9">
                  <w:pPr>
                    <w:widowControl/>
                    <w:jc w:val="center"/>
                    <w:rPr>
                      <w:color w:val="auto"/>
                      <w:szCs w:val="21"/>
                    </w:rPr>
                  </w:pPr>
                </w:p>
              </w:tc>
              <w:tc>
                <w:tcPr>
                  <w:tcW w:w="641" w:type="pct"/>
                  <w:vAlign w:val="center"/>
                </w:tcPr>
                <w:p w14:paraId="0E9302A9">
                  <w:pPr>
                    <w:widowControl/>
                    <w:jc w:val="center"/>
                    <w:textAlignment w:val="center"/>
                    <w:rPr>
                      <w:color w:val="auto"/>
                      <w:szCs w:val="21"/>
                    </w:rPr>
                  </w:pPr>
                  <w:r>
                    <w:rPr>
                      <w:color w:val="auto"/>
                      <w:kern w:val="0"/>
                      <w:szCs w:val="21"/>
                    </w:rPr>
                    <w:t>废水量（</w:t>
                  </w:r>
                  <w:r>
                    <w:rPr>
                      <w:rStyle w:val="40"/>
                      <w:rFonts w:hint="default" w:ascii="Times New Roman" w:hAnsi="Times New Roman"/>
                      <w:b w:val="0"/>
                      <w:bCs w:val="0"/>
                      <w:color w:val="auto"/>
                      <w:sz w:val="21"/>
                      <w:szCs w:val="21"/>
                    </w:rPr>
                    <w:t>t/a</w:t>
                  </w:r>
                  <w:r>
                    <w:rPr>
                      <w:rStyle w:val="41"/>
                      <w:color w:val="auto"/>
                      <w:szCs w:val="21"/>
                    </w:rPr>
                    <w:t>）</w:t>
                  </w:r>
                </w:p>
              </w:tc>
              <w:tc>
                <w:tcPr>
                  <w:tcW w:w="772" w:type="pct"/>
                  <w:vAlign w:val="center"/>
                </w:tcPr>
                <w:p w14:paraId="38D9BF86">
                  <w:pPr>
                    <w:widowControl/>
                    <w:jc w:val="center"/>
                    <w:textAlignment w:val="center"/>
                    <w:rPr>
                      <w:color w:val="auto"/>
                      <w:szCs w:val="21"/>
                    </w:rPr>
                  </w:pPr>
                  <w:r>
                    <w:rPr>
                      <w:color w:val="auto"/>
                      <w:kern w:val="0"/>
                      <w:szCs w:val="21"/>
                    </w:rPr>
                    <w:t>产生浓度（</w:t>
                  </w:r>
                  <w:r>
                    <w:rPr>
                      <w:rStyle w:val="40"/>
                      <w:rFonts w:hint="default" w:ascii="Times New Roman" w:hAnsi="Times New Roman"/>
                      <w:b w:val="0"/>
                      <w:bCs w:val="0"/>
                      <w:color w:val="auto"/>
                      <w:sz w:val="21"/>
                      <w:szCs w:val="21"/>
                    </w:rPr>
                    <w:t>mg/L</w:t>
                  </w:r>
                  <w:r>
                    <w:rPr>
                      <w:rStyle w:val="41"/>
                      <w:color w:val="auto"/>
                      <w:szCs w:val="21"/>
                    </w:rPr>
                    <w:t>）</w:t>
                  </w:r>
                </w:p>
              </w:tc>
              <w:tc>
                <w:tcPr>
                  <w:tcW w:w="738" w:type="pct"/>
                  <w:vAlign w:val="center"/>
                </w:tcPr>
                <w:p w14:paraId="14955604">
                  <w:pPr>
                    <w:widowControl/>
                    <w:jc w:val="center"/>
                    <w:textAlignment w:val="center"/>
                    <w:rPr>
                      <w:color w:val="auto"/>
                      <w:szCs w:val="21"/>
                    </w:rPr>
                  </w:pPr>
                  <w:r>
                    <w:rPr>
                      <w:color w:val="auto"/>
                      <w:kern w:val="0"/>
                      <w:szCs w:val="21"/>
                    </w:rPr>
                    <w:t>产生量（</w:t>
                  </w:r>
                  <w:r>
                    <w:rPr>
                      <w:rStyle w:val="40"/>
                      <w:rFonts w:hint="default" w:ascii="Times New Roman" w:hAnsi="Times New Roman"/>
                      <w:b w:val="0"/>
                      <w:bCs w:val="0"/>
                      <w:color w:val="auto"/>
                      <w:sz w:val="21"/>
                      <w:szCs w:val="21"/>
                    </w:rPr>
                    <w:t>t/a</w:t>
                  </w:r>
                  <w:r>
                    <w:rPr>
                      <w:rStyle w:val="41"/>
                      <w:color w:val="auto"/>
                      <w:szCs w:val="21"/>
                    </w:rPr>
                    <w:t>）</w:t>
                  </w:r>
                </w:p>
              </w:tc>
              <w:tc>
                <w:tcPr>
                  <w:tcW w:w="506" w:type="pct"/>
                  <w:vMerge w:val="continue"/>
                  <w:vAlign w:val="center"/>
                </w:tcPr>
                <w:p w14:paraId="4011A53B">
                  <w:pPr>
                    <w:widowControl/>
                    <w:jc w:val="center"/>
                    <w:rPr>
                      <w:color w:val="auto"/>
                      <w:szCs w:val="21"/>
                    </w:rPr>
                  </w:pPr>
                </w:p>
              </w:tc>
              <w:tc>
                <w:tcPr>
                  <w:tcW w:w="968" w:type="pct"/>
                  <w:vMerge w:val="restart"/>
                  <w:vAlign w:val="center"/>
                </w:tcPr>
                <w:p w14:paraId="7FFC90BC">
                  <w:pPr>
                    <w:widowControl/>
                    <w:jc w:val="center"/>
                    <w:textAlignment w:val="center"/>
                    <w:rPr>
                      <w:color w:val="auto"/>
                      <w:kern w:val="0"/>
                      <w:szCs w:val="21"/>
                    </w:rPr>
                  </w:pPr>
                  <w:r>
                    <w:rPr>
                      <w:rFonts w:hint="eastAsia"/>
                      <w:color w:val="auto"/>
                      <w:kern w:val="0"/>
                      <w:szCs w:val="21"/>
                    </w:rPr>
                    <w:t>不外排</w:t>
                  </w:r>
                </w:p>
              </w:tc>
            </w:tr>
            <w:tr w14:paraId="1D68B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3" w:hRule="atLeast"/>
                <w:jc w:val="center"/>
              </w:trPr>
              <w:tc>
                <w:tcPr>
                  <w:tcW w:w="552" w:type="pct"/>
                  <w:vMerge w:val="restart"/>
                  <w:vAlign w:val="center"/>
                </w:tcPr>
                <w:p w14:paraId="55390DB8">
                  <w:pPr>
                    <w:widowControl/>
                    <w:jc w:val="center"/>
                    <w:textAlignment w:val="center"/>
                    <w:rPr>
                      <w:color w:val="auto"/>
                      <w:kern w:val="0"/>
                      <w:szCs w:val="21"/>
                    </w:rPr>
                  </w:pPr>
                  <w:r>
                    <w:rPr>
                      <w:color w:val="auto"/>
                      <w:kern w:val="0"/>
                      <w:szCs w:val="21"/>
                    </w:rPr>
                    <w:t>生活</w:t>
                  </w:r>
                </w:p>
                <w:p w14:paraId="41C89548">
                  <w:pPr>
                    <w:widowControl/>
                    <w:jc w:val="center"/>
                    <w:textAlignment w:val="center"/>
                    <w:rPr>
                      <w:color w:val="auto"/>
                      <w:szCs w:val="21"/>
                    </w:rPr>
                  </w:pPr>
                  <w:r>
                    <w:rPr>
                      <w:color w:val="auto"/>
                      <w:kern w:val="0"/>
                      <w:szCs w:val="21"/>
                    </w:rPr>
                    <w:t>污水</w:t>
                  </w:r>
                </w:p>
              </w:tc>
              <w:tc>
                <w:tcPr>
                  <w:tcW w:w="821" w:type="pct"/>
                  <w:vAlign w:val="center"/>
                </w:tcPr>
                <w:p w14:paraId="5B58230C">
                  <w:pPr>
                    <w:widowControl/>
                    <w:jc w:val="center"/>
                    <w:textAlignment w:val="center"/>
                    <w:rPr>
                      <w:color w:val="auto"/>
                      <w:kern w:val="0"/>
                      <w:szCs w:val="21"/>
                    </w:rPr>
                  </w:pPr>
                  <w:r>
                    <w:rPr>
                      <w:rFonts w:hint="eastAsia"/>
                      <w:color w:val="auto"/>
                      <w:kern w:val="0"/>
                      <w:szCs w:val="21"/>
                    </w:rPr>
                    <w:t>pH</w:t>
                  </w:r>
                </w:p>
              </w:tc>
              <w:tc>
                <w:tcPr>
                  <w:tcW w:w="641" w:type="pct"/>
                  <w:vMerge w:val="restart"/>
                  <w:vAlign w:val="center"/>
                </w:tcPr>
                <w:p w14:paraId="45FE8BA7">
                  <w:pPr>
                    <w:widowControl/>
                    <w:jc w:val="center"/>
                    <w:textAlignment w:val="center"/>
                    <w:rPr>
                      <w:color w:val="auto"/>
                      <w:szCs w:val="21"/>
                    </w:rPr>
                  </w:pPr>
                  <w:r>
                    <w:rPr>
                      <w:rFonts w:hint="eastAsia"/>
                      <w:color w:val="auto"/>
                      <w:szCs w:val="21"/>
                    </w:rPr>
                    <w:t>114</w:t>
                  </w:r>
                </w:p>
              </w:tc>
              <w:tc>
                <w:tcPr>
                  <w:tcW w:w="772" w:type="pct"/>
                  <w:vAlign w:val="center"/>
                </w:tcPr>
                <w:p w14:paraId="43AD8C28">
                  <w:pPr>
                    <w:widowControl/>
                    <w:jc w:val="center"/>
                    <w:rPr>
                      <w:color w:val="auto"/>
                      <w:szCs w:val="21"/>
                    </w:rPr>
                  </w:pPr>
                  <w:r>
                    <w:rPr>
                      <w:color w:val="auto"/>
                      <w:szCs w:val="21"/>
                    </w:rPr>
                    <w:t>6-9（无量纲）</w:t>
                  </w:r>
                </w:p>
              </w:tc>
              <w:tc>
                <w:tcPr>
                  <w:tcW w:w="738" w:type="pct"/>
                  <w:vAlign w:val="center"/>
                </w:tcPr>
                <w:p w14:paraId="5B3D4499">
                  <w:pPr>
                    <w:jc w:val="center"/>
                    <w:rPr>
                      <w:rFonts w:eastAsia="等线"/>
                      <w:color w:val="auto"/>
                      <w:szCs w:val="21"/>
                    </w:rPr>
                  </w:pPr>
                  <w:r>
                    <w:rPr>
                      <w:rFonts w:hint="eastAsia" w:eastAsia="等线"/>
                      <w:color w:val="auto"/>
                      <w:szCs w:val="21"/>
                    </w:rPr>
                    <w:t>/</w:t>
                  </w:r>
                </w:p>
              </w:tc>
              <w:tc>
                <w:tcPr>
                  <w:tcW w:w="506" w:type="pct"/>
                  <w:vMerge w:val="restart"/>
                  <w:vAlign w:val="center"/>
                </w:tcPr>
                <w:p w14:paraId="65D30C81">
                  <w:pPr>
                    <w:widowControl/>
                    <w:jc w:val="center"/>
                    <w:textAlignment w:val="center"/>
                    <w:rPr>
                      <w:color w:val="auto"/>
                      <w:szCs w:val="21"/>
                    </w:rPr>
                  </w:pPr>
                  <w:r>
                    <w:rPr>
                      <w:color w:val="auto"/>
                      <w:szCs w:val="21"/>
                    </w:rPr>
                    <w:t>化粪池</w:t>
                  </w:r>
                </w:p>
              </w:tc>
              <w:tc>
                <w:tcPr>
                  <w:tcW w:w="968" w:type="pct"/>
                  <w:vMerge w:val="continue"/>
                  <w:vAlign w:val="center"/>
                </w:tcPr>
                <w:p w14:paraId="768AC424">
                  <w:pPr>
                    <w:jc w:val="center"/>
                    <w:rPr>
                      <w:rFonts w:eastAsia="等线"/>
                      <w:color w:val="auto"/>
                      <w:szCs w:val="21"/>
                    </w:rPr>
                  </w:pPr>
                </w:p>
              </w:tc>
            </w:tr>
            <w:tr w14:paraId="2E147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3" w:hRule="atLeast"/>
                <w:jc w:val="center"/>
              </w:trPr>
              <w:tc>
                <w:tcPr>
                  <w:tcW w:w="552" w:type="pct"/>
                  <w:vMerge w:val="continue"/>
                  <w:vAlign w:val="center"/>
                </w:tcPr>
                <w:p w14:paraId="38D3C785">
                  <w:pPr>
                    <w:widowControl/>
                    <w:jc w:val="center"/>
                    <w:textAlignment w:val="center"/>
                    <w:rPr>
                      <w:color w:val="auto"/>
                      <w:szCs w:val="21"/>
                    </w:rPr>
                  </w:pPr>
                </w:p>
              </w:tc>
              <w:tc>
                <w:tcPr>
                  <w:tcW w:w="821" w:type="pct"/>
                  <w:vAlign w:val="center"/>
                </w:tcPr>
                <w:p w14:paraId="2F9A17A7">
                  <w:pPr>
                    <w:widowControl/>
                    <w:jc w:val="center"/>
                    <w:textAlignment w:val="center"/>
                    <w:rPr>
                      <w:color w:val="auto"/>
                      <w:szCs w:val="21"/>
                    </w:rPr>
                  </w:pPr>
                  <w:r>
                    <w:rPr>
                      <w:color w:val="auto"/>
                      <w:kern w:val="0"/>
                      <w:szCs w:val="21"/>
                    </w:rPr>
                    <w:t>COD</w:t>
                  </w:r>
                </w:p>
              </w:tc>
              <w:tc>
                <w:tcPr>
                  <w:tcW w:w="641" w:type="pct"/>
                  <w:vMerge w:val="continue"/>
                  <w:vAlign w:val="center"/>
                </w:tcPr>
                <w:p w14:paraId="458A2F72">
                  <w:pPr>
                    <w:widowControl/>
                    <w:jc w:val="center"/>
                    <w:textAlignment w:val="center"/>
                    <w:rPr>
                      <w:color w:val="auto"/>
                      <w:szCs w:val="21"/>
                    </w:rPr>
                  </w:pPr>
                </w:p>
              </w:tc>
              <w:tc>
                <w:tcPr>
                  <w:tcW w:w="772" w:type="pct"/>
                  <w:vAlign w:val="center"/>
                </w:tcPr>
                <w:p w14:paraId="614AF0B8">
                  <w:pPr>
                    <w:widowControl/>
                    <w:jc w:val="center"/>
                    <w:rPr>
                      <w:rFonts w:eastAsia="等线"/>
                      <w:color w:val="auto"/>
                      <w:kern w:val="0"/>
                      <w:szCs w:val="21"/>
                    </w:rPr>
                  </w:pPr>
                  <w:r>
                    <w:rPr>
                      <w:rFonts w:eastAsia="等线"/>
                      <w:color w:val="auto"/>
                      <w:szCs w:val="21"/>
                    </w:rPr>
                    <w:t>300</w:t>
                  </w:r>
                </w:p>
              </w:tc>
              <w:tc>
                <w:tcPr>
                  <w:tcW w:w="738" w:type="pct"/>
                  <w:vAlign w:val="center"/>
                </w:tcPr>
                <w:p w14:paraId="1301A78D">
                  <w:pPr>
                    <w:jc w:val="center"/>
                    <w:rPr>
                      <w:rFonts w:eastAsia="等线"/>
                      <w:color w:val="auto"/>
                      <w:szCs w:val="21"/>
                    </w:rPr>
                  </w:pPr>
                  <w:r>
                    <w:rPr>
                      <w:rFonts w:hint="eastAsia" w:eastAsia="等线"/>
                      <w:color w:val="auto"/>
                      <w:szCs w:val="21"/>
                    </w:rPr>
                    <w:t>0.034</w:t>
                  </w:r>
                </w:p>
              </w:tc>
              <w:tc>
                <w:tcPr>
                  <w:tcW w:w="506" w:type="pct"/>
                  <w:vMerge w:val="continue"/>
                  <w:vAlign w:val="center"/>
                </w:tcPr>
                <w:p w14:paraId="4185847E">
                  <w:pPr>
                    <w:widowControl/>
                    <w:jc w:val="center"/>
                    <w:textAlignment w:val="center"/>
                    <w:rPr>
                      <w:color w:val="auto"/>
                      <w:szCs w:val="21"/>
                    </w:rPr>
                  </w:pPr>
                </w:p>
              </w:tc>
              <w:tc>
                <w:tcPr>
                  <w:tcW w:w="968" w:type="pct"/>
                  <w:vMerge w:val="continue"/>
                  <w:vAlign w:val="center"/>
                </w:tcPr>
                <w:p w14:paraId="3A38BF6C">
                  <w:pPr>
                    <w:jc w:val="center"/>
                    <w:rPr>
                      <w:rFonts w:eastAsia="等线"/>
                      <w:color w:val="auto"/>
                      <w:szCs w:val="21"/>
                    </w:rPr>
                  </w:pPr>
                </w:p>
              </w:tc>
            </w:tr>
            <w:tr w14:paraId="08B9D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3" w:hRule="atLeast"/>
                <w:jc w:val="center"/>
              </w:trPr>
              <w:tc>
                <w:tcPr>
                  <w:tcW w:w="552" w:type="pct"/>
                  <w:vMerge w:val="continue"/>
                  <w:vAlign w:val="center"/>
                </w:tcPr>
                <w:p w14:paraId="61299F12">
                  <w:pPr>
                    <w:widowControl/>
                    <w:jc w:val="center"/>
                    <w:rPr>
                      <w:color w:val="auto"/>
                      <w:szCs w:val="21"/>
                    </w:rPr>
                  </w:pPr>
                </w:p>
              </w:tc>
              <w:tc>
                <w:tcPr>
                  <w:tcW w:w="821" w:type="pct"/>
                  <w:vAlign w:val="center"/>
                </w:tcPr>
                <w:p w14:paraId="14C86C74">
                  <w:pPr>
                    <w:widowControl/>
                    <w:jc w:val="center"/>
                    <w:textAlignment w:val="center"/>
                    <w:rPr>
                      <w:color w:val="auto"/>
                      <w:szCs w:val="21"/>
                    </w:rPr>
                  </w:pPr>
                  <w:r>
                    <w:rPr>
                      <w:color w:val="auto"/>
                      <w:kern w:val="0"/>
                      <w:szCs w:val="21"/>
                    </w:rPr>
                    <w:t>BOD</w:t>
                  </w:r>
                  <w:r>
                    <w:rPr>
                      <w:rStyle w:val="42"/>
                      <w:rFonts w:ascii="Times New Roman" w:hAnsi="Times New Roman" w:eastAsia="Tahoma" w:cs="Times New Roman"/>
                      <w:color w:val="auto"/>
                      <w:sz w:val="21"/>
                      <w:szCs w:val="21"/>
                      <w:vertAlign w:val="subscript"/>
                    </w:rPr>
                    <w:t>5</w:t>
                  </w:r>
                </w:p>
              </w:tc>
              <w:tc>
                <w:tcPr>
                  <w:tcW w:w="641" w:type="pct"/>
                  <w:vMerge w:val="continue"/>
                  <w:vAlign w:val="center"/>
                </w:tcPr>
                <w:p w14:paraId="67F55BBB">
                  <w:pPr>
                    <w:widowControl/>
                    <w:jc w:val="center"/>
                    <w:rPr>
                      <w:color w:val="auto"/>
                      <w:szCs w:val="21"/>
                    </w:rPr>
                  </w:pPr>
                </w:p>
              </w:tc>
              <w:tc>
                <w:tcPr>
                  <w:tcW w:w="772" w:type="pct"/>
                  <w:vAlign w:val="center"/>
                </w:tcPr>
                <w:p w14:paraId="4ACCFA9C">
                  <w:pPr>
                    <w:jc w:val="center"/>
                    <w:rPr>
                      <w:rFonts w:eastAsia="等线"/>
                      <w:color w:val="auto"/>
                      <w:szCs w:val="21"/>
                    </w:rPr>
                  </w:pPr>
                  <w:r>
                    <w:rPr>
                      <w:rFonts w:eastAsia="等线"/>
                      <w:color w:val="auto"/>
                      <w:szCs w:val="21"/>
                    </w:rPr>
                    <w:t>200</w:t>
                  </w:r>
                </w:p>
              </w:tc>
              <w:tc>
                <w:tcPr>
                  <w:tcW w:w="738" w:type="pct"/>
                  <w:vAlign w:val="center"/>
                </w:tcPr>
                <w:p w14:paraId="34B71F2B">
                  <w:pPr>
                    <w:jc w:val="center"/>
                    <w:rPr>
                      <w:rFonts w:eastAsia="等线"/>
                      <w:color w:val="auto"/>
                      <w:szCs w:val="21"/>
                    </w:rPr>
                  </w:pPr>
                  <w:r>
                    <w:rPr>
                      <w:rFonts w:hint="eastAsia" w:eastAsia="等线"/>
                      <w:color w:val="auto"/>
                      <w:szCs w:val="21"/>
                    </w:rPr>
                    <w:t>0.022</w:t>
                  </w:r>
                </w:p>
              </w:tc>
              <w:tc>
                <w:tcPr>
                  <w:tcW w:w="506" w:type="pct"/>
                  <w:vMerge w:val="continue"/>
                  <w:vAlign w:val="center"/>
                </w:tcPr>
                <w:p w14:paraId="70338F0F">
                  <w:pPr>
                    <w:widowControl/>
                    <w:jc w:val="center"/>
                    <w:rPr>
                      <w:color w:val="auto"/>
                      <w:szCs w:val="21"/>
                    </w:rPr>
                  </w:pPr>
                </w:p>
              </w:tc>
              <w:tc>
                <w:tcPr>
                  <w:tcW w:w="968" w:type="pct"/>
                  <w:vMerge w:val="continue"/>
                  <w:vAlign w:val="center"/>
                </w:tcPr>
                <w:p w14:paraId="05041582">
                  <w:pPr>
                    <w:jc w:val="center"/>
                    <w:rPr>
                      <w:rFonts w:eastAsia="等线"/>
                      <w:color w:val="auto"/>
                      <w:szCs w:val="21"/>
                    </w:rPr>
                  </w:pPr>
                </w:p>
              </w:tc>
            </w:tr>
            <w:tr w14:paraId="08F42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3" w:hRule="atLeast"/>
                <w:jc w:val="center"/>
              </w:trPr>
              <w:tc>
                <w:tcPr>
                  <w:tcW w:w="552" w:type="pct"/>
                  <w:vMerge w:val="continue"/>
                  <w:vAlign w:val="center"/>
                </w:tcPr>
                <w:p w14:paraId="5C257544">
                  <w:pPr>
                    <w:widowControl/>
                    <w:jc w:val="center"/>
                    <w:rPr>
                      <w:color w:val="auto"/>
                      <w:szCs w:val="21"/>
                    </w:rPr>
                  </w:pPr>
                </w:p>
              </w:tc>
              <w:tc>
                <w:tcPr>
                  <w:tcW w:w="821" w:type="pct"/>
                  <w:vAlign w:val="center"/>
                </w:tcPr>
                <w:p w14:paraId="2410A5C5">
                  <w:pPr>
                    <w:widowControl/>
                    <w:jc w:val="center"/>
                    <w:textAlignment w:val="center"/>
                    <w:rPr>
                      <w:color w:val="auto"/>
                      <w:szCs w:val="21"/>
                    </w:rPr>
                  </w:pPr>
                  <w:r>
                    <w:rPr>
                      <w:color w:val="auto"/>
                      <w:kern w:val="0"/>
                      <w:szCs w:val="21"/>
                    </w:rPr>
                    <w:t>氨氮</w:t>
                  </w:r>
                </w:p>
              </w:tc>
              <w:tc>
                <w:tcPr>
                  <w:tcW w:w="641" w:type="pct"/>
                  <w:vMerge w:val="continue"/>
                  <w:vAlign w:val="center"/>
                </w:tcPr>
                <w:p w14:paraId="2DB437E8">
                  <w:pPr>
                    <w:widowControl/>
                    <w:jc w:val="center"/>
                    <w:rPr>
                      <w:color w:val="auto"/>
                      <w:szCs w:val="21"/>
                    </w:rPr>
                  </w:pPr>
                </w:p>
              </w:tc>
              <w:tc>
                <w:tcPr>
                  <w:tcW w:w="772" w:type="pct"/>
                  <w:vAlign w:val="center"/>
                </w:tcPr>
                <w:p w14:paraId="75D181BD">
                  <w:pPr>
                    <w:jc w:val="center"/>
                    <w:rPr>
                      <w:rFonts w:eastAsia="等线"/>
                      <w:color w:val="auto"/>
                      <w:szCs w:val="21"/>
                    </w:rPr>
                  </w:pPr>
                  <w:r>
                    <w:rPr>
                      <w:rFonts w:eastAsia="等线"/>
                      <w:color w:val="auto"/>
                      <w:szCs w:val="21"/>
                    </w:rPr>
                    <w:t>25</w:t>
                  </w:r>
                </w:p>
              </w:tc>
              <w:tc>
                <w:tcPr>
                  <w:tcW w:w="738" w:type="pct"/>
                  <w:vAlign w:val="center"/>
                </w:tcPr>
                <w:p w14:paraId="016B344A">
                  <w:pPr>
                    <w:jc w:val="center"/>
                    <w:rPr>
                      <w:rFonts w:eastAsia="等线"/>
                      <w:color w:val="auto"/>
                      <w:szCs w:val="21"/>
                    </w:rPr>
                  </w:pPr>
                  <w:r>
                    <w:rPr>
                      <w:rFonts w:hint="eastAsia" w:eastAsia="等线"/>
                      <w:color w:val="auto"/>
                      <w:szCs w:val="21"/>
                    </w:rPr>
                    <w:t>0.002</w:t>
                  </w:r>
                </w:p>
              </w:tc>
              <w:tc>
                <w:tcPr>
                  <w:tcW w:w="506" w:type="pct"/>
                  <w:vMerge w:val="continue"/>
                  <w:vAlign w:val="center"/>
                </w:tcPr>
                <w:p w14:paraId="08C19B7B">
                  <w:pPr>
                    <w:widowControl/>
                    <w:jc w:val="center"/>
                    <w:rPr>
                      <w:color w:val="auto"/>
                      <w:szCs w:val="21"/>
                    </w:rPr>
                  </w:pPr>
                </w:p>
              </w:tc>
              <w:tc>
                <w:tcPr>
                  <w:tcW w:w="968" w:type="pct"/>
                  <w:vMerge w:val="continue"/>
                  <w:vAlign w:val="center"/>
                </w:tcPr>
                <w:p w14:paraId="067671B0">
                  <w:pPr>
                    <w:jc w:val="center"/>
                    <w:rPr>
                      <w:rFonts w:eastAsia="等线"/>
                      <w:color w:val="auto"/>
                      <w:szCs w:val="21"/>
                    </w:rPr>
                  </w:pPr>
                </w:p>
              </w:tc>
            </w:tr>
            <w:tr w14:paraId="190CE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3" w:hRule="atLeast"/>
                <w:jc w:val="center"/>
              </w:trPr>
              <w:tc>
                <w:tcPr>
                  <w:tcW w:w="552" w:type="pct"/>
                  <w:vMerge w:val="continue"/>
                  <w:vAlign w:val="center"/>
                </w:tcPr>
                <w:p w14:paraId="1A9BCC73">
                  <w:pPr>
                    <w:widowControl/>
                    <w:jc w:val="center"/>
                    <w:rPr>
                      <w:color w:val="auto"/>
                      <w:szCs w:val="21"/>
                    </w:rPr>
                  </w:pPr>
                </w:p>
              </w:tc>
              <w:tc>
                <w:tcPr>
                  <w:tcW w:w="821" w:type="pct"/>
                  <w:vAlign w:val="center"/>
                </w:tcPr>
                <w:p w14:paraId="65FF2909">
                  <w:pPr>
                    <w:widowControl/>
                    <w:jc w:val="center"/>
                    <w:textAlignment w:val="center"/>
                    <w:rPr>
                      <w:color w:val="auto"/>
                      <w:szCs w:val="21"/>
                    </w:rPr>
                  </w:pPr>
                  <w:r>
                    <w:rPr>
                      <w:color w:val="auto"/>
                      <w:kern w:val="0"/>
                      <w:szCs w:val="21"/>
                    </w:rPr>
                    <w:t>SS</w:t>
                  </w:r>
                </w:p>
              </w:tc>
              <w:tc>
                <w:tcPr>
                  <w:tcW w:w="641" w:type="pct"/>
                  <w:vMerge w:val="continue"/>
                  <w:vAlign w:val="center"/>
                </w:tcPr>
                <w:p w14:paraId="08D62AE2">
                  <w:pPr>
                    <w:widowControl/>
                    <w:jc w:val="center"/>
                    <w:rPr>
                      <w:color w:val="auto"/>
                      <w:szCs w:val="21"/>
                    </w:rPr>
                  </w:pPr>
                </w:p>
              </w:tc>
              <w:tc>
                <w:tcPr>
                  <w:tcW w:w="772" w:type="pct"/>
                  <w:vAlign w:val="center"/>
                </w:tcPr>
                <w:p w14:paraId="1B37CB6A">
                  <w:pPr>
                    <w:jc w:val="center"/>
                    <w:rPr>
                      <w:rFonts w:eastAsia="等线"/>
                      <w:color w:val="auto"/>
                      <w:szCs w:val="21"/>
                    </w:rPr>
                  </w:pPr>
                  <w:r>
                    <w:rPr>
                      <w:rFonts w:eastAsia="等线"/>
                      <w:color w:val="auto"/>
                      <w:szCs w:val="21"/>
                    </w:rPr>
                    <w:t>250</w:t>
                  </w:r>
                </w:p>
              </w:tc>
              <w:tc>
                <w:tcPr>
                  <w:tcW w:w="738" w:type="pct"/>
                  <w:vAlign w:val="center"/>
                </w:tcPr>
                <w:p w14:paraId="46835489">
                  <w:pPr>
                    <w:jc w:val="center"/>
                    <w:rPr>
                      <w:rFonts w:eastAsia="等线"/>
                      <w:color w:val="auto"/>
                      <w:szCs w:val="21"/>
                    </w:rPr>
                  </w:pPr>
                  <w:r>
                    <w:rPr>
                      <w:rFonts w:hint="eastAsia" w:eastAsia="等线"/>
                      <w:color w:val="auto"/>
                      <w:szCs w:val="21"/>
                    </w:rPr>
                    <w:t>0.028</w:t>
                  </w:r>
                </w:p>
              </w:tc>
              <w:tc>
                <w:tcPr>
                  <w:tcW w:w="506" w:type="pct"/>
                  <w:vMerge w:val="continue"/>
                  <w:vAlign w:val="center"/>
                </w:tcPr>
                <w:p w14:paraId="374ED9FF">
                  <w:pPr>
                    <w:widowControl/>
                    <w:jc w:val="center"/>
                    <w:rPr>
                      <w:color w:val="auto"/>
                      <w:szCs w:val="21"/>
                    </w:rPr>
                  </w:pPr>
                </w:p>
              </w:tc>
              <w:tc>
                <w:tcPr>
                  <w:tcW w:w="968" w:type="pct"/>
                  <w:vMerge w:val="continue"/>
                  <w:vAlign w:val="center"/>
                </w:tcPr>
                <w:p w14:paraId="670DD763">
                  <w:pPr>
                    <w:jc w:val="center"/>
                    <w:rPr>
                      <w:rFonts w:eastAsia="等线"/>
                      <w:color w:val="auto"/>
                      <w:szCs w:val="21"/>
                    </w:rPr>
                  </w:pPr>
                </w:p>
              </w:tc>
            </w:tr>
          </w:tbl>
          <w:p w14:paraId="1E790838">
            <w:pPr>
              <w:spacing w:line="360" w:lineRule="auto"/>
              <w:rPr>
                <w:b/>
                <w:bCs/>
                <w:color w:val="auto"/>
                <w:sz w:val="24"/>
              </w:rPr>
            </w:pPr>
            <w:r>
              <w:rPr>
                <w:rFonts w:hint="eastAsia"/>
                <w:b/>
                <w:bCs/>
                <w:color w:val="auto"/>
                <w:sz w:val="24"/>
              </w:rPr>
              <w:t>2.3厂区废水处理设施可行性分析</w:t>
            </w:r>
          </w:p>
          <w:p w14:paraId="243D20DD">
            <w:pPr>
              <w:pStyle w:val="10"/>
              <w:spacing w:after="0" w:line="360" w:lineRule="auto"/>
              <w:ind w:left="0" w:leftChars="0" w:firstLine="480" w:firstLineChars="200"/>
              <w:rPr>
                <w:bCs/>
                <w:snapToGrid w:val="0"/>
                <w:color w:val="auto"/>
                <w:szCs w:val="21"/>
              </w:rPr>
            </w:pPr>
            <w:r>
              <w:rPr>
                <w:rFonts w:hint="eastAsia"/>
                <w:bCs/>
                <w:snapToGrid w:val="0"/>
                <w:color w:val="auto"/>
                <w:szCs w:val="21"/>
              </w:rPr>
              <w:t>本项目废水主要为员工生活污水，</w:t>
            </w:r>
            <w:r>
              <w:rPr>
                <w:color w:val="auto"/>
              </w:rPr>
              <w:t>生活污水产生量较少，经过厂区化粪池处理后</w:t>
            </w:r>
            <w:r>
              <w:rPr>
                <w:rFonts w:hint="eastAsia"/>
                <w:color w:val="auto"/>
              </w:rPr>
              <w:t>定期清掏用于农田施肥，不外排</w:t>
            </w:r>
            <w:r>
              <w:rPr>
                <w:color w:val="auto"/>
              </w:rPr>
              <w:t>。</w:t>
            </w:r>
            <w:r>
              <w:rPr>
                <w:rFonts w:hint="eastAsia"/>
                <w:bCs/>
                <w:snapToGrid w:val="0"/>
                <w:color w:val="auto"/>
                <w:szCs w:val="21"/>
              </w:rPr>
              <w:t>项目废水处理设施可行。</w:t>
            </w:r>
          </w:p>
          <w:p w14:paraId="582293ED">
            <w:pPr>
              <w:pStyle w:val="43"/>
              <w:ind w:firstLine="0" w:firstLineChars="0"/>
              <w:rPr>
                <w:b/>
                <w:color w:val="auto"/>
                <w:sz w:val="24"/>
                <w:szCs w:val="24"/>
              </w:rPr>
            </w:pPr>
            <w:r>
              <w:rPr>
                <w:rFonts w:hint="eastAsia"/>
                <w:b/>
                <w:color w:val="auto"/>
                <w:sz w:val="24"/>
                <w:szCs w:val="24"/>
              </w:rPr>
              <w:t>2.4水环境影响分析</w:t>
            </w:r>
          </w:p>
          <w:p w14:paraId="4191DC8A">
            <w:pPr>
              <w:pStyle w:val="43"/>
              <w:ind w:firstLine="480"/>
              <w:jc w:val="both"/>
              <w:rPr>
                <w:color w:val="auto"/>
                <w:sz w:val="24"/>
                <w:szCs w:val="24"/>
              </w:rPr>
            </w:pPr>
            <w:r>
              <w:rPr>
                <w:rFonts w:hint="eastAsia"/>
                <w:color w:val="auto"/>
                <w:sz w:val="24"/>
                <w:szCs w:val="24"/>
              </w:rPr>
              <w:t>项目采取雨污分流制，雨水经厂区雨水管道收集后接入区域雨水管网。</w:t>
            </w:r>
            <w:r>
              <w:rPr>
                <w:color w:val="auto"/>
                <w:sz w:val="24"/>
                <w:szCs w:val="24"/>
              </w:rPr>
              <w:t>生活污水经厂区化粪池处理后</w:t>
            </w:r>
            <w:r>
              <w:rPr>
                <w:rFonts w:hint="eastAsia"/>
                <w:color w:val="auto"/>
                <w:sz w:val="24"/>
                <w:szCs w:val="24"/>
              </w:rPr>
              <w:t>定期清掏用于农田施肥，不外排</w:t>
            </w:r>
            <w:r>
              <w:rPr>
                <w:color w:val="auto"/>
                <w:sz w:val="24"/>
                <w:szCs w:val="24"/>
              </w:rPr>
              <w:t>。</w:t>
            </w:r>
          </w:p>
          <w:p w14:paraId="13C67420">
            <w:pPr>
              <w:pStyle w:val="43"/>
              <w:ind w:firstLine="480"/>
              <w:jc w:val="both"/>
              <w:rPr>
                <w:color w:val="auto"/>
                <w:sz w:val="24"/>
                <w:szCs w:val="24"/>
              </w:rPr>
            </w:pPr>
            <w:r>
              <w:rPr>
                <w:color w:val="auto"/>
                <w:sz w:val="24"/>
                <w:szCs w:val="24"/>
              </w:rPr>
              <w:t>因此，本项目建成后污水对周边环境影响较小。</w:t>
            </w:r>
          </w:p>
          <w:p w14:paraId="3F61A8DF">
            <w:pPr>
              <w:pStyle w:val="44"/>
              <w:spacing w:before="0" w:line="360" w:lineRule="auto"/>
              <w:ind w:firstLine="0"/>
              <w:rPr>
                <w:rFonts w:ascii="Times New Roman" w:hAnsi="Times New Roman"/>
                <w:b/>
                <w:bCs/>
                <w:color w:val="auto"/>
                <w:kern w:val="2"/>
                <w:sz w:val="24"/>
              </w:rPr>
            </w:pPr>
            <w:r>
              <w:rPr>
                <w:rFonts w:ascii="Times New Roman" w:hAnsi="Times New Roman"/>
                <w:b/>
                <w:bCs/>
                <w:color w:val="auto"/>
                <w:kern w:val="2"/>
                <w:sz w:val="24"/>
              </w:rPr>
              <w:t>三、噪声污染</w:t>
            </w:r>
          </w:p>
          <w:p w14:paraId="20984429">
            <w:pPr>
              <w:spacing w:line="360" w:lineRule="auto"/>
              <w:ind w:firstLine="480" w:firstLineChars="200"/>
              <w:rPr>
                <w:b/>
                <w:bCs/>
                <w:color w:val="auto"/>
                <w:sz w:val="24"/>
              </w:rPr>
            </w:pPr>
            <w:r>
              <w:rPr>
                <w:color w:val="auto"/>
                <w:sz w:val="24"/>
              </w:rPr>
              <w:t>本次噪声评价范围以厂区西南角为坐标原点（0，0，0），建立三维坐标系。</w:t>
            </w:r>
          </w:p>
          <w:p w14:paraId="0C7BA7DF">
            <w:pPr>
              <w:pStyle w:val="44"/>
              <w:spacing w:before="0" w:line="360" w:lineRule="auto"/>
              <w:ind w:firstLine="0"/>
              <w:rPr>
                <w:rFonts w:ascii="Times New Roman" w:hAnsi="Times New Roman"/>
                <w:b/>
                <w:bCs/>
                <w:color w:val="auto"/>
                <w:kern w:val="2"/>
                <w:sz w:val="24"/>
              </w:rPr>
            </w:pPr>
            <w:r>
              <w:rPr>
                <w:rFonts w:ascii="Times New Roman" w:hAnsi="Times New Roman"/>
                <w:b/>
                <w:bCs/>
                <w:color w:val="auto"/>
                <w:kern w:val="2"/>
                <w:sz w:val="24"/>
              </w:rPr>
              <w:t>1、噪声源强</w:t>
            </w:r>
          </w:p>
          <w:p w14:paraId="1F5DF9F8">
            <w:pPr>
              <w:spacing w:line="360" w:lineRule="auto"/>
              <w:ind w:left="105" w:leftChars="50" w:right="105" w:rightChars="50" w:firstLine="480" w:firstLineChars="200"/>
              <w:rPr>
                <w:color w:val="auto"/>
                <w:sz w:val="24"/>
              </w:rPr>
            </w:pPr>
            <w:r>
              <w:rPr>
                <w:color w:val="auto"/>
                <w:sz w:val="24"/>
              </w:rPr>
              <w:t>本项目主要噪声源为设备运行时产生的设备噪声，工程主要噪声源情况见下表：</w:t>
            </w:r>
          </w:p>
          <w:p w14:paraId="25EF0672">
            <w:pPr>
              <w:pStyle w:val="4"/>
              <w:rPr>
                <w:color w:val="auto"/>
              </w:rPr>
            </w:pPr>
          </w:p>
          <w:p w14:paraId="064AB457">
            <w:pPr>
              <w:pStyle w:val="4"/>
              <w:rPr>
                <w:color w:val="auto"/>
              </w:rPr>
            </w:pPr>
          </w:p>
          <w:p w14:paraId="7AF52BDE">
            <w:pPr>
              <w:pStyle w:val="4"/>
              <w:rPr>
                <w:color w:val="auto"/>
              </w:rPr>
            </w:pPr>
          </w:p>
          <w:p w14:paraId="2AA0E1AE">
            <w:pPr>
              <w:pStyle w:val="4"/>
              <w:ind w:left="0" w:firstLine="0"/>
              <w:rPr>
                <w:color w:val="auto"/>
              </w:rPr>
            </w:pPr>
          </w:p>
        </w:tc>
      </w:tr>
    </w:tbl>
    <w:p w14:paraId="5A1125F3">
      <w:pPr>
        <w:pStyle w:val="4"/>
        <w:rPr>
          <w:color w:val="000000"/>
        </w:rPr>
        <w:sectPr>
          <w:pgSz w:w="11907" w:h="16840"/>
          <w:pgMar w:top="1701" w:right="1531" w:bottom="2127" w:left="1531" w:header="851" w:footer="851" w:gutter="0"/>
          <w:cols w:space="720" w:num="1"/>
          <w:docGrid w:linePitch="312" w:charSpace="0"/>
        </w:sectPr>
      </w:pPr>
    </w:p>
    <w:tbl>
      <w:tblPr>
        <w:tblStyle w:val="2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8"/>
        <w:gridCol w:w="13583"/>
      </w:tblGrid>
      <w:tr w14:paraId="2479C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0" w:hRule="atLeast"/>
          <w:jc w:val="center"/>
        </w:trPr>
        <w:tc>
          <w:tcPr>
            <w:tcW w:w="146" w:type="pct"/>
          </w:tcPr>
          <w:p w14:paraId="5EE9BCE8">
            <w:pPr>
              <w:rPr>
                <w:color w:val="000000"/>
              </w:rPr>
            </w:pPr>
          </w:p>
        </w:tc>
        <w:tc>
          <w:tcPr>
            <w:tcW w:w="4853" w:type="pct"/>
          </w:tcPr>
          <w:p w14:paraId="6A07EC0E">
            <w:pPr>
              <w:jc w:val="center"/>
              <w:rPr>
                <w:b/>
                <w:bCs/>
                <w:color w:val="000000"/>
                <w:sz w:val="24"/>
              </w:rPr>
            </w:pPr>
            <w:r>
              <w:rPr>
                <w:b/>
                <w:bCs/>
                <w:color w:val="000000"/>
                <w:sz w:val="24"/>
              </w:rPr>
              <w:t>表</w:t>
            </w:r>
            <w:r>
              <w:rPr>
                <w:rFonts w:hint="eastAsia"/>
                <w:b/>
                <w:bCs/>
                <w:color w:val="000000"/>
                <w:sz w:val="24"/>
              </w:rPr>
              <w:t>4-</w:t>
            </w:r>
            <w:r>
              <w:rPr>
                <w:rFonts w:hint="eastAsia"/>
                <w:b/>
                <w:bCs/>
                <w:color w:val="000000"/>
                <w:sz w:val="24"/>
                <w:lang w:val="en-US" w:eastAsia="zh-CN"/>
              </w:rPr>
              <w:t>8</w:t>
            </w:r>
            <w:r>
              <w:rPr>
                <w:b/>
                <w:bCs/>
                <w:color w:val="000000"/>
                <w:sz w:val="24"/>
              </w:rPr>
              <w:t xml:space="preserve"> </w:t>
            </w:r>
            <w:r>
              <w:rPr>
                <w:rFonts w:hint="eastAsia"/>
                <w:b/>
                <w:bCs/>
                <w:color w:val="000000"/>
                <w:sz w:val="24"/>
              </w:rPr>
              <w:t xml:space="preserve"> 本项目</w:t>
            </w:r>
            <w:r>
              <w:rPr>
                <w:b/>
                <w:bCs/>
                <w:color w:val="000000"/>
                <w:sz w:val="24"/>
              </w:rPr>
              <w:t>主要产噪设备及其源强（室外声源）   单位：dB（A）</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2"/>
              <w:gridCol w:w="3866"/>
              <w:gridCol w:w="1274"/>
              <w:gridCol w:w="1357"/>
              <w:gridCol w:w="1330"/>
              <w:gridCol w:w="2265"/>
              <w:gridCol w:w="1581"/>
              <w:gridCol w:w="1067"/>
            </w:tblGrid>
            <w:tr w14:paraId="16210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229" w:type="pct"/>
                  <w:vMerge w:val="restart"/>
                  <w:vAlign w:val="center"/>
                </w:tcPr>
                <w:p w14:paraId="4CF7CA46">
                  <w:pPr>
                    <w:jc w:val="center"/>
                    <w:rPr>
                      <w:color w:val="000000"/>
                      <w:szCs w:val="21"/>
                    </w:rPr>
                  </w:pPr>
                  <w:r>
                    <w:rPr>
                      <w:color w:val="000000"/>
                      <w:szCs w:val="21"/>
                    </w:rPr>
                    <w:t>序号</w:t>
                  </w:r>
                </w:p>
              </w:tc>
              <w:tc>
                <w:tcPr>
                  <w:tcW w:w="1447" w:type="pct"/>
                  <w:vMerge w:val="restart"/>
                  <w:vAlign w:val="center"/>
                </w:tcPr>
                <w:p w14:paraId="5917BC90">
                  <w:pPr>
                    <w:jc w:val="center"/>
                    <w:rPr>
                      <w:color w:val="000000"/>
                      <w:szCs w:val="21"/>
                    </w:rPr>
                  </w:pPr>
                  <w:r>
                    <w:rPr>
                      <w:color w:val="000000"/>
                      <w:szCs w:val="21"/>
                    </w:rPr>
                    <w:t>声源名称</w:t>
                  </w:r>
                </w:p>
              </w:tc>
              <w:tc>
                <w:tcPr>
                  <w:tcW w:w="1483" w:type="pct"/>
                  <w:gridSpan w:val="3"/>
                  <w:vAlign w:val="center"/>
                </w:tcPr>
                <w:p w14:paraId="7EA9D80B">
                  <w:pPr>
                    <w:jc w:val="center"/>
                    <w:rPr>
                      <w:color w:val="000000"/>
                      <w:szCs w:val="21"/>
                    </w:rPr>
                  </w:pPr>
                  <w:r>
                    <w:rPr>
                      <w:color w:val="000000"/>
                      <w:szCs w:val="21"/>
                    </w:rPr>
                    <w:t>空间相对距离</w:t>
                  </w:r>
                </w:p>
              </w:tc>
              <w:tc>
                <w:tcPr>
                  <w:tcW w:w="848" w:type="pct"/>
                  <w:vMerge w:val="restart"/>
                  <w:vAlign w:val="center"/>
                </w:tcPr>
                <w:p w14:paraId="54D2283D">
                  <w:pPr>
                    <w:jc w:val="center"/>
                    <w:rPr>
                      <w:color w:val="000000"/>
                      <w:szCs w:val="21"/>
                    </w:rPr>
                  </w:pPr>
                  <w:r>
                    <w:rPr>
                      <w:color w:val="000000"/>
                      <w:szCs w:val="21"/>
                    </w:rPr>
                    <w:t>声功率级dB（A/）</w:t>
                  </w:r>
                </w:p>
              </w:tc>
              <w:tc>
                <w:tcPr>
                  <w:tcW w:w="592" w:type="pct"/>
                  <w:vMerge w:val="restart"/>
                  <w:vAlign w:val="center"/>
                </w:tcPr>
                <w:p w14:paraId="1D5E8AF2">
                  <w:pPr>
                    <w:jc w:val="center"/>
                    <w:rPr>
                      <w:color w:val="000000"/>
                      <w:szCs w:val="21"/>
                    </w:rPr>
                  </w:pPr>
                  <w:r>
                    <w:rPr>
                      <w:color w:val="000000"/>
                      <w:szCs w:val="21"/>
                    </w:rPr>
                    <w:t>声源控制措施</w:t>
                  </w:r>
                </w:p>
              </w:tc>
              <w:tc>
                <w:tcPr>
                  <w:tcW w:w="399" w:type="pct"/>
                  <w:vMerge w:val="restart"/>
                  <w:vAlign w:val="center"/>
                </w:tcPr>
                <w:p w14:paraId="4F053723">
                  <w:pPr>
                    <w:jc w:val="center"/>
                    <w:rPr>
                      <w:color w:val="000000"/>
                      <w:szCs w:val="21"/>
                    </w:rPr>
                  </w:pPr>
                  <w:r>
                    <w:rPr>
                      <w:color w:val="000000"/>
                      <w:szCs w:val="21"/>
                    </w:rPr>
                    <w:t>运行时段</w:t>
                  </w:r>
                </w:p>
              </w:tc>
            </w:tr>
            <w:tr w14:paraId="76D5A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229" w:type="pct"/>
                  <w:vMerge w:val="continue"/>
                  <w:vAlign w:val="center"/>
                </w:tcPr>
                <w:p w14:paraId="0D6286FC">
                  <w:pPr>
                    <w:jc w:val="center"/>
                    <w:rPr>
                      <w:color w:val="000000"/>
                      <w:szCs w:val="21"/>
                    </w:rPr>
                  </w:pPr>
                </w:p>
              </w:tc>
              <w:tc>
                <w:tcPr>
                  <w:tcW w:w="1447" w:type="pct"/>
                  <w:vMerge w:val="continue"/>
                  <w:vAlign w:val="center"/>
                </w:tcPr>
                <w:p w14:paraId="17E13B0E">
                  <w:pPr>
                    <w:jc w:val="center"/>
                    <w:rPr>
                      <w:color w:val="000000"/>
                      <w:szCs w:val="21"/>
                    </w:rPr>
                  </w:pPr>
                </w:p>
              </w:tc>
              <w:tc>
                <w:tcPr>
                  <w:tcW w:w="477" w:type="pct"/>
                  <w:vAlign w:val="center"/>
                </w:tcPr>
                <w:p w14:paraId="36A342D5">
                  <w:pPr>
                    <w:jc w:val="center"/>
                    <w:rPr>
                      <w:color w:val="000000"/>
                      <w:szCs w:val="21"/>
                    </w:rPr>
                  </w:pPr>
                  <w:r>
                    <w:rPr>
                      <w:color w:val="000000"/>
                      <w:szCs w:val="21"/>
                    </w:rPr>
                    <w:t>X</w:t>
                  </w:r>
                </w:p>
              </w:tc>
              <w:tc>
                <w:tcPr>
                  <w:tcW w:w="508" w:type="pct"/>
                  <w:vAlign w:val="center"/>
                </w:tcPr>
                <w:p w14:paraId="3047A871">
                  <w:pPr>
                    <w:jc w:val="center"/>
                    <w:rPr>
                      <w:color w:val="000000"/>
                      <w:szCs w:val="21"/>
                    </w:rPr>
                  </w:pPr>
                  <w:r>
                    <w:rPr>
                      <w:color w:val="000000"/>
                      <w:szCs w:val="21"/>
                    </w:rPr>
                    <w:t>Y</w:t>
                  </w:r>
                </w:p>
              </w:tc>
              <w:tc>
                <w:tcPr>
                  <w:tcW w:w="497" w:type="pct"/>
                  <w:vAlign w:val="center"/>
                </w:tcPr>
                <w:p w14:paraId="4815C055">
                  <w:pPr>
                    <w:jc w:val="center"/>
                    <w:rPr>
                      <w:color w:val="000000"/>
                      <w:szCs w:val="21"/>
                    </w:rPr>
                  </w:pPr>
                  <w:r>
                    <w:rPr>
                      <w:color w:val="000000"/>
                      <w:szCs w:val="21"/>
                    </w:rPr>
                    <w:t>Z</w:t>
                  </w:r>
                </w:p>
              </w:tc>
              <w:tc>
                <w:tcPr>
                  <w:tcW w:w="848" w:type="pct"/>
                  <w:vMerge w:val="continue"/>
                  <w:vAlign w:val="center"/>
                </w:tcPr>
                <w:p w14:paraId="05804916">
                  <w:pPr>
                    <w:jc w:val="center"/>
                    <w:rPr>
                      <w:color w:val="000000"/>
                      <w:szCs w:val="21"/>
                    </w:rPr>
                  </w:pPr>
                </w:p>
              </w:tc>
              <w:tc>
                <w:tcPr>
                  <w:tcW w:w="592" w:type="pct"/>
                  <w:vMerge w:val="continue"/>
                  <w:vAlign w:val="center"/>
                </w:tcPr>
                <w:p w14:paraId="25807A0E">
                  <w:pPr>
                    <w:jc w:val="center"/>
                    <w:rPr>
                      <w:color w:val="000000"/>
                      <w:szCs w:val="21"/>
                    </w:rPr>
                  </w:pPr>
                </w:p>
              </w:tc>
              <w:tc>
                <w:tcPr>
                  <w:tcW w:w="399" w:type="pct"/>
                  <w:vMerge w:val="continue"/>
                  <w:vAlign w:val="center"/>
                </w:tcPr>
                <w:p w14:paraId="4CD7333E">
                  <w:pPr>
                    <w:jc w:val="center"/>
                    <w:rPr>
                      <w:color w:val="000000"/>
                      <w:szCs w:val="21"/>
                    </w:rPr>
                  </w:pPr>
                </w:p>
              </w:tc>
            </w:tr>
            <w:tr w14:paraId="31E1E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229" w:type="pct"/>
                  <w:vAlign w:val="center"/>
                </w:tcPr>
                <w:p w14:paraId="7DA605C2">
                  <w:pPr>
                    <w:jc w:val="center"/>
                    <w:rPr>
                      <w:color w:val="000000"/>
                      <w:szCs w:val="21"/>
                    </w:rPr>
                  </w:pPr>
                  <w:r>
                    <w:rPr>
                      <w:color w:val="000000"/>
                      <w:szCs w:val="21"/>
                    </w:rPr>
                    <w:t>1</w:t>
                  </w:r>
                </w:p>
              </w:tc>
              <w:tc>
                <w:tcPr>
                  <w:tcW w:w="1447" w:type="pct"/>
                  <w:vAlign w:val="center"/>
                </w:tcPr>
                <w:p w14:paraId="6537CC73">
                  <w:pPr>
                    <w:jc w:val="center"/>
                    <w:rPr>
                      <w:color w:val="000000"/>
                      <w:szCs w:val="21"/>
                    </w:rPr>
                  </w:pPr>
                  <w:r>
                    <w:rPr>
                      <w:rFonts w:eastAsia="Arial"/>
                      <w:szCs w:val="21"/>
                    </w:rPr>
                    <w:t>DA001风机</w:t>
                  </w:r>
                </w:p>
              </w:tc>
              <w:tc>
                <w:tcPr>
                  <w:tcW w:w="477" w:type="pct"/>
                  <w:vAlign w:val="center"/>
                </w:tcPr>
                <w:p w14:paraId="28AB440D">
                  <w:pPr>
                    <w:jc w:val="center"/>
                    <w:rPr>
                      <w:color w:val="000000"/>
                      <w:szCs w:val="21"/>
                    </w:rPr>
                  </w:pPr>
                  <w:r>
                    <w:rPr>
                      <w:rFonts w:eastAsia="Arial"/>
                      <w:szCs w:val="21"/>
                    </w:rPr>
                    <w:t>109.9</w:t>
                  </w:r>
                </w:p>
              </w:tc>
              <w:tc>
                <w:tcPr>
                  <w:tcW w:w="508" w:type="pct"/>
                  <w:vAlign w:val="center"/>
                </w:tcPr>
                <w:p w14:paraId="4D5E6C41">
                  <w:pPr>
                    <w:jc w:val="center"/>
                    <w:rPr>
                      <w:color w:val="000000"/>
                      <w:szCs w:val="21"/>
                    </w:rPr>
                  </w:pPr>
                  <w:r>
                    <w:rPr>
                      <w:rFonts w:eastAsia="Arial"/>
                      <w:szCs w:val="21"/>
                    </w:rPr>
                    <w:t>-26.8</w:t>
                  </w:r>
                </w:p>
              </w:tc>
              <w:tc>
                <w:tcPr>
                  <w:tcW w:w="497" w:type="pct"/>
                  <w:vAlign w:val="center"/>
                </w:tcPr>
                <w:p w14:paraId="3A6BE908">
                  <w:pPr>
                    <w:jc w:val="center"/>
                    <w:rPr>
                      <w:color w:val="000000"/>
                      <w:szCs w:val="21"/>
                    </w:rPr>
                  </w:pPr>
                  <w:r>
                    <w:rPr>
                      <w:rFonts w:eastAsia="Arial"/>
                      <w:szCs w:val="21"/>
                    </w:rPr>
                    <w:t>1.2</w:t>
                  </w:r>
                </w:p>
              </w:tc>
              <w:tc>
                <w:tcPr>
                  <w:tcW w:w="848" w:type="pct"/>
                  <w:vAlign w:val="center"/>
                </w:tcPr>
                <w:p w14:paraId="58D7B591">
                  <w:pPr>
                    <w:jc w:val="center"/>
                    <w:rPr>
                      <w:color w:val="000000"/>
                      <w:szCs w:val="21"/>
                    </w:rPr>
                  </w:pPr>
                  <w:r>
                    <w:rPr>
                      <w:color w:val="000000"/>
                      <w:szCs w:val="21"/>
                    </w:rPr>
                    <w:t>85</w:t>
                  </w:r>
                </w:p>
              </w:tc>
              <w:tc>
                <w:tcPr>
                  <w:tcW w:w="592" w:type="pct"/>
                  <w:vAlign w:val="center"/>
                </w:tcPr>
                <w:p w14:paraId="665D5776">
                  <w:pPr>
                    <w:jc w:val="center"/>
                    <w:rPr>
                      <w:color w:val="000000"/>
                      <w:szCs w:val="21"/>
                    </w:rPr>
                  </w:pPr>
                  <w:r>
                    <w:rPr>
                      <w:color w:val="000000"/>
                      <w:szCs w:val="21"/>
                    </w:rPr>
                    <w:t>基础减振</w:t>
                  </w:r>
                </w:p>
              </w:tc>
              <w:tc>
                <w:tcPr>
                  <w:tcW w:w="399" w:type="pct"/>
                  <w:vMerge w:val="restart"/>
                  <w:vAlign w:val="center"/>
                </w:tcPr>
                <w:p w14:paraId="25F13744">
                  <w:pPr>
                    <w:jc w:val="center"/>
                    <w:rPr>
                      <w:color w:val="000000"/>
                      <w:szCs w:val="21"/>
                    </w:rPr>
                  </w:pPr>
                  <w:r>
                    <w:rPr>
                      <w:color w:val="000000"/>
                      <w:szCs w:val="21"/>
                    </w:rPr>
                    <w:t>昼间</w:t>
                  </w:r>
                </w:p>
              </w:tc>
            </w:tr>
            <w:tr w14:paraId="5F417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229" w:type="pct"/>
                  <w:vAlign w:val="center"/>
                </w:tcPr>
                <w:p w14:paraId="425B2C73">
                  <w:pPr>
                    <w:jc w:val="center"/>
                    <w:rPr>
                      <w:color w:val="000000"/>
                      <w:szCs w:val="21"/>
                    </w:rPr>
                  </w:pPr>
                </w:p>
              </w:tc>
              <w:tc>
                <w:tcPr>
                  <w:tcW w:w="1447" w:type="pct"/>
                  <w:vAlign w:val="center"/>
                </w:tcPr>
                <w:p w14:paraId="3EC51B0F">
                  <w:pPr>
                    <w:jc w:val="center"/>
                    <w:rPr>
                      <w:color w:val="000000"/>
                      <w:szCs w:val="21"/>
                    </w:rPr>
                  </w:pPr>
                  <w:r>
                    <w:rPr>
                      <w:rFonts w:eastAsia="Arial"/>
                      <w:szCs w:val="21"/>
                    </w:rPr>
                    <w:t>DA002风机</w:t>
                  </w:r>
                </w:p>
              </w:tc>
              <w:tc>
                <w:tcPr>
                  <w:tcW w:w="477" w:type="pct"/>
                  <w:vAlign w:val="center"/>
                </w:tcPr>
                <w:p w14:paraId="2AABDBC7">
                  <w:pPr>
                    <w:jc w:val="center"/>
                    <w:rPr>
                      <w:color w:val="000000"/>
                      <w:szCs w:val="21"/>
                    </w:rPr>
                  </w:pPr>
                  <w:r>
                    <w:rPr>
                      <w:rFonts w:eastAsia="Arial"/>
                      <w:szCs w:val="21"/>
                    </w:rPr>
                    <w:t>-18</w:t>
                  </w:r>
                </w:p>
              </w:tc>
              <w:tc>
                <w:tcPr>
                  <w:tcW w:w="508" w:type="pct"/>
                  <w:vAlign w:val="center"/>
                </w:tcPr>
                <w:p w14:paraId="1E1B2628">
                  <w:pPr>
                    <w:jc w:val="center"/>
                    <w:rPr>
                      <w:color w:val="000000"/>
                      <w:szCs w:val="21"/>
                    </w:rPr>
                  </w:pPr>
                  <w:r>
                    <w:rPr>
                      <w:rFonts w:eastAsia="Arial"/>
                      <w:szCs w:val="21"/>
                    </w:rPr>
                    <w:t>-29.6</w:t>
                  </w:r>
                </w:p>
              </w:tc>
              <w:tc>
                <w:tcPr>
                  <w:tcW w:w="497" w:type="pct"/>
                  <w:vAlign w:val="center"/>
                </w:tcPr>
                <w:p w14:paraId="12937D3D">
                  <w:pPr>
                    <w:jc w:val="center"/>
                    <w:rPr>
                      <w:color w:val="000000"/>
                      <w:szCs w:val="21"/>
                    </w:rPr>
                  </w:pPr>
                  <w:r>
                    <w:rPr>
                      <w:rFonts w:eastAsia="Arial"/>
                      <w:szCs w:val="21"/>
                    </w:rPr>
                    <w:t>1.2</w:t>
                  </w:r>
                </w:p>
              </w:tc>
              <w:tc>
                <w:tcPr>
                  <w:tcW w:w="848" w:type="pct"/>
                  <w:vAlign w:val="center"/>
                </w:tcPr>
                <w:p w14:paraId="3F38432F">
                  <w:pPr>
                    <w:jc w:val="center"/>
                    <w:rPr>
                      <w:color w:val="000000"/>
                      <w:szCs w:val="21"/>
                    </w:rPr>
                  </w:pPr>
                  <w:r>
                    <w:rPr>
                      <w:color w:val="000000"/>
                      <w:szCs w:val="21"/>
                    </w:rPr>
                    <w:t>85</w:t>
                  </w:r>
                </w:p>
              </w:tc>
              <w:tc>
                <w:tcPr>
                  <w:tcW w:w="592" w:type="pct"/>
                  <w:vAlign w:val="center"/>
                </w:tcPr>
                <w:p w14:paraId="6C763A7D">
                  <w:pPr>
                    <w:jc w:val="center"/>
                    <w:rPr>
                      <w:color w:val="000000"/>
                      <w:szCs w:val="21"/>
                    </w:rPr>
                  </w:pPr>
                  <w:r>
                    <w:rPr>
                      <w:color w:val="000000"/>
                      <w:szCs w:val="21"/>
                    </w:rPr>
                    <w:t>基础减振</w:t>
                  </w:r>
                </w:p>
              </w:tc>
              <w:tc>
                <w:tcPr>
                  <w:tcW w:w="399" w:type="pct"/>
                  <w:vMerge w:val="continue"/>
                  <w:vAlign w:val="center"/>
                </w:tcPr>
                <w:p w14:paraId="0EAEB424">
                  <w:pPr>
                    <w:jc w:val="center"/>
                    <w:rPr>
                      <w:color w:val="000000"/>
                      <w:szCs w:val="21"/>
                    </w:rPr>
                  </w:pPr>
                </w:p>
              </w:tc>
            </w:tr>
          </w:tbl>
          <w:p w14:paraId="6E822330">
            <w:pPr>
              <w:jc w:val="center"/>
              <w:rPr>
                <w:b/>
                <w:bCs/>
                <w:color w:val="000000"/>
                <w:sz w:val="24"/>
              </w:rPr>
            </w:pPr>
            <w:r>
              <w:rPr>
                <w:b/>
                <w:bCs/>
                <w:color w:val="000000"/>
                <w:sz w:val="24"/>
              </w:rPr>
              <w:t>表</w:t>
            </w:r>
            <w:r>
              <w:rPr>
                <w:rFonts w:hint="eastAsia"/>
                <w:b/>
                <w:bCs/>
                <w:color w:val="000000"/>
                <w:sz w:val="24"/>
              </w:rPr>
              <w:t>4-</w:t>
            </w:r>
            <w:r>
              <w:rPr>
                <w:rFonts w:hint="eastAsia"/>
                <w:b/>
                <w:bCs/>
                <w:color w:val="000000"/>
                <w:sz w:val="24"/>
                <w:lang w:val="en-US" w:eastAsia="zh-CN"/>
              </w:rPr>
              <w:t>9</w:t>
            </w:r>
            <w:r>
              <w:rPr>
                <w:b/>
                <w:bCs/>
                <w:color w:val="000000"/>
                <w:sz w:val="24"/>
              </w:rPr>
              <w:t xml:space="preserve">  </w:t>
            </w:r>
            <w:r>
              <w:rPr>
                <w:rFonts w:hint="eastAsia"/>
                <w:b/>
                <w:bCs/>
                <w:color w:val="000000"/>
                <w:sz w:val="24"/>
              </w:rPr>
              <w:t>本项目</w:t>
            </w:r>
            <w:r>
              <w:rPr>
                <w:b/>
                <w:bCs/>
                <w:color w:val="000000"/>
                <w:sz w:val="24"/>
              </w:rPr>
              <w:t>主要产噪设备及其源强（室内声源）   单位：dB（A）</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9"/>
              <w:gridCol w:w="436"/>
              <w:gridCol w:w="441"/>
              <w:gridCol w:w="620"/>
              <w:gridCol w:w="652"/>
              <w:gridCol w:w="647"/>
              <w:gridCol w:w="398"/>
              <w:gridCol w:w="548"/>
              <w:gridCol w:w="404"/>
              <w:gridCol w:w="548"/>
              <w:gridCol w:w="409"/>
              <w:gridCol w:w="553"/>
              <w:gridCol w:w="473"/>
              <w:gridCol w:w="484"/>
              <w:gridCol w:w="561"/>
              <w:gridCol w:w="513"/>
              <w:gridCol w:w="588"/>
              <w:gridCol w:w="623"/>
              <w:gridCol w:w="572"/>
              <w:gridCol w:w="577"/>
              <w:gridCol w:w="642"/>
              <w:gridCol w:w="732"/>
              <w:gridCol w:w="660"/>
              <w:gridCol w:w="677"/>
            </w:tblGrid>
            <w:tr w14:paraId="0C7A2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exact"/>
                <w:jc w:val="center"/>
              </w:trPr>
              <w:tc>
                <w:tcPr>
                  <w:tcW w:w="224" w:type="pct"/>
                  <w:vMerge w:val="restart"/>
                  <w:vAlign w:val="center"/>
                </w:tcPr>
                <w:p w14:paraId="118CCC9F">
                  <w:pPr>
                    <w:pStyle w:val="31"/>
                    <w:adjustRightInd/>
                    <w:snapToGrid/>
                    <w:spacing w:beforeLines="0" w:afterLines="0" w:line="240" w:lineRule="auto"/>
                    <w:ind w:left="0" w:leftChars="0" w:firstLine="0" w:firstLineChars="0"/>
                    <w:rPr>
                      <w:rFonts w:ascii="Times New Roman"/>
                      <w:szCs w:val="21"/>
                    </w:rPr>
                  </w:pPr>
                  <w:bookmarkStart w:id="7" w:name="PT_6"/>
                  <w:r>
                    <w:rPr>
                      <w:rFonts w:ascii="Times New Roman"/>
                      <w:szCs w:val="21"/>
                    </w:rPr>
                    <w:t>序号</w:t>
                  </w:r>
                </w:p>
              </w:tc>
              <w:tc>
                <w:tcPr>
                  <w:tcW w:w="163" w:type="pct"/>
                  <w:vMerge w:val="restart"/>
                  <w:vAlign w:val="center"/>
                </w:tcPr>
                <w:p w14:paraId="61929DB1">
                  <w:pPr>
                    <w:pStyle w:val="31"/>
                    <w:adjustRightInd/>
                    <w:snapToGrid/>
                    <w:spacing w:beforeLines="0" w:afterLines="0" w:line="240" w:lineRule="auto"/>
                    <w:ind w:left="0" w:leftChars="0" w:firstLine="0" w:firstLineChars="0"/>
                    <w:rPr>
                      <w:rFonts w:ascii="Times New Roman"/>
                      <w:szCs w:val="21"/>
                    </w:rPr>
                  </w:pPr>
                  <w:r>
                    <w:rPr>
                      <w:rFonts w:ascii="Times New Roman"/>
                      <w:szCs w:val="21"/>
                    </w:rPr>
                    <w:t>建筑物名称</w:t>
                  </w:r>
                </w:p>
              </w:tc>
              <w:tc>
                <w:tcPr>
                  <w:tcW w:w="165" w:type="pct"/>
                  <w:vMerge w:val="restart"/>
                  <w:vAlign w:val="center"/>
                </w:tcPr>
                <w:p w14:paraId="50B87667">
                  <w:pPr>
                    <w:pStyle w:val="31"/>
                    <w:adjustRightInd/>
                    <w:snapToGrid/>
                    <w:spacing w:beforeLines="0" w:afterLines="0" w:line="240" w:lineRule="auto"/>
                    <w:ind w:left="0" w:leftChars="0" w:firstLine="0" w:firstLineChars="0"/>
                    <w:rPr>
                      <w:rFonts w:ascii="Times New Roman"/>
                      <w:szCs w:val="21"/>
                    </w:rPr>
                  </w:pPr>
                  <w:r>
                    <w:rPr>
                      <w:rFonts w:ascii="Times New Roman"/>
                      <w:szCs w:val="21"/>
                    </w:rPr>
                    <w:t>声源名称</w:t>
                  </w:r>
                </w:p>
              </w:tc>
              <w:tc>
                <w:tcPr>
                  <w:tcW w:w="232" w:type="pct"/>
                  <w:vAlign w:val="center"/>
                </w:tcPr>
                <w:p w14:paraId="4FA324DC">
                  <w:pPr>
                    <w:pStyle w:val="31"/>
                    <w:adjustRightInd/>
                    <w:snapToGrid/>
                    <w:spacing w:beforeLines="0" w:afterLines="0" w:line="240" w:lineRule="auto"/>
                    <w:ind w:left="0" w:leftChars="0" w:firstLine="0" w:firstLineChars="0"/>
                    <w:rPr>
                      <w:rFonts w:ascii="Times New Roman"/>
                      <w:szCs w:val="21"/>
                    </w:rPr>
                  </w:pPr>
                  <w:r>
                    <w:rPr>
                      <w:rFonts w:ascii="Times New Roman"/>
                      <w:szCs w:val="21"/>
                    </w:rPr>
                    <w:t>声源源强</w:t>
                  </w:r>
                </w:p>
              </w:tc>
              <w:tc>
                <w:tcPr>
                  <w:tcW w:w="635" w:type="pct"/>
                  <w:gridSpan w:val="3"/>
                  <w:vAlign w:val="center"/>
                </w:tcPr>
                <w:p w14:paraId="40C9E4C9">
                  <w:pPr>
                    <w:pStyle w:val="31"/>
                    <w:adjustRightInd/>
                    <w:snapToGrid/>
                    <w:spacing w:beforeLines="0" w:afterLines="0" w:line="240" w:lineRule="auto"/>
                    <w:ind w:left="0" w:leftChars="0" w:firstLine="0" w:firstLineChars="0"/>
                    <w:rPr>
                      <w:rFonts w:ascii="Times New Roman"/>
                      <w:szCs w:val="21"/>
                    </w:rPr>
                  </w:pPr>
                  <w:r>
                    <w:rPr>
                      <w:rFonts w:ascii="Times New Roman"/>
                      <w:szCs w:val="21"/>
                    </w:rPr>
                    <w:t>空间相对位置/m</w:t>
                  </w:r>
                </w:p>
              </w:tc>
              <w:tc>
                <w:tcPr>
                  <w:tcW w:w="714" w:type="pct"/>
                  <w:gridSpan w:val="4"/>
                  <w:vAlign w:val="center"/>
                </w:tcPr>
                <w:p w14:paraId="1C5ADD32">
                  <w:pPr>
                    <w:pStyle w:val="31"/>
                    <w:adjustRightInd/>
                    <w:snapToGrid/>
                    <w:spacing w:beforeLines="0" w:afterLines="0" w:line="240" w:lineRule="auto"/>
                    <w:ind w:left="0" w:leftChars="0" w:firstLine="0" w:firstLineChars="0"/>
                    <w:rPr>
                      <w:rFonts w:ascii="Times New Roman"/>
                      <w:szCs w:val="21"/>
                    </w:rPr>
                  </w:pPr>
                  <w:r>
                    <w:rPr>
                      <w:rFonts w:ascii="Times New Roman"/>
                      <w:szCs w:val="21"/>
                    </w:rPr>
                    <w:t>距室内边界距离/m</w:t>
                  </w:r>
                </w:p>
              </w:tc>
              <w:tc>
                <w:tcPr>
                  <w:tcW w:w="775" w:type="pct"/>
                  <w:gridSpan w:val="4"/>
                  <w:vAlign w:val="center"/>
                </w:tcPr>
                <w:p w14:paraId="64E48966">
                  <w:pPr>
                    <w:pStyle w:val="31"/>
                    <w:adjustRightInd/>
                    <w:snapToGrid/>
                    <w:spacing w:beforeLines="0" w:afterLines="0" w:line="240" w:lineRule="auto"/>
                    <w:ind w:left="0" w:leftChars="0" w:firstLine="0" w:firstLineChars="0"/>
                    <w:rPr>
                      <w:rFonts w:ascii="Times New Roman"/>
                      <w:szCs w:val="21"/>
                    </w:rPr>
                  </w:pPr>
                  <w:r>
                    <w:rPr>
                      <w:rFonts w:ascii="Times New Roman"/>
                      <w:szCs w:val="21"/>
                    </w:rPr>
                    <w:t>室内边界声级/dB(A)</w:t>
                  </w:r>
                </w:p>
              </w:tc>
              <w:tc>
                <w:tcPr>
                  <w:tcW w:w="192" w:type="pct"/>
                  <w:vMerge w:val="restart"/>
                  <w:vAlign w:val="center"/>
                </w:tcPr>
                <w:p w14:paraId="2E77FDC6">
                  <w:pPr>
                    <w:pStyle w:val="31"/>
                    <w:adjustRightInd/>
                    <w:snapToGrid/>
                    <w:spacing w:beforeLines="0" w:afterLines="0" w:line="240" w:lineRule="auto"/>
                    <w:ind w:left="0" w:leftChars="0" w:firstLine="0" w:firstLineChars="0"/>
                    <w:rPr>
                      <w:rFonts w:ascii="Times New Roman"/>
                      <w:szCs w:val="21"/>
                    </w:rPr>
                  </w:pPr>
                  <w:r>
                    <w:rPr>
                      <w:rFonts w:ascii="Times New Roman"/>
                      <w:szCs w:val="21"/>
                    </w:rPr>
                    <w:t>运行时段</w:t>
                  </w:r>
                </w:p>
              </w:tc>
              <w:tc>
                <w:tcPr>
                  <w:tcW w:w="883" w:type="pct"/>
                  <w:gridSpan w:val="4"/>
                  <w:vAlign w:val="center"/>
                </w:tcPr>
                <w:p w14:paraId="4C4F681A">
                  <w:pPr>
                    <w:pStyle w:val="31"/>
                    <w:adjustRightInd/>
                    <w:snapToGrid/>
                    <w:spacing w:beforeLines="0" w:afterLines="0" w:line="240" w:lineRule="auto"/>
                    <w:ind w:left="0" w:leftChars="0" w:firstLine="0" w:firstLineChars="0"/>
                    <w:rPr>
                      <w:rFonts w:ascii="Times New Roman"/>
                      <w:szCs w:val="21"/>
                    </w:rPr>
                  </w:pPr>
                  <w:r>
                    <w:rPr>
                      <w:rFonts w:ascii="Times New Roman"/>
                      <w:szCs w:val="21"/>
                    </w:rPr>
                    <w:t>建筑物插入损失 / dB(A)</w:t>
                  </w:r>
                  <w:bookmarkStart w:id="8" w:name="PT_10"/>
                  <w:bookmarkEnd w:id="8"/>
                </w:p>
              </w:tc>
              <w:tc>
                <w:tcPr>
                  <w:tcW w:w="1014" w:type="pct"/>
                  <w:gridSpan w:val="4"/>
                  <w:vAlign w:val="center"/>
                </w:tcPr>
                <w:p w14:paraId="1D5978C0">
                  <w:pPr>
                    <w:pStyle w:val="31"/>
                    <w:adjustRightInd/>
                    <w:snapToGrid/>
                    <w:spacing w:beforeLines="0" w:afterLines="0" w:line="240" w:lineRule="auto"/>
                    <w:ind w:left="0" w:leftChars="0" w:firstLine="0" w:firstLineChars="0"/>
                    <w:rPr>
                      <w:rFonts w:ascii="Times New Roman"/>
                      <w:szCs w:val="21"/>
                    </w:rPr>
                  </w:pPr>
                  <w:r>
                    <w:rPr>
                      <w:rFonts w:ascii="Times New Roman"/>
                      <w:szCs w:val="21"/>
                    </w:rPr>
                    <w:t>建筑物外噪声声压级/dB(A)</w:t>
                  </w:r>
                </w:p>
              </w:tc>
            </w:tr>
            <w:tr w14:paraId="2591A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atLeast"/>
                <w:jc w:val="center"/>
              </w:trPr>
              <w:tc>
                <w:tcPr>
                  <w:tcW w:w="224" w:type="pct"/>
                  <w:vMerge w:val="continue"/>
                  <w:shd w:val="clear" w:color="auto" w:fill="FFFFFF"/>
                  <w:tcMar>
                    <w:top w:w="0" w:type="dxa"/>
                    <w:left w:w="0" w:type="dxa"/>
                    <w:bottom w:w="0" w:type="dxa"/>
                    <w:right w:w="0" w:type="dxa"/>
                  </w:tcMar>
                  <w:vAlign w:val="center"/>
                </w:tcPr>
                <w:p w14:paraId="451B6B67">
                  <w:pPr>
                    <w:pStyle w:val="31"/>
                    <w:adjustRightInd/>
                    <w:snapToGrid/>
                    <w:spacing w:beforeLines="0" w:afterLines="0" w:line="240" w:lineRule="auto"/>
                    <w:ind w:left="0" w:leftChars="0" w:firstLine="0" w:firstLineChars="0"/>
                    <w:rPr>
                      <w:rFonts w:ascii="Times New Roman"/>
                      <w:szCs w:val="21"/>
                    </w:rPr>
                  </w:pPr>
                </w:p>
              </w:tc>
              <w:tc>
                <w:tcPr>
                  <w:tcW w:w="163" w:type="pct"/>
                  <w:vMerge w:val="continue"/>
                  <w:shd w:val="clear" w:color="auto" w:fill="FFFFFF"/>
                  <w:tcMar>
                    <w:top w:w="0" w:type="dxa"/>
                    <w:left w:w="0" w:type="dxa"/>
                    <w:bottom w:w="0" w:type="dxa"/>
                    <w:right w:w="0" w:type="dxa"/>
                  </w:tcMar>
                  <w:vAlign w:val="center"/>
                </w:tcPr>
                <w:p w14:paraId="47F420B0">
                  <w:pPr>
                    <w:pStyle w:val="31"/>
                    <w:adjustRightInd/>
                    <w:snapToGrid/>
                    <w:spacing w:beforeLines="0" w:afterLines="0" w:line="240" w:lineRule="auto"/>
                    <w:ind w:left="0" w:leftChars="0" w:firstLine="0" w:firstLineChars="0"/>
                    <w:rPr>
                      <w:rFonts w:ascii="Times New Roman"/>
                      <w:szCs w:val="21"/>
                    </w:rPr>
                  </w:pPr>
                </w:p>
              </w:tc>
              <w:tc>
                <w:tcPr>
                  <w:tcW w:w="165" w:type="pct"/>
                  <w:vMerge w:val="continue"/>
                  <w:shd w:val="clear" w:color="auto" w:fill="FFFFFF"/>
                  <w:tcMar>
                    <w:top w:w="0" w:type="dxa"/>
                    <w:left w:w="0" w:type="dxa"/>
                    <w:bottom w:w="0" w:type="dxa"/>
                    <w:right w:w="0" w:type="dxa"/>
                  </w:tcMar>
                  <w:vAlign w:val="center"/>
                </w:tcPr>
                <w:p w14:paraId="7B96EAB5">
                  <w:pPr>
                    <w:pStyle w:val="31"/>
                    <w:adjustRightInd/>
                    <w:snapToGrid/>
                    <w:spacing w:beforeLines="0" w:afterLines="0" w:line="240" w:lineRule="auto"/>
                    <w:ind w:left="0" w:leftChars="0" w:firstLine="0" w:firstLineChars="0"/>
                    <w:rPr>
                      <w:rFonts w:ascii="Times New Roman"/>
                      <w:szCs w:val="21"/>
                    </w:rPr>
                  </w:pPr>
                </w:p>
              </w:tc>
              <w:tc>
                <w:tcPr>
                  <w:tcW w:w="232" w:type="pct"/>
                  <w:shd w:val="clear" w:color="auto" w:fill="FFFFFF"/>
                  <w:tcMar>
                    <w:top w:w="0" w:type="dxa"/>
                    <w:left w:w="0" w:type="dxa"/>
                    <w:bottom w:w="0" w:type="dxa"/>
                    <w:right w:w="0" w:type="dxa"/>
                  </w:tcMar>
                  <w:vAlign w:val="center"/>
                </w:tcPr>
                <w:p w14:paraId="67B71BBC">
                  <w:pPr>
                    <w:pStyle w:val="31"/>
                    <w:adjustRightInd/>
                    <w:snapToGrid/>
                    <w:spacing w:beforeLines="0" w:afterLines="0" w:line="240" w:lineRule="auto"/>
                    <w:ind w:left="0" w:leftChars="0" w:firstLine="0" w:firstLineChars="0"/>
                    <w:rPr>
                      <w:rFonts w:ascii="Times New Roman"/>
                      <w:szCs w:val="21"/>
                    </w:rPr>
                  </w:pPr>
                  <w:r>
                    <w:rPr>
                      <w:rFonts w:ascii="Times New Roman"/>
                      <w:szCs w:val="21"/>
                    </w:rPr>
                    <w:t>声功率级/dB(A)</w:t>
                  </w:r>
                </w:p>
              </w:tc>
              <w:tc>
                <w:tcPr>
                  <w:tcW w:w="244" w:type="pct"/>
                  <w:shd w:val="clear" w:color="auto" w:fill="FFFFFF"/>
                  <w:tcMar>
                    <w:top w:w="0" w:type="dxa"/>
                    <w:left w:w="0" w:type="dxa"/>
                    <w:bottom w:w="0" w:type="dxa"/>
                    <w:right w:w="0" w:type="dxa"/>
                  </w:tcMar>
                  <w:vAlign w:val="center"/>
                </w:tcPr>
                <w:p w14:paraId="76AFF068">
                  <w:pPr>
                    <w:pStyle w:val="31"/>
                    <w:adjustRightInd/>
                    <w:snapToGrid/>
                    <w:spacing w:beforeLines="0" w:afterLines="0" w:line="240" w:lineRule="auto"/>
                    <w:ind w:left="0" w:leftChars="0" w:firstLine="0" w:firstLineChars="0"/>
                    <w:rPr>
                      <w:rFonts w:ascii="Times New Roman"/>
                      <w:szCs w:val="21"/>
                    </w:rPr>
                  </w:pPr>
                  <w:r>
                    <w:rPr>
                      <w:rFonts w:ascii="Times New Roman"/>
                      <w:szCs w:val="21"/>
                    </w:rPr>
                    <w:t>X</w:t>
                  </w:r>
                </w:p>
              </w:tc>
              <w:tc>
                <w:tcPr>
                  <w:tcW w:w="242" w:type="pct"/>
                  <w:shd w:val="clear" w:color="auto" w:fill="FFFFFF"/>
                  <w:tcMar>
                    <w:top w:w="0" w:type="dxa"/>
                    <w:left w:w="0" w:type="dxa"/>
                    <w:bottom w:w="0" w:type="dxa"/>
                    <w:right w:w="0" w:type="dxa"/>
                  </w:tcMar>
                  <w:vAlign w:val="center"/>
                </w:tcPr>
                <w:p w14:paraId="56A6C250">
                  <w:pPr>
                    <w:pStyle w:val="31"/>
                    <w:adjustRightInd/>
                    <w:snapToGrid/>
                    <w:spacing w:beforeLines="0" w:afterLines="0" w:line="240" w:lineRule="auto"/>
                    <w:ind w:left="0" w:leftChars="0" w:firstLine="0" w:firstLineChars="0"/>
                    <w:rPr>
                      <w:rFonts w:ascii="Times New Roman"/>
                      <w:szCs w:val="21"/>
                    </w:rPr>
                  </w:pPr>
                  <w:r>
                    <w:rPr>
                      <w:rFonts w:ascii="Times New Roman"/>
                      <w:szCs w:val="21"/>
                    </w:rPr>
                    <w:t>Y</w:t>
                  </w:r>
                </w:p>
              </w:tc>
              <w:tc>
                <w:tcPr>
                  <w:tcW w:w="148" w:type="pct"/>
                  <w:shd w:val="clear" w:color="auto" w:fill="FFFFFF"/>
                  <w:tcMar>
                    <w:top w:w="0" w:type="dxa"/>
                    <w:left w:w="0" w:type="dxa"/>
                    <w:bottom w:w="0" w:type="dxa"/>
                    <w:right w:w="0" w:type="dxa"/>
                  </w:tcMar>
                  <w:vAlign w:val="center"/>
                </w:tcPr>
                <w:p w14:paraId="56794CB4">
                  <w:pPr>
                    <w:pStyle w:val="31"/>
                    <w:adjustRightInd/>
                    <w:snapToGrid/>
                    <w:spacing w:beforeLines="0" w:afterLines="0" w:line="240" w:lineRule="auto"/>
                    <w:ind w:left="0" w:leftChars="0" w:firstLine="0" w:firstLineChars="0"/>
                    <w:rPr>
                      <w:rFonts w:ascii="Times New Roman"/>
                      <w:szCs w:val="21"/>
                    </w:rPr>
                  </w:pPr>
                  <w:r>
                    <w:rPr>
                      <w:rFonts w:ascii="Times New Roman"/>
                      <w:szCs w:val="21"/>
                    </w:rPr>
                    <w:t>Z</w:t>
                  </w:r>
                </w:p>
              </w:tc>
              <w:tc>
                <w:tcPr>
                  <w:tcW w:w="205" w:type="pct"/>
                  <w:shd w:val="clear" w:color="auto" w:fill="FFFFFF"/>
                  <w:tcMar>
                    <w:top w:w="0" w:type="dxa"/>
                    <w:left w:w="0" w:type="dxa"/>
                    <w:bottom w:w="0" w:type="dxa"/>
                    <w:right w:w="0" w:type="dxa"/>
                  </w:tcMar>
                  <w:vAlign w:val="center"/>
                </w:tcPr>
                <w:p w14:paraId="068086D6">
                  <w:pPr>
                    <w:pStyle w:val="31"/>
                    <w:adjustRightInd/>
                    <w:snapToGrid/>
                    <w:spacing w:beforeLines="0" w:afterLines="0" w:line="240" w:lineRule="auto"/>
                    <w:ind w:left="0" w:leftChars="0" w:firstLine="0" w:firstLineChars="0"/>
                    <w:rPr>
                      <w:rFonts w:ascii="Times New Roman"/>
                      <w:szCs w:val="21"/>
                    </w:rPr>
                  </w:pPr>
                  <w:r>
                    <w:rPr>
                      <w:rFonts w:ascii="Times New Roman"/>
                      <w:szCs w:val="21"/>
                    </w:rPr>
                    <w:t>东</w:t>
                  </w:r>
                </w:p>
              </w:tc>
              <w:tc>
                <w:tcPr>
                  <w:tcW w:w="151" w:type="pct"/>
                  <w:shd w:val="clear" w:color="auto" w:fill="FFFFFF"/>
                  <w:tcMar>
                    <w:top w:w="0" w:type="dxa"/>
                    <w:left w:w="0" w:type="dxa"/>
                    <w:bottom w:w="0" w:type="dxa"/>
                    <w:right w:w="0" w:type="dxa"/>
                  </w:tcMar>
                  <w:vAlign w:val="center"/>
                </w:tcPr>
                <w:p w14:paraId="0BC1735F">
                  <w:pPr>
                    <w:pStyle w:val="31"/>
                    <w:adjustRightInd/>
                    <w:snapToGrid/>
                    <w:spacing w:beforeLines="0" w:afterLines="0" w:line="240" w:lineRule="auto"/>
                    <w:ind w:left="0" w:leftChars="0" w:firstLine="0" w:firstLineChars="0"/>
                    <w:rPr>
                      <w:rFonts w:ascii="Times New Roman"/>
                      <w:szCs w:val="21"/>
                    </w:rPr>
                  </w:pPr>
                  <w:r>
                    <w:rPr>
                      <w:rFonts w:ascii="Times New Roman"/>
                      <w:szCs w:val="21"/>
                    </w:rPr>
                    <w:t>南</w:t>
                  </w:r>
                </w:p>
              </w:tc>
              <w:tc>
                <w:tcPr>
                  <w:tcW w:w="205" w:type="pct"/>
                  <w:shd w:val="clear" w:color="auto" w:fill="FFFFFF"/>
                  <w:tcMar>
                    <w:top w:w="0" w:type="dxa"/>
                    <w:left w:w="0" w:type="dxa"/>
                    <w:bottom w:w="0" w:type="dxa"/>
                    <w:right w:w="0" w:type="dxa"/>
                  </w:tcMar>
                  <w:vAlign w:val="center"/>
                </w:tcPr>
                <w:p w14:paraId="1773BCC2">
                  <w:pPr>
                    <w:pStyle w:val="31"/>
                    <w:adjustRightInd/>
                    <w:snapToGrid/>
                    <w:spacing w:beforeLines="0" w:afterLines="0" w:line="240" w:lineRule="auto"/>
                    <w:ind w:left="0" w:leftChars="0" w:firstLine="0" w:firstLineChars="0"/>
                    <w:rPr>
                      <w:rFonts w:ascii="Times New Roman"/>
                      <w:szCs w:val="21"/>
                    </w:rPr>
                  </w:pPr>
                  <w:r>
                    <w:rPr>
                      <w:rFonts w:ascii="Times New Roman"/>
                      <w:szCs w:val="21"/>
                    </w:rPr>
                    <w:t>西</w:t>
                  </w:r>
                </w:p>
              </w:tc>
              <w:tc>
                <w:tcPr>
                  <w:tcW w:w="153" w:type="pct"/>
                  <w:shd w:val="clear" w:color="auto" w:fill="FFFFFF"/>
                  <w:tcMar>
                    <w:top w:w="0" w:type="dxa"/>
                    <w:left w:w="0" w:type="dxa"/>
                    <w:bottom w:w="0" w:type="dxa"/>
                    <w:right w:w="0" w:type="dxa"/>
                  </w:tcMar>
                  <w:vAlign w:val="center"/>
                </w:tcPr>
                <w:p w14:paraId="4E1D2FA0">
                  <w:pPr>
                    <w:pStyle w:val="31"/>
                    <w:adjustRightInd/>
                    <w:snapToGrid/>
                    <w:spacing w:beforeLines="0" w:afterLines="0" w:line="240" w:lineRule="auto"/>
                    <w:ind w:left="0" w:leftChars="0" w:firstLine="0" w:firstLineChars="0"/>
                    <w:rPr>
                      <w:rFonts w:ascii="Times New Roman"/>
                      <w:szCs w:val="21"/>
                    </w:rPr>
                  </w:pPr>
                  <w:r>
                    <w:rPr>
                      <w:rFonts w:ascii="Times New Roman"/>
                      <w:szCs w:val="21"/>
                    </w:rPr>
                    <w:t>北</w:t>
                  </w:r>
                </w:p>
              </w:tc>
              <w:tc>
                <w:tcPr>
                  <w:tcW w:w="207" w:type="pct"/>
                  <w:shd w:val="clear" w:color="auto" w:fill="FFFFFF"/>
                  <w:tcMar>
                    <w:top w:w="0" w:type="dxa"/>
                    <w:left w:w="0" w:type="dxa"/>
                    <w:bottom w:w="0" w:type="dxa"/>
                    <w:right w:w="0" w:type="dxa"/>
                  </w:tcMar>
                  <w:vAlign w:val="center"/>
                </w:tcPr>
                <w:p w14:paraId="50B8DC19">
                  <w:pPr>
                    <w:pStyle w:val="31"/>
                    <w:adjustRightInd/>
                    <w:snapToGrid/>
                    <w:spacing w:beforeLines="0" w:afterLines="0" w:line="240" w:lineRule="auto"/>
                    <w:ind w:left="0" w:leftChars="0" w:firstLine="0" w:firstLineChars="0"/>
                    <w:rPr>
                      <w:rFonts w:ascii="Times New Roman"/>
                      <w:szCs w:val="21"/>
                    </w:rPr>
                  </w:pPr>
                  <w:r>
                    <w:rPr>
                      <w:rFonts w:ascii="Times New Roman"/>
                      <w:szCs w:val="21"/>
                    </w:rPr>
                    <w:t>东</w:t>
                  </w:r>
                </w:p>
              </w:tc>
              <w:tc>
                <w:tcPr>
                  <w:tcW w:w="177" w:type="pct"/>
                  <w:shd w:val="clear" w:color="auto" w:fill="FFFFFF"/>
                  <w:tcMar>
                    <w:top w:w="0" w:type="dxa"/>
                    <w:left w:w="0" w:type="dxa"/>
                    <w:bottom w:w="0" w:type="dxa"/>
                    <w:right w:w="0" w:type="dxa"/>
                  </w:tcMar>
                  <w:vAlign w:val="center"/>
                </w:tcPr>
                <w:p w14:paraId="5EE09627">
                  <w:pPr>
                    <w:pStyle w:val="31"/>
                    <w:adjustRightInd/>
                    <w:snapToGrid/>
                    <w:spacing w:beforeLines="0" w:afterLines="0" w:line="240" w:lineRule="auto"/>
                    <w:ind w:left="0" w:leftChars="0" w:firstLine="0" w:firstLineChars="0"/>
                    <w:rPr>
                      <w:rFonts w:ascii="Times New Roman"/>
                      <w:szCs w:val="21"/>
                    </w:rPr>
                  </w:pPr>
                  <w:r>
                    <w:rPr>
                      <w:rFonts w:ascii="Times New Roman"/>
                      <w:szCs w:val="21"/>
                    </w:rPr>
                    <w:t>南</w:t>
                  </w:r>
                </w:p>
              </w:tc>
              <w:tc>
                <w:tcPr>
                  <w:tcW w:w="181" w:type="pct"/>
                  <w:shd w:val="clear" w:color="auto" w:fill="FFFFFF"/>
                  <w:tcMar>
                    <w:top w:w="0" w:type="dxa"/>
                    <w:left w:w="0" w:type="dxa"/>
                    <w:bottom w:w="0" w:type="dxa"/>
                    <w:right w:w="0" w:type="dxa"/>
                  </w:tcMar>
                  <w:vAlign w:val="center"/>
                </w:tcPr>
                <w:p w14:paraId="68ED45A9">
                  <w:pPr>
                    <w:pStyle w:val="31"/>
                    <w:adjustRightInd/>
                    <w:snapToGrid/>
                    <w:spacing w:beforeLines="0" w:afterLines="0" w:line="240" w:lineRule="auto"/>
                    <w:ind w:left="0" w:leftChars="0" w:firstLine="0" w:firstLineChars="0"/>
                    <w:rPr>
                      <w:rFonts w:ascii="Times New Roman"/>
                      <w:szCs w:val="21"/>
                    </w:rPr>
                  </w:pPr>
                  <w:r>
                    <w:rPr>
                      <w:rFonts w:ascii="Times New Roman"/>
                      <w:szCs w:val="21"/>
                    </w:rPr>
                    <w:t>西</w:t>
                  </w:r>
                </w:p>
              </w:tc>
              <w:tc>
                <w:tcPr>
                  <w:tcW w:w="210" w:type="pct"/>
                  <w:shd w:val="clear" w:color="auto" w:fill="FFFFFF"/>
                  <w:tcMar>
                    <w:top w:w="0" w:type="dxa"/>
                    <w:left w:w="0" w:type="dxa"/>
                    <w:bottom w:w="0" w:type="dxa"/>
                    <w:right w:w="0" w:type="dxa"/>
                  </w:tcMar>
                  <w:vAlign w:val="center"/>
                </w:tcPr>
                <w:p w14:paraId="71964905">
                  <w:pPr>
                    <w:pStyle w:val="31"/>
                    <w:adjustRightInd/>
                    <w:snapToGrid/>
                    <w:spacing w:beforeLines="0" w:afterLines="0" w:line="240" w:lineRule="auto"/>
                    <w:ind w:left="0" w:leftChars="0" w:firstLine="0" w:firstLineChars="0"/>
                    <w:rPr>
                      <w:rFonts w:ascii="Times New Roman"/>
                      <w:szCs w:val="21"/>
                    </w:rPr>
                  </w:pPr>
                  <w:r>
                    <w:rPr>
                      <w:rFonts w:ascii="Times New Roman"/>
                      <w:szCs w:val="21"/>
                    </w:rPr>
                    <w:t>北</w:t>
                  </w:r>
                </w:p>
              </w:tc>
              <w:tc>
                <w:tcPr>
                  <w:tcW w:w="192" w:type="pct"/>
                  <w:vMerge w:val="continue"/>
                  <w:shd w:val="clear" w:color="auto" w:fill="FFFFFF"/>
                  <w:tcMar>
                    <w:top w:w="0" w:type="dxa"/>
                    <w:left w:w="0" w:type="dxa"/>
                    <w:bottom w:w="0" w:type="dxa"/>
                    <w:right w:w="0" w:type="dxa"/>
                  </w:tcMar>
                  <w:vAlign w:val="center"/>
                </w:tcPr>
                <w:p w14:paraId="2D7C42D9">
                  <w:pPr>
                    <w:pStyle w:val="31"/>
                    <w:adjustRightInd/>
                    <w:snapToGrid/>
                    <w:spacing w:beforeLines="0" w:afterLines="0" w:line="240" w:lineRule="auto"/>
                    <w:ind w:left="0" w:leftChars="0" w:firstLine="0" w:firstLineChars="0"/>
                    <w:rPr>
                      <w:rFonts w:ascii="Times New Roman"/>
                      <w:szCs w:val="21"/>
                    </w:rPr>
                  </w:pPr>
                </w:p>
              </w:tc>
              <w:tc>
                <w:tcPr>
                  <w:tcW w:w="220" w:type="pct"/>
                  <w:shd w:val="clear" w:color="auto" w:fill="FFFFFF"/>
                  <w:tcMar>
                    <w:top w:w="0" w:type="dxa"/>
                    <w:left w:w="0" w:type="dxa"/>
                    <w:bottom w:w="0" w:type="dxa"/>
                    <w:right w:w="0" w:type="dxa"/>
                  </w:tcMar>
                  <w:vAlign w:val="center"/>
                </w:tcPr>
                <w:p w14:paraId="131D4664">
                  <w:pPr>
                    <w:pStyle w:val="31"/>
                    <w:adjustRightInd/>
                    <w:snapToGrid/>
                    <w:spacing w:beforeLines="0" w:afterLines="0" w:line="240" w:lineRule="auto"/>
                    <w:ind w:left="0" w:leftChars="0" w:firstLine="0" w:firstLineChars="0"/>
                    <w:rPr>
                      <w:rFonts w:ascii="Times New Roman"/>
                      <w:szCs w:val="21"/>
                    </w:rPr>
                  </w:pPr>
                  <w:r>
                    <w:rPr>
                      <w:rFonts w:ascii="Times New Roman"/>
                      <w:szCs w:val="21"/>
                    </w:rPr>
                    <w:t>东</w:t>
                  </w:r>
                </w:p>
              </w:tc>
              <w:tc>
                <w:tcPr>
                  <w:tcW w:w="233" w:type="pct"/>
                  <w:shd w:val="clear" w:color="auto" w:fill="FFFFFF"/>
                  <w:tcMar>
                    <w:top w:w="0" w:type="dxa"/>
                    <w:left w:w="0" w:type="dxa"/>
                    <w:bottom w:w="0" w:type="dxa"/>
                    <w:right w:w="0" w:type="dxa"/>
                  </w:tcMar>
                  <w:vAlign w:val="center"/>
                </w:tcPr>
                <w:p w14:paraId="65222FB6">
                  <w:pPr>
                    <w:pStyle w:val="31"/>
                    <w:adjustRightInd/>
                    <w:snapToGrid/>
                    <w:spacing w:beforeLines="0" w:afterLines="0" w:line="240" w:lineRule="auto"/>
                    <w:ind w:left="0" w:leftChars="0" w:firstLine="0" w:firstLineChars="0"/>
                    <w:rPr>
                      <w:rFonts w:ascii="Times New Roman"/>
                      <w:szCs w:val="21"/>
                    </w:rPr>
                  </w:pPr>
                  <w:r>
                    <w:rPr>
                      <w:rFonts w:ascii="Times New Roman"/>
                      <w:szCs w:val="21"/>
                    </w:rPr>
                    <w:t>南</w:t>
                  </w:r>
                </w:p>
              </w:tc>
              <w:tc>
                <w:tcPr>
                  <w:tcW w:w="214" w:type="pct"/>
                  <w:shd w:val="clear" w:color="auto" w:fill="FFFFFF"/>
                  <w:tcMar>
                    <w:top w:w="0" w:type="dxa"/>
                    <w:left w:w="0" w:type="dxa"/>
                    <w:bottom w:w="0" w:type="dxa"/>
                    <w:right w:w="0" w:type="dxa"/>
                  </w:tcMar>
                  <w:vAlign w:val="center"/>
                </w:tcPr>
                <w:p w14:paraId="6B8D3A99">
                  <w:pPr>
                    <w:pStyle w:val="31"/>
                    <w:adjustRightInd/>
                    <w:snapToGrid/>
                    <w:spacing w:beforeLines="0" w:afterLines="0" w:line="240" w:lineRule="auto"/>
                    <w:ind w:left="0" w:leftChars="0" w:firstLine="0" w:firstLineChars="0"/>
                    <w:rPr>
                      <w:rFonts w:ascii="Times New Roman"/>
                      <w:szCs w:val="21"/>
                    </w:rPr>
                  </w:pPr>
                  <w:r>
                    <w:rPr>
                      <w:rFonts w:ascii="Times New Roman"/>
                      <w:szCs w:val="21"/>
                    </w:rPr>
                    <w:t>西</w:t>
                  </w:r>
                </w:p>
              </w:tc>
              <w:tc>
                <w:tcPr>
                  <w:tcW w:w="215" w:type="pct"/>
                  <w:shd w:val="clear" w:color="auto" w:fill="FFFFFF"/>
                  <w:tcMar>
                    <w:top w:w="0" w:type="dxa"/>
                    <w:left w:w="0" w:type="dxa"/>
                    <w:bottom w:w="0" w:type="dxa"/>
                    <w:right w:w="0" w:type="dxa"/>
                  </w:tcMar>
                  <w:vAlign w:val="center"/>
                </w:tcPr>
                <w:p w14:paraId="240DE57D">
                  <w:pPr>
                    <w:pStyle w:val="31"/>
                    <w:adjustRightInd/>
                    <w:snapToGrid/>
                    <w:spacing w:beforeLines="0" w:afterLines="0" w:line="240" w:lineRule="auto"/>
                    <w:ind w:left="0" w:leftChars="0" w:firstLine="0" w:firstLineChars="0"/>
                    <w:rPr>
                      <w:rFonts w:ascii="Times New Roman"/>
                      <w:szCs w:val="21"/>
                    </w:rPr>
                  </w:pPr>
                  <w:r>
                    <w:rPr>
                      <w:rFonts w:ascii="Times New Roman"/>
                      <w:szCs w:val="21"/>
                    </w:rPr>
                    <w:t>北</w:t>
                  </w:r>
                </w:p>
              </w:tc>
              <w:tc>
                <w:tcPr>
                  <w:tcW w:w="240" w:type="pct"/>
                  <w:shd w:val="clear" w:color="auto" w:fill="FFFFFF"/>
                  <w:tcMar>
                    <w:top w:w="0" w:type="dxa"/>
                    <w:left w:w="0" w:type="dxa"/>
                    <w:bottom w:w="0" w:type="dxa"/>
                    <w:right w:w="0" w:type="dxa"/>
                  </w:tcMar>
                  <w:vAlign w:val="center"/>
                </w:tcPr>
                <w:p w14:paraId="4429A116">
                  <w:pPr>
                    <w:pStyle w:val="31"/>
                    <w:adjustRightInd/>
                    <w:snapToGrid/>
                    <w:spacing w:beforeLines="0" w:afterLines="0" w:line="240" w:lineRule="auto"/>
                    <w:ind w:left="0" w:leftChars="0" w:firstLine="0" w:firstLineChars="0"/>
                    <w:rPr>
                      <w:rFonts w:ascii="Times New Roman"/>
                      <w:szCs w:val="21"/>
                    </w:rPr>
                  </w:pPr>
                  <w:r>
                    <w:rPr>
                      <w:rFonts w:ascii="Times New Roman"/>
                      <w:szCs w:val="21"/>
                    </w:rPr>
                    <w:t>东</w:t>
                  </w:r>
                </w:p>
              </w:tc>
              <w:tc>
                <w:tcPr>
                  <w:tcW w:w="274" w:type="pct"/>
                  <w:shd w:val="clear" w:color="auto" w:fill="FFFFFF"/>
                  <w:tcMar>
                    <w:top w:w="0" w:type="dxa"/>
                    <w:left w:w="0" w:type="dxa"/>
                    <w:bottom w:w="0" w:type="dxa"/>
                    <w:right w:w="0" w:type="dxa"/>
                  </w:tcMar>
                  <w:vAlign w:val="center"/>
                </w:tcPr>
                <w:p w14:paraId="0C159712">
                  <w:pPr>
                    <w:pStyle w:val="31"/>
                    <w:adjustRightInd/>
                    <w:snapToGrid/>
                    <w:spacing w:beforeLines="0" w:afterLines="0" w:line="240" w:lineRule="auto"/>
                    <w:ind w:left="0" w:leftChars="0" w:firstLine="0" w:firstLineChars="0"/>
                    <w:rPr>
                      <w:rFonts w:ascii="Times New Roman"/>
                      <w:szCs w:val="21"/>
                    </w:rPr>
                  </w:pPr>
                  <w:r>
                    <w:rPr>
                      <w:rFonts w:ascii="Times New Roman"/>
                      <w:szCs w:val="21"/>
                    </w:rPr>
                    <w:t>南</w:t>
                  </w:r>
                </w:p>
              </w:tc>
              <w:tc>
                <w:tcPr>
                  <w:tcW w:w="247" w:type="pct"/>
                  <w:shd w:val="clear" w:color="auto" w:fill="FFFFFF"/>
                  <w:tcMar>
                    <w:top w:w="0" w:type="dxa"/>
                    <w:left w:w="0" w:type="dxa"/>
                    <w:bottom w:w="0" w:type="dxa"/>
                    <w:right w:w="0" w:type="dxa"/>
                  </w:tcMar>
                  <w:vAlign w:val="center"/>
                </w:tcPr>
                <w:p w14:paraId="33514B5B">
                  <w:pPr>
                    <w:pStyle w:val="31"/>
                    <w:adjustRightInd/>
                    <w:snapToGrid/>
                    <w:spacing w:beforeLines="0" w:afterLines="0" w:line="240" w:lineRule="auto"/>
                    <w:ind w:left="0" w:leftChars="0" w:firstLine="0" w:firstLineChars="0"/>
                    <w:rPr>
                      <w:rFonts w:ascii="Times New Roman"/>
                      <w:szCs w:val="21"/>
                    </w:rPr>
                  </w:pPr>
                  <w:r>
                    <w:rPr>
                      <w:rFonts w:ascii="Times New Roman"/>
                      <w:szCs w:val="21"/>
                    </w:rPr>
                    <w:t>西</w:t>
                  </w:r>
                </w:p>
              </w:tc>
              <w:tc>
                <w:tcPr>
                  <w:tcW w:w="253" w:type="pct"/>
                  <w:shd w:val="clear" w:color="auto" w:fill="FFFFFF"/>
                  <w:tcMar>
                    <w:top w:w="0" w:type="dxa"/>
                    <w:left w:w="0" w:type="dxa"/>
                    <w:bottom w:w="0" w:type="dxa"/>
                    <w:right w:w="0" w:type="dxa"/>
                  </w:tcMar>
                  <w:vAlign w:val="center"/>
                </w:tcPr>
                <w:p w14:paraId="50C4B647">
                  <w:pPr>
                    <w:pStyle w:val="31"/>
                    <w:adjustRightInd/>
                    <w:snapToGrid/>
                    <w:spacing w:beforeLines="0" w:afterLines="0" w:line="240" w:lineRule="auto"/>
                    <w:ind w:left="0" w:leftChars="0" w:firstLine="0" w:firstLineChars="0"/>
                    <w:rPr>
                      <w:rFonts w:ascii="Times New Roman"/>
                      <w:szCs w:val="21"/>
                    </w:rPr>
                  </w:pPr>
                  <w:r>
                    <w:rPr>
                      <w:rFonts w:ascii="Times New Roman"/>
                      <w:szCs w:val="21"/>
                    </w:rPr>
                    <w:t>北</w:t>
                  </w:r>
                </w:p>
              </w:tc>
            </w:tr>
            <w:tr w14:paraId="3E164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224" w:type="pct"/>
                  <w:shd w:val="clear" w:color="auto" w:fill="FFFFFF"/>
                  <w:tcMar>
                    <w:top w:w="0" w:type="dxa"/>
                    <w:left w:w="0" w:type="dxa"/>
                    <w:bottom w:w="0" w:type="dxa"/>
                    <w:right w:w="0" w:type="dxa"/>
                  </w:tcMar>
                  <w:vAlign w:val="center"/>
                </w:tcPr>
                <w:p w14:paraId="5EFDDCA9">
                  <w:pPr>
                    <w:pStyle w:val="31"/>
                    <w:adjustRightInd/>
                    <w:snapToGrid/>
                    <w:spacing w:beforeLines="0" w:afterLines="0" w:line="240" w:lineRule="auto"/>
                    <w:ind w:left="0" w:leftChars="0" w:firstLine="0" w:firstLineChars="0"/>
                    <w:rPr>
                      <w:rFonts w:ascii="Times New Roman"/>
                      <w:szCs w:val="21"/>
                    </w:rPr>
                  </w:pPr>
                  <w:r>
                    <w:rPr>
                      <w:rFonts w:ascii="Times New Roman"/>
                      <w:szCs w:val="21"/>
                    </w:rPr>
                    <w:t>1</w:t>
                  </w:r>
                </w:p>
              </w:tc>
              <w:tc>
                <w:tcPr>
                  <w:tcW w:w="163" w:type="pct"/>
                  <w:vMerge w:val="restart"/>
                  <w:shd w:val="clear" w:color="auto" w:fill="FFFFFF"/>
                  <w:tcMar>
                    <w:top w:w="0" w:type="dxa"/>
                    <w:left w:w="0" w:type="dxa"/>
                    <w:bottom w:w="0" w:type="dxa"/>
                    <w:right w:w="0" w:type="dxa"/>
                  </w:tcMar>
                  <w:vAlign w:val="center"/>
                </w:tcPr>
                <w:p w14:paraId="4C0717E2">
                  <w:pPr>
                    <w:pStyle w:val="31"/>
                    <w:adjustRightInd/>
                    <w:snapToGrid/>
                    <w:spacing w:beforeLines="0" w:afterLines="0" w:line="240" w:lineRule="auto"/>
                    <w:ind w:left="0" w:leftChars="0" w:firstLine="0" w:firstLineChars="0"/>
                    <w:rPr>
                      <w:rFonts w:ascii="Times New Roman"/>
                      <w:szCs w:val="21"/>
                    </w:rPr>
                  </w:pPr>
                  <w:r>
                    <w:rPr>
                      <w:rFonts w:ascii="Times New Roman"/>
                      <w:bCs/>
                      <w:szCs w:val="21"/>
                    </w:rPr>
                    <w:t>生产车间</w:t>
                  </w:r>
                </w:p>
              </w:tc>
              <w:tc>
                <w:tcPr>
                  <w:tcW w:w="165" w:type="pct"/>
                  <w:shd w:val="clear" w:color="auto" w:fill="FFFFFF"/>
                  <w:tcMar>
                    <w:top w:w="0" w:type="dxa"/>
                    <w:left w:w="0" w:type="dxa"/>
                    <w:bottom w:w="0" w:type="dxa"/>
                    <w:right w:w="0" w:type="dxa"/>
                  </w:tcMar>
                  <w:vAlign w:val="center"/>
                </w:tcPr>
                <w:p w14:paraId="472C26CC">
                  <w:pPr>
                    <w:jc w:val="center"/>
                    <w:rPr>
                      <w:rFonts w:eastAsiaTheme="majorEastAsia"/>
                      <w:szCs w:val="21"/>
                    </w:rPr>
                  </w:pPr>
                  <w:r>
                    <w:rPr>
                      <w:rFonts w:hint="eastAsia" w:ascii="宋体" w:hAnsi="宋体" w:cs="宋体"/>
                      <w:szCs w:val="21"/>
                    </w:rPr>
                    <w:t>热风炉</w:t>
                  </w:r>
                </w:p>
              </w:tc>
              <w:tc>
                <w:tcPr>
                  <w:tcW w:w="232" w:type="pct"/>
                  <w:shd w:val="clear" w:color="auto" w:fill="FFFFFF"/>
                  <w:tcMar>
                    <w:top w:w="0" w:type="dxa"/>
                    <w:left w:w="0" w:type="dxa"/>
                    <w:bottom w:w="0" w:type="dxa"/>
                    <w:right w:w="0" w:type="dxa"/>
                  </w:tcMar>
                  <w:vAlign w:val="center"/>
                </w:tcPr>
                <w:p w14:paraId="03D936F5">
                  <w:pPr>
                    <w:jc w:val="center"/>
                    <w:rPr>
                      <w:szCs w:val="21"/>
                    </w:rPr>
                  </w:pPr>
                  <w:r>
                    <w:rPr>
                      <w:rFonts w:eastAsia="Arial"/>
                      <w:szCs w:val="21"/>
                    </w:rPr>
                    <w:t>85</w:t>
                  </w:r>
                </w:p>
              </w:tc>
              <w:tc>
                <w:tcPr>
                  <w:tcW w:w="244" w:type="pct"/>
                  <w:shd w:val="clear" w:color="auto" w:fill="FFFFFF"/>
                  <w:tcMar>
                    <w:top w:w="0" w:type="dxa"/>
                    <w:left w:w="0" w:type="dxa"/>
                    <w:bottom w:w="0" w:type="dxa"/>
                    <w:right w:w="0" w:type="dxa"/>
                  </w:tcMar>
                  <w:vAlign w:val="center"/>
                </w:tcPr>
                <w:p w14:paraId="3F1DF61F">
                  <w:pPr>
                    <w:jc w:val="center"/>
                    <w:rPr>
                      <w:szCs w:val="21"/>
                    </w:rPr>
                  </w:pPr>
                  <w:r>
                    <w:rPr>
                      <w:rFonts w:eastAsia="Arial"/>
                      <w:szCs w:val="21"/>
                    </w:rPr>
                    <w:t>-12.1</w:t>
                  </w:r>
                </w:p>
              </w:tc>
              <w:tc>
                <w:tcPr>
                  <w:tcW w:w="242" w:type="pct"/>
                  <w:shd w:val="clear" w:color="auto" w:fill="FFFFFF"/>
                  <w:tcMar>
                    <w:top w:w="0" w:type="dxa"/>
                    <w:left w:w="0" w:type="dxa"/>
                    <w:bottom w:w="0" w:type="dxa"/>
                    <w:right w:w="0" w:type="dxa"/>
                  </w:tcMar>
                  <w:vAlign w:val="center"/>
                </w:tcPr>
                <w:p w14:paraId="7B77E809">
                  <w:pPr>
                    <w:jc w:val="center"/>
                    <w:rPr>
                      <w:szCs w:val="21"/>
                    </w:rPr>
                  </w:pPr>
                  <w:r>
                    <w:rPr>
                      <w:rFonts w:eastAsia="Arial"/>
                      <w:szCs w:val="21"/>
                    </w:rPr>
                    <w:t>-16.5</w:t>
                  </w:r>
                </w:p>
              </w:tc>
              <w:tc>
                <w:tcPr>
                  <w:tcW w:w="148" w:type="pct"/>
                  <w:shd w:val="clear" w:color="auto" w:fill="FFFFFF"/>
                  <w:tcMar>
                    <w:top w:w="0" w:type="dxa"/>
                    <w:left w:w="0" w:type="dxa"/>
                    <w:bottom w:w="0" w:type="dxa"/>
                    <w:right w:w="0" w:type="dxa"/>
                  </w:tcMar>
                  <w:vAlign w:val="center"/>
                </w:tcPr>
                <w:p w14:paraId="420DAD3C">
                  <w:pPr>
                    <w:jc w:val="center"/>
                    <w:rPr>
                      <w:szCs w:val="21"/>
                    </w:rPr>
                  </w:pPr>
                  <w:r>
                    <w:rPr>
                      <w:rFonts w:eastAsia="Arial"/>
                      <w:szCs w:val="21"/>
                    </w:rPr>
                    <w:t>1.2</w:t>
                  </w:r>
                </w:p>
              </w:tc>
              <w:tc>
                <w:tcPr>
                  <w:tcW w:w="205" w:type="pct"/>
                  <w:shd w:val="clear" w:color="auto" w:fill="FFFFFF"/>
                  <w:tcMar>
                    <w:top w:w="0" w:type="dxa"/>
                    <w:left w:w="0" w:type="dxa"/>
                    <w:bottom w:w="0" w:type="dxa"/>
                    <w:right w:w="0" w:type="dxa"/>
                  </w:tcMar>
                  <w:vAlign w:val="center"/>
                </w:tcPr>
                <w:p w14:paraId="21BBBC54">
                  <w:pPr>
                    <w:jc w:val="center"/>
                    <w:rPr>
                      <w:szCs w:val="21"/>
                    </w:rPr>
                  </w:pPr>
                  <w:r>
                    <w:rPr>
                      <w:rFonts w:eastAsia="Arial"/>
                      <w:szCs w:val="21"/>
                    </w:rPr>
                    <w:t>116.1</w:t>
                  </w:r>
                </w:p>
              </w:tc>
              <w:tc>
                <w:tcPr>
                  <w:tcW w:w="151" w:type="pct"/>
                  <w:shd w:val="clear" w:color="auto" w:fill="FFFFFF"/>
                  <w:tcMar>
                    <w:top w:w="0" w:type="dxa"/>
                    <w:left w:w="0" w:type="dxa"/>
                    <w:bottom w:w="0" w:type="dxa"/>
                    <w:right w:w="0" w:type="dxa"/>
                  </w:tcMar>
                  <w:vAlign w:val="center"/>
                </w:tcPr>
                <w:p w14:paraId="3A349AB6">
                  <w:pPr>
                    <w:jc w:val="center"/>
                    <w:rPr>
                      <w:szCs w:val="21"/>
                    </w:rPr>
                  </w:pPr>
                  <w:r>
                    <w:rPr>
                      <w:rFonts w:eastAsia="Arial"/>
                      <w:szCs w:val="21"/>
                    </w:rPr>
                    <w:t>31.4</w:t>
                  </w:r>
                </w:p>
              </w:tc>
              <w:tc>
                <w:tcPr>
                  <w:tcW w:w="205" w:type="pct"/>
                  <w:shd w:val="clear" w:color="auto" w:fill="FFFFFF"/>
                  <w:tcMar>
                    <w:top w:w="0" w:type="dxa"/>
                    <w:left w:w="0" w:type="dxa"/>
                    <w:bottom w:w="0" w:type="dxa"/>
                    <w:right w:w="0" w:type="dxa"/>
                  </w:tcMar>
                  <w:vAlign w:val="center"/>
                </w:tcPr>
                <w:p w14:paraId="0F201ACD">
                  <w:pPr>
                    <w:jc w:val="center"/>
                    <w:rPr>
                      <w:szCs w:val="21"/>
                    </w:rPr>
                  </w:pPr>
                  <w:r>
                    <w:rPr>
                      <w:bCs/>
                      <w:szCs w:val="21"/>
                    </w:rPr>
                    <w:t>27.9</w:t>
                  </w:r>
                </w:p>
              </w:tc>
              <w:tc>
                <w:tcPr>
                  <w:tcW w:w="153" w:type="pct"/>
                  <w:shd w:val="clear" w:color="auto" w:fill="FFFFFF"/>
                  <w:tcMar>
                    <w:top w:w="0" w:type="dxa"/>
                    <w:left w:w="0" w:type="dxa"/>
                    <w:bottom w:w="0" w:type="dxa"/>
                    <w:right w:w="0" w:type="dxa"/>
                  </w:tcMar>
                  <w:vAlign w:val="center"/>
                </w:tcPr>
                <w:p w14:paraId="5DB0E66A">
                  <w:pPr>
                    <w:jc w:val="center"/>
                    <w:rPr>
                      <w:szCs w:val="21"/>
                    </w:rPr>
                  </w:pPr>
                  <w:r>
                    <w:rPr>
                      <w:bCs/>
                      <w:szCs w:val="21"/>
                    </w:rPr>
                    <w:t>80.6</w:t>
                  </w:r>
                </w:p>
              </w:tc>
              <w:tc>
                <w:tcPr>
                  <w:tcW w:w="207" w:type="pct"/>
                  <w:shd w:val="clear" w:color="auto" w:fill="FFFFFF"/>
                  <w:tcMar>
                    <w:top w:w="0" w:type="dxa"/>
                    <w:left w:w="0" w:type="dxa"/>
                    <w:bottom w:w="0" w:type="dxa"/>
                    <w:right w:w="0" w:type="dxa"/>
                  </w:tcMar>
                  <w:vAlign w:val="center"/>
                </w:tcPr>
                <w:p w14:paraId="66845655">
                  <w:pPr>
                    <w:jc w:val="center"/>
                    <w:rPr>
                      <w:szCs w:val="21"/>
                    </w:rPr>
                  </w:pPr>
                  <w:r>
                    <w:rPr>
                      <w:bCs/>
                      <w:szCs w:val="21"/>
                    </w:rPr>
                    <w:t>43.7</w:t>
                  </w:r>
                </w:p>
              </w:tc>
              <w:tc>
                <w:tcPr>
                  <w:tcW w:w="177" w:type="pct"/>
                  <w:shd w:val="clear" w:color="auto" w:fill="FFFFFF"/>
                  <w:tcMar>
                    <w:top w:w="0" w:type="dxa"/>
                    <w:left w:w="0" w:type="dxa"/>
                    <w:bottom w:w="0" w:type="dxa"/>
                    <w:right w:w="0" w:type="dxa"/>
                  </w:tcMar>
                  <w:vAlign w:val="center"/>
                </w:tcPr>
                <w:p w14:paraId="7DF0F54F">
                  <w:pPr>
                    <w:jc w:val="center"/>
                    <w:rPr>
                      <w:szCs w:val="21"/>
                    </w:rPr>
                  </w:pPr>
                  <w:r>
                    <w:rPr>
                      <w:bCs/>
                      <w:szCs w:val="21"/>
                    </w:rPr>
                    <w:t>55.1</w:t>
                  </w:r>
                </w:p>
              </w:tc>
              <w:tc>
                <w:tcPr>
                  <w:tcW w:w="181" w:type="pct"/>
                  <w:shd w:val="clear" w:color="auto" w:fill="FFFFFF"/>
                  <w:tcMar>
                    <w:top w:w="0" w:type="dxa"/>
                    <w:left w:w="0" w:type="dxa"/>
                    <w:bottom w:w="0" w:type="dxa"/>
                    <w:right w:w="0" w:type="dxa"/>
                  </w:tcMar>
                  <w:vAlign w:val="center"/>
                </w:tcPr>
                <w:p w14:paraId="1FFFD043">
                  <w:pPr>
                    <w:jc w:val="center"/>
                    <w:rPr>
                      <w:szCs w:val="21"/>
                    </w:rPr>
                  </w:pPr>
                  <w:r>
                    <w:rPr>
                      <w:bCs/>
                      <w:szCs w:val="21"/>
                    </w:rPr>
                    <w:t>56.1</w:t>
                  </w:r>
                </w:p>
              </w:tc>
              <w:tc>
                <w:tcPr>
                  <w:tcW w:w="210" w:type="pct"/>
                  <w:shd w:val="clear" w:color="auto" w:fill="FFFFFF"/>
                  <w:tcMar>
                    <w:top w:w="0" w:type="dxa"/>
                    <w:left w:w="0" w:type="dxa"/>
                    <w:bottom w:w="0" w:type="dxa"/>
                    <w:right w:w="0" w:type="dxa"/>
                  </w:tcMar>
                  <w:vAlign w:val="center"/>
                </w:tcPr>
                <w:p w14:paraId="33E557DB">
                  <w:pPr>
                    <w:jc w:val="center"/>
                    <w:rPr>
                      <w:szCs w:val="21"/>
                    </w:rPr>
                  </w:pPr>
                  <w:r>
                    <w:rPr>
                      <w:bCs/>
                      <w:szCs w:val="21"/>
                    </w:rPr>
                    <w:t>46.8</w:t>
                  </w:r>
                </w:p>
              </w:tc>
              <w:tc>
                <w:tcPr>
                  <w:tcW w:w="192" w:type="pct"/>
                  <w:shd w:val="clear" w:color="auto" w:fill="FFFFFF"/>
                  <w:tcMar>
                    <w:top w:w="0" w:type="dxa"/>
                    <w:left w:w="0" w:type="dxa"/>
                    <w:bottom w:w="0" w:type="dxa"/>
                    <w:right w:w="0" w:type="dxa"/>
                  </w:tcMar>
                  <w:vAlign w:val="center"/>
                </w:tcPr>
                <w:p w14:paraId="00684B46">
                  <w:pPr>
                    <w:jc w:val="center"/>
                    <w:rPr>
                      <w:szCs w:val="21"/>
                    </w:rPr>
                  </w:pPr>
                  <w:r>
                    <w:rPr>
                      <w:rFonts w:hint="eastAsia"/>
                      <w:bCs/>
                      <w:szCs w:val="21"/>
                    </w:rPr>
                    <w:t>昼间</w:t>
                  </w:r>
                </w:p>
              </w:tc>
              <w:tc>
                <w:tcPr>
                  <w:tcW w:w="220" w:type="pct"/>
                  <w:shd w:val="clear" w:color="auto" w:fill="FFFFFF"/>
                  <w:tcMar>
                    <w:top w:w="0" w:type="dxa"/>
                    <w:left w:w="0" w:type="dxa"/>
                    <w:bottom w:w="0" w:type="dxa"/>
                    <w:right w:w="0" w:type="dxa"/>
                  </w:tcMar>
                  <w:vAlign w:val="center"/>
                </w:tcPr>
                <w:p w14:paraId="3C1C6052">
                  <w:pPr>
                    <w:jc w:val="center"/>
                    <w:rPr>
                      <w:szCs w:val="21"/>
                    </w:rPr>
                  </w:pPr>
                  <w:r>
                    <w:rPr>
                      <w:rFonts w:eastAsia="Arial"/>
                      <w:szCs w:val="21"/>
                    </w:rPr>
                    <w:t>2</w:t>
                  </w:r>
                  <w:r>
                    <w:rPr>
                      <w:szCs w:val="21"/>
                    </w:rPr>
                    <w:t>0</w:t>
                  </w:r>
                  <w:r>
                    <w:rPr>
                      <w:rFonts w:eastAsia="Arial"/>
                      <w:szCs w:val="21"/>
                    </w:rPr>
                    <w:t>.0</w:t>
                  </w:r>
                </w:p>
              </w:tc>
              <w:tc>
                <w:tcPr>
                  <w:tcW w:w="233" w:type="pct"/>
                  <w:shd w:val="clear" w:color="auto" w:fill="FFFFFF"/>
                  <w:tcMar>
                    <w:top w:w="0" w:type="dxa"/>
                    <w:left w:w="0" w:type="dxa"/>
                    <w:bottom w:w="0" w:type="dxa"/>
                    <w:right w:w="0" w:type="dxa"/>
                  </w:tcMar>
                  <w:vAlign w:val="center"/>
                </w:tcPr>
                <w:p w14:paraId="27A803DB">
                  <w:pPr>
                    <w:jc w:val="center"/>
                    <w:rPr>
                      <w:szCs w:val="21"/>
                    </w:rPr>
                  </w:pPr>
                  <w:r>
                    <w:rPr>
                      <w:rFonts w:eastAsia="Arial"/>
                      <w:szCs w:val="21"/>
                    </w:rPr>
                    <w:t>2</w:t>
                  </w:r>
                  <w:r>
                    <w:rPr>
                      <w:szCs w:val="21"/>
                    </w:rPr>
                    <w:t>0</w:t>
                  </w:r>
                  <w:r>
                    <w:rPr>
                      <w:rFonts w:eastAsia="Arial"/>
                      <w:szCs w:val="21"/>
                    </w:rPr>
                    <w:t>.0</w:t>
                  </w:r>
                </w:p>
              </w:tc>
              <w:tc>
                <w:tcPr>
                  <w:tcW w:w="214" w:type="pct"/>
                  <w:shd w:val="clear" w:color="auto" w:fill="FFFFFF"/>
                  <w:tcMar>
                    <w:top w:w="0" w:type="dxa"/>
                    <w:left w:w="0" w:type="dxa"/>
                    <w:bottom w:w="0" w:type="dxa"/>
                    <w:right w:w="0" w:type="dxa"/>
                  </w:tcMar>
                  <w:vAlign w:val="center"/>
                </w:tcPr>
                <w:p w14:paraId="73A8B728">
                  <w:pPr>
                    <w:jc w:val="center"/>
                    <w:rPr>
                      <w:szCs w:val="21"/>
                    </w:rPr>
                  </w:pPr>
                  <w:r>
                    <w:rPr>
                      <w:rFonts w:eastAsia="Arial"/>
                      <w:szCs w:val="21"/>
                    </w:rPr>
                    <w:t>2</w:t>
                  </w:r>
                  <w:r>
                    <w:rPr>
                      <w:szCs w:val="21"/>
                    </w:rPr>
                    <w:t>0</w:t>
                  </w:r>
                  <w:r>
                    <w:rPr>
                      <w:rFonts w:eastAsia="Arial"/>
                      <w:szCs w:val="21"/>
                    </w:rPr>
                    <w:t>.0</w:t>
                  </w:r>
                </w:p>
              </w:tc>
              <w:tc>
                <w:tcPr>
                  <w:tcW w:w="215" w:type="pct"/>
                  <w:shd w:val="clear" w:color="auto" w:fill="FFFFFF"/>
                  <w:tcMar>
                    <w:top w:w="0" w:type="dxa"/>
                    <w:left w:w="0" w:type="dxa"/>
                    <w:bottom w:w="0" w:type="dxa"/>
                    <w:right w:w="0" w:type="dxa"/>
                  </w:tcMar>
                  <w:vAlign w:val="center"/>
                </w:tcPr>
                <w:p w14:paraId="2A876821">
                  <w:pPr>
                    <w:jc w:val="center"/>
                    <w:rPr>
                      <w:szCs w:val="21"/>
                    </w:rPr>
                  </w:pPr>
                  <w:r>
                    <w:rPr>
                      <w:rFonts w:eastAsia="Arial"/>
                      <w:szCs w:val="21"/>
                    </w:rPr>
                    <w:t>2</w:t>
                  </w:r>
                  <w:r>
                    <w:rPr>
                      <w:szCs w:val="21"/>
                    </w:rPr>
                    <w:t>0</w:t>
                  </w:r>
                  <w:r>
                    <w:rPr>
                      <w:rFonts w:eastAsia="Arial"/>
                      <w:szCs w:val="21"/>
                    </w:rPr>
                    <w:t>.0</w:t>
                  </w:r>
                </w:p>
              </w:tc>
              <w:tc>
                <w:tcPr>
                  <w:tcW w:w="240" w:type="pct"/>
                  <w:shd w:val="clear" w:color="auto" w:fill="FFFFFF"/>
                  <w:tcMar>
                    <w:top w:w="0" w:type="dxa"/>
                    <w:left w:w="0" w:type="dxa"/>
                    <w:bottom w:w="0" w:type="dxa"/>
                    <w:right w:w="0" w:type="dxa"/>
                  </w:tcMar>
                  <w:vAlign w:val="center"/>
                </w:tcPr>
                <w:p w14:paraId="27B2715D">
                  <w:pPr>
                    <w:jc w:val="center"/>
                    <w:rPr>
                      <w:szCs w:val="21"/>
                    </w:rPr>
                  </w:pPr>
                  <w:r>
                    <w:rPr>
                      <w:bCs/>
                      <w:szCs w:val="21"/>
                    </w:rPr>
                    <w:t>23.7</w:t>
                  </w:r>
                </w:p>
              </w:tc>
              <w:tc>
                <w:tcPr>
                  <w:tcW w:w="274" w:type="pct"/>
                  <w:shd w:val="clear" w:color="auto" w:fill="FFFFFF"/>
                  <w:tcMar>
                    <w:top w:w="0" w:type="dxa"/>
                    <w:left w:w="0" w:type="dxa"/>
                    <w:bottom w:w="0" w:type="dxa"/>
                    <w:right w:w="0" w:type="dxa"/>
                  </w:tcMar>
                  <w:vAlign w:val="center"/>
                </w:tcPr>
                <w:p w14:paraId="03B3B92E">
                  <w:pPr>
                    <w:jc w:val="center"/>
                    <w:rPr>
                      <w:szCs w:val="21"/>
                    </w:rPr>
                  </w:pPr>
                  <w:r>
                    <w:rPr>
                      <w:bCs/>
                      <w:szCs w:val="21"/>
                    </w:rPr>
                    <w:t>35.1</w:t>
                  </w:r>
                </w:p>
              </w:tc>
              <w:tc>
                <w:tcPr>
                  <w:tcW w:w="247" w:type="pct"/>
                  <w:shd w:val="clear" w:color="auto" w:fill="FFFFFF"/>
                  <w:tcMar>
                    <w:top w:w="0" w:type="dxa"/>
                    <w:left w:w="0" w:type="dxa"/>
                    <w:bottom w:w="0" w:type="dxa"/>
                    <w:right w:w="0" w:type="dxa"/>
                  </w:tcMar>
                  <w:vAlign w:val="center"/>
                </w:tcPr>
                <w:p w14:paraId="20D3DCA0">
                  <w:pPr>
                    <w:jc w:val="center"/>
                    <w:rPr>
                      <w:szCs w:val="21"/>
                    </w:rPr>
                  </w:pPr>
                  <w:r>
                    <w:rPr>
                      <w:bCs/>
                      <w:szCs w:val="21"/>
                    </w:rPr>
                    <w:t>36.1</w:t>
                  </w:r>
                </w:p>
              </w:tc>
              <w:tc>
                <w:tcPr>
                  <w:tcW w:w="253" w:type="pct"/>
                  <w:shd w:val="clear" w:color="auto" w:fill="FFFFFF"/>
                  <w:tcMar>
                    <w:top w:w="0" w:type="dxa"/>
                    <w:left w:w="0" w:type="dxa"/>
                    <w:bottom w:w="0" w:type="dxa"/>
                    <w:right w:w="0" w:type="dxa"/>
                  </w:tcMar>
                  <w:vAlign w:val="center"/>
                </w:tcPr>
                <w:p w14:paraId="7AC3A177">
                  <w:pPr>
                    <w:jc w:val="center"/>
                    <w:rPr>
                      <w:szCs w:val="21"/>
                    </w:rPr>
                  </w:pPr>
                  <w:r>
                    <w:rPr>
                      <w:bCs/>
                      <w:szCs w:val="21"/>
                    </w:rPr>
                    <w:t>26.8</w:t>
                  </w:r>
                </w:p>
              </w:tc>
            </w:tr>
            <w:tr w14:paraId="0E02B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88" w:hRule="atLeast"/>
                <w:jc w:val="center"/>
              </w:trPr>
              <w:tc>
                <w:tcPr>
                  <w:tcW w:w="224" w:type="pct"/>
                  <w:shd w:val="clear" w:color="auto" w:fill="FFFFFF"/>
                  <w:tcMar>
                    <w:top w:w="0" w:type="dxa"/>
                    <w:left w:w="0" w:type="dxa"/>
                    <w:bottom w:w="0" w:type="dxa"/>
                    <w:right w:w="0" w:type="dxa"/>
                  </w:tcMar>
                  <w:vAlign w:val="center"/>
                </w:tcPr>
                <w:p w14:paraId="78964761">
                  <w:pPr>
                    <w:pStyle w:val="31"/>
                    <w:adjustRightInd/>
                    <w:snapToGrid/>
                    <w:spacing w:beforeLines="0" w:afterLines="0" w:line="240" w:lineRule="auto"/>
                    <w:ind w:left="0" w:leftChars="0" w:firstLine="0" w:firstLineChars="0"/>
                    <w:rPr>
                      <w:rFonts w:ascii="Times New Roman"/>
                      <w:szCs w:val="21"/>
                    </w:rPr>
                  </w:pPr>
                  <w:r>
                    <w:rPr>
                      <w:rFonts w:ascii="Times New Roman"/>
                      <w:szCs w:val="21"/>
                    </w:rPr>
                    <w:t>2</w:t>
                  </w:r>
                </w:p>
              </w:tc>
              <w:tc>
                <w:tcPr>
                  <w:tcW w:w="163" w:type="pct"/>
                  <w:vMerge w:val="continue"/>
                  <w:shd w:val="clear" w:color="auto" w:fill="FFFFFF"/>
                  <w:tcMar>
                    <w:top w:w="0" w:type="dxa"/>
                    <w:left w:w="0" w:type="dxa"/>
                    <w:bottom w:w="0" w:type="dxa"/>
                    <w:right w:w="0" w:type="dxa"/>
                  </w:tcMar>
                  <w:vAlign w:val="center"/>
                </w:tcPr>
                <w:p w14:paraId="383D50C5">
                  <w:pPr>
                    <w:pStyle w:val="31"/>
                    <w:adjustRightInd/>
                    <w:snapToGrid/>
                    <w:spacing w:beforeLines="0" w:afterLines="0" w:line="240" w:lineRule="auto"/>
                    <w:ind w:left="0" w:leftChars="0" w:firstLine="0" w:firstLineChars="0"/>
                    <w:rPr>
                      <w:rFonts w:ascii="Times New Roman"/>
                      <w:szCs w:val="21"/>
                    </w:rPr>
                  </w:pPr>
                </w:p>
              </w:tc>
              <w:tc>
                <w:tcPr>
                  <w:tcW w:w="165" w:type="pct"/>
                  <w:shd w:val="clear" w:color="auto" w:fill="FFFFFF"/>
                  <w:tcMar>
                    <w:top w:w="0" w:type="dxa"/>
                    <w:left w:w="0" w:type="dxa"/>
                    <w:bottom w:w="0" w:type="dxa"/>
                    <w:right w:w="0" w:type="dxa"/>
                  </w:tcMar>
                  <w:vAlign w:val="center"/>
                </w:tcPr>
                <w:p w14:paraId="23506B36">
                  <w:pPr>
                    <w:jc w:val="center"/>
                    <w:rPr>
                      <w:rFonts w:eastAsiaTheme="majorEastAsia"/>
                      <w:szCs w:val="21"/>
                    </w:rPr>
                  </w:pPr>
                  <w:r>
                    <w:rPr>
                      <w:rFonts w:hint="eastAsia" w:ascii="宋体" w:hAnsi="宋体" w:cs="宋体"/>
                      <w:szCs w:val="21"/>
                    </w:rPr>
                    <w:t>烘干塔</w:t>
                  </w:r>
                </w:p>
              </w:tc>
              <w:tc>
                <w:tcPr>
                  <w:tcW w:w="232" w:type="pct"/>
                  <w:shd w:val="clear" w:color="auto" w:fill="FFFFFF"/>
                  <w:tcMar>
                    <w:top w:w="0" w:type="dxa"/>
                    <w:left w:w="0" w:type="dxa"/>
                    <w:bottom w:w="0" w:type="dxa"/>
                    <w:right w:w="0" w:type="dxa"/>
                  </w:tcMar>
                  <w:vAlign w:val="center"/>
                </w:tcPr>
                <w:p w14:paraId="5F2DC1B2">
                  <w:pPr>
                    <w:jc w:val="center"/>
                    <w:rPr>
                      <w:szCs w:val="21"/>
                    </w:rPr>
                  </w:pPr>
                  <w:r>
                    <w:rPr>
                      <w:rFonts w:eastAsia="Arial"/>
                      <w:szCs w:val="21"/>
                    </w:rPr>
                    <w:t>85</w:t>
                  </w:r>
                </w:p>
              </w:tc>
              <w:tc>
                <w:tcPr>
                  <w:tcW w:w="244" w:type="pct"/>
                  <w:shd w:val="clear" w:color="auto" w:fill="FFFFFF"/>
                  <w:tcMar>
                    <w:top w:w="0" w:type="dxa"/>
                    <w:left w:w="0" w:type="dxa"/>
                    <w:bottom w:w="0" w:type="dxa"/>
                    <w:right w:w="0" w:type="dxa"/>
                  </w:tcMar>
                  <w:vAlign w:val="center"/>
                </w:tcPr>
                <w:p w14:paraId="796CA3A6">
                  <w:pPr>
                    <w:jc w:val="center"/>
                    <w:rPr>
                      <w:szCs w:val="21"/>
                    </w:rPr>
                  </w:pPr>
                  <w:r>
                    <w:rPr>
                      <w:rFonts w:eastAsia="Arial"/>
                      <w:szCs w:val="21"/>
                    </w:rPr>
                    <w:t>-4.1</w:t>
                  </w:r>
                </w:p>
              </w:tc>
              <w:tc>
                <w:tcPr>
                  <w:tcW w:w="242" w:type="pct"/>
                  <w:shd w:val="clear" w:color="auto" w:fill="FFFFFF"/>
                  <w:tcMar>
                    <w:top w:w="0" w:type="dxa"/>
                    <w:left w:w="0" w:type="dxa"/>
                    <w:bottom w:w="0" w:type="dxa"/>
                    <w:right w:w="0" w:type="dxa"/>
                  </w:tcMar>
                  <w:vAlign w:val="center"/>
                </w:tcPr>
                <w:p w14:paraId="57CF1D46">
                  <w:pPr>
                    <w:jc w:val="center"/>
                    <w:rPr>
                      <w:szCs w:val="21"/>
                    </w:rPr>
                  </w:pPr>
                  <w:r>
                    <w:rPr>
                      <w:rFonts w:eastAsia="Arial"/>
                      <w:szCs w:val="21"/>
                    </w:rPr>
                    <w:t>-23.6</w:t>
                  </w:r>
                </w:p>
              </w:tc>
              <w:tc>
                <w:tcPr>
                  <w:tcW w:w="148" w:type="pct"/>
                  <w:shd w:val="clear" w:color="auto" w:fill="FFFFFF"/>
                  <w:tcMar>
                    <w:top w:w="0" w:type="dxa"/>
                    <w:left w:w="0" w:type="dxa"/>
                    <w:bottom w:w="0" w:type="dxa"/>
                    <w:right w:w="0" w:type="dxa"/>
                  </w:tcMar>
                  <w:vAlign w:val="center"/>
                </w:tcPr>
                <w:p w14:paraId="3FA2FDF1">
                  <w:pPr>
                    <w:jc w:val="center"/>
                    <w:rPr>
                      <w:szCs w:val="21"/>
                    </w:rPr>
                  </w:pPr>
                  <w:r>
                    <w:rPr>
                      <w:rFonts w:eastAsia="Arial"/>
                      <w:szCs w:val="21"/>
                    </w:rPr>
                    <w:t>1.2</w:t>
                  </w:r>
                </w:p>
              </w:tc>
              <w:tc>
                <w:tcPr>
                  <w:tcW w:w="205" w:type="pct"/>
                  <w:shd w:val="clear" w:color="auto" w:fill="FFFFFF"/>
                  <w:tcMar>
                    <w:top w:w="0" w:type="dxa"/>
                    <w:left w:w="0" w:type="dxa"/>
                    <w:bottom w:w="0" w:type="dxa"/>
                    <w:right w:w="0" w:type="dxa"/>
                  </w:tcMar>
                  <w:vAlign w:val="center"/>
                </w:tcPr>
                <w:p w14:paraId="6AF4D586">
                  <w:pPr>
                    <w:jc w:val="center"/>
                    <w:rPr>
                      <w:szCs w:val="21"/>
                    </w:rPr>
                  </w:pPr>
                  <w:r>
                    <w:rPr>
                      <w:rFonts w:eastAsia="Arial"/>
                      <w:szCs w:val="21"/>
                    </w:rPr>
                    <w:t>106.6</w:t>
                  </w:r>
                </w:p>
              </w:tc>
              <w:tc>
                <w:tcPr>
                  <w:tcW w:w="151" w:type="pct"/>
                  <w:shd w:val="clear" w:color="auto" w:fill="FFFFFF"/>
                  <w:tcMar>
                    <w:top w:w="0" w:type="dxa"/>
                    <w:left w:w="0" w:type="dxa"/>
                    <w:bottom w:w="0" w:type="dxa"/>
                    <w:right w:w="0" w:type="dxa"/>
                  </w:tcMar>
                  <w:vAlign w:val="center"/>
                </w:tcPr>
                <w:p w14:paraId="4DB060C0">
                  <w:pPr>
                    <w:jc w:val="center"/>
                    <w:rPr>
                      <w:szCs w:val="21"/>
                    </w:rPr>
                  </w:pPr>
                  <w:r>
                    <w:rPr>
                      <w:rFonts w:eastAsia="Arial"/>
                      <w:szCs w:val="21"/>
                    </w:rPr>
                    <w:t>26.2</w:t>
                  </w:r>
                </w:p>
              </w:tc>
              <w:tc>
                <w:tcPr>
                  <w:tcW w:w="205" w:type="pct"/>
                  <w:shd w:val="clear" w:color="auto" w:fill="FFFFFF"/>
                  <w:tcMar>
                    <w:top w:w="0" w:type="dxa"/>
                    <w:left w:w="0" w:type="dxa"/>
                    <w:bottom w:w="0" w:type="dxa"/>
                    <w:right w:w="0" w:type="dxa"/>
                  </w:tcMar>
                  <w:vAlign w:val="center"/>
                </w:tcPr>
                <w:p w14:paraId="027C9553">
                  <w:pPr>
                    <w:jc w:val="center"/>
                    <w:rPr>
                      <w:szCs w:val="21"/>
                    </w:rPr>
                  </w:pPr>
                  <w:r>
                    <w:rPr>
                      <w:bCs/>
                      <w:szCs w:val="21"/>
                    </w:rPr>
                    <w:t>37.4</w:t>
                  </w:r>
                </w:p>
              </w:tc>
              <w:tc>
                <w:tcPr>
                  <w:tcW w:w="153" w:type="pct"/>
                  <w:shd w:val="clear" w:color="auto" w:fill="FFFFFF"/>
                  <w:tcMar>
                    <w:top w:w="0" w:type="dxa"/>
                    <w:left w:w="0" w:type="dxa"/>
                    <w:bottom w:w="0" w:type="dxa"/>
                    <w:right w:w="0" w:type="dxa"/>
                  </w:tcMar>
                  <w:vAlign w:val="center"/>
                </w:tcPr>
                <w:p w14:paraId="00793007">
                  <w:pPr>
                    <w:jc w:val="center"/>
                    <w:rPr>
                      <w:szCs w:val="21"/>
                    </w:rPr>
                  </w:pPr>
                  <w:r>
                    <w:rPr>
                      <w:bCs/>
                      <w:szCs w:val="21"/>
                    </w:rPr>
                    <w:t>85.8</w:t>
                  </w:r>
                </w:p>
              </w:tc>
              <w:tc>
                <w:tcPr>
                  <w:tcW w:w="207" w:type="pct"/>
                  <w:shd w:val="clear" w:color="auto" w:fill="FFFFFF"/>
                  <w:tcMar>
                    <w:top w:w="0" w:type="dxa"/>
                    <w:left w:w="0" w:type="dxa"/>
                    <w:bottom w:w="0" w:type="dxa"/>
                    <w:right w:w="0" w:type="dxa"/>
                  </w:tcMar>
                  <w:vAlign w:val="center"/>
                </w:tcPr>
                <w:p w14:paraId="443429BA">
                  <w:pPr>
                    <w:jc w:val="center"/>
                    <w:rPr>
                      <w:szCs w:val="21"/>
                    </w:rPr>
                  </w:pPr>
                  <w:r>
                    <w:rPr>
                      <w:bCs/>
                      <w:szCs w:val="21"/>
                    </w:rPr>
                    <w:t>44.4</w:t>
                  </w:r>
                </w:p>
              </w:tc>
              <w:tc>
                <w:tcPr>
                  <w:tcW w:w="177" w:type="pct"/>
                  <w:shd w:val="clear" w:color="auto" w:fill="FFFFFF"/>
                  <w:tcMar>
                    <w:top w:w="0" w:type="dxa"/>
                    <w:left w:w="0" w:type="dxa"/>
                    <w:bottom w:w="0" w:type="dxa"/>
                    <w:right w:w="0" w:type="dxa"/>
                  </w:tcMar>
                  <w:vAlign w:val="center"/>
                </w:tcPr>
                <w:p w14:paraId="2031A35A">
                  <w:pPr>
                    <w:jc w:val="center"/>
                    <w:rPr>
                      <w:szCs w:val="21"/>
                    </w:rPr>
                  </w:pPr>
                  <w:r>
                    <w:rPr>
                      <w:bCs/>
                      <w:szCs w:val="21"/>
                    </w:rPr>
                    <w:t>56.6</w:t>
                  </w:r>
                </w:p>
              </w:tc>
              <w:tc>
                <w:tcPr>
                  <w:tcW w:w="181" w:type="pct"/>
                  <w:shd w:val="clear" w:color="auto" w:fill="FFFFFF"/>
                  <w:tcMar>
                    <w:top w:w="0" w:type="dxa"/>
                    <w:left w:w="0" w:type="dxa"/>
                    <w:bottom w:w="0" w:type="dxa"/>
                    <w:right w:w="0" w:type="dxa"/>
                  </w:tcMar>
                  <w:vAlign w:val="center"/>
                </w:tcPr>
                <w:p w14:paraId="2B5471D0">
                  <w:pPr>
                    <w:jc w:val="center"/>
                    <w:rPr>
                      <w:szCs w:val="21"/>
                    </w:rPr>
                  </w:pPr>
                  <w:r>
                    <w:rPr>
                      <w:bCs/>
                      <w:szCs w:val="21"/>
                    </w:rPr>
                    <w:t>53.5</w:t>
                  </w:r>
                </w:p>
              </w:tc>
              <w:tc>
                <w:tcPr>
                  <w:tcW w:w="210" w:type="pct"/>
                  <w:shd w:val="clear" w:color="auto" w:fill="FFFFFF"/>
                  <w:tcMar>
                    <w:top w:w="0" w:type="dxa"/>
                    <w:left w:w="0" w:type="dxa"/>
                    <w:bottom w:w="0" w:type="dxa"/>
                    <w:right w:w="0" w:type="dxa"/>
                  </w:tcMar>
                  <w:vAlign w:val="center"/>
                </w:tcPr>
                <w:p w14:paraId="619F024A">
                  <w:pPr>
                    <w:jc w:val="center"/>
                    <w:rPr>
                      <w:szCs w:val="21"/>
                    </w:rPr>
                  </w:pPr>
                  <w:r>
                    <w:rPr>
                      <w:bCs/>
                      <w:szCs w:val="21"/>
                    </w:rPr>
                    <w:t>46.3</w:t>
                  </w:r>
                </w:p>
              </w:tc>
              <w:tc>
                <w:tcPr>
                  <w:tcW w:w="192" w:type="pct"/>
                  <w:shd w:val="clear" w:color="auto" w:fill="FFFFFF"/>
                  <w:tcMar>
                    <w:top w:w="0" w:type="dxa"/>
                    <w:left w:w="0" w:type="dxa"/>
                    <w:bottom w:w="0" w:type="dxa"/>
                    <w:right w:w="0" w:type="dxa"/>
                  </w:tcMar>
                  <w:vAlign w:val="center"/>
                </w:tcPr>
                <w:p w14:paraId="2C27C6E5">
                  <w:pPr>
                    <w:jc w:val="center"/>
                    <w:rPr>
                      <w:szCs w:val="21"/>
                    </w:rPr>
                  </w:pPr>
                  <w:r>
                    <w:rPr>
                      <w:rFonts w:hint="eastAsia"/>
                      <w:bCs/>
                      <w:szCs w:val="21"/>
                    </w:rPr>
                    <w:t>昼间</w:t>
                  </w:r>
                </w:p>
              </w:tc>
              <w:tc>
                <w:tcPr>
                  <w:tcW w:w="220" w:type="pct"/>
                  <w:shd w:val="clear" w:color="auto" w:fill="FFFFFF"/>
                  <w:tcMar>
                    <w:top w:w="0" w:type="dxa"/>
                    <w:left w:w="0" w:type="dxa"/>
                    <w:bottom w:w="0" w:type="dxa"/>
                    <w:right w:w="0" w:type="dxa"/>
                  </w:tcMar>
                  <w:vAlign w:val="center"/>
                </w:tcPr>
                <w:p w14:paraId="0D061C41">
                  <w:pPr>
                    <w:jc w:val="center"/>
                    <w:rPr>
                      <w:szCs w:val="21"/>
                    </w:rPr>
                  </w:pPr>
                  <w:r>
                    <w:rPr>
                      <w:rFonts w:eastAsia="Arial"/>
                      <w:szCs w:val="21"/>
                    </w:rPr>
                    <w:t>2</w:t>
                  </w:r>
                  <w:r>
                    <w:rPr>
                      <w:szCs w:val="21"/>
                    </w:rPr>
                    <w:t>0</w:t>
                  </w:r>
                  <w:r>
                    <w:rPr>
                      <w:rFonts w:eastAsia="Arial"/>
                      <w:szCs w:val="21"/>
                    </w:rPr>
                    <w:t>.0</w:t>
                  </w:r>
                </w:p>
              </w:tc>
              <w:tc>
                <w:tcPr>
                  <w:tcW w:w="233" w:type="pct"/>
                  <w:shd w:val="clear" w:color="auto" w:fill="FFFFFF"/>
                  <w:tcMar>
                    <w:top w:w="0" w:type="dxa"/>
                    <w:left w:w="0" w:type="dxa"/>
                    <w:bottom w:w="0" w:type="dxa"/>
                    <w:right w:w="0" w:type="dxa"/>
                  </w:tcMar>
                  <w:vAlign w:val="center"/>
                </w:tcPr>
                <w:p w14:paraId="3E76B404">
                  <w:pPr>
                    <w:jc w:val="center"/>
                    <w:rPr>
                      <w:szCs w:val="21"/>
                    </w:rPr>
                  </w:pPr>
                  <w:r>
                    <w:rPr>
                      <w:rFonts w:eastAsia="Arial"/>
                      <w:szCs w:val="21"/>
                    </w:rPr>
                    <w:t>2</w:t>
                  </w:r>
                  <w:r>
                    <w:rPr>
                      <w:szCs w:val="21"/>
                    </w:rPr>
                    <w:t>0</w:t>
                  </w:r>
                  <w:r>
                    <w:rPr>
                      <w:rFonts w:eastAsia="Arial"/>
                      <w:szCs w:val="21"/>
                    </w:rPr>
                    <w:t>.0</w:t>
                  </w:r>
                </w:p>
              </w:tc>
              <w:tc>
                <w:tcPr>
                  <w:tcW w:w="214" w:type="pct"/>
                  <w:shd w:val="clear" w:color="auto" w:fill="FFFFFF"/>
                  <w:tcMar>
                    <w:top w:w="0" w:type="dxa"/>
                    <w:left w:w="0" w:type="dxa"/>
                    <w:bottom w:w="0" w:type="dxa"/>
                    <w:right w:w="0" w:type="dxa"/>
                  </w:tcMar>
                  <w:vAlign w:val="center"/>
                </w:tcPr>
                <w:p w14:paraId="6AE4E574">
                  <w:pPr>
                    <w:jc w:val="center"/>
                    <w:rPr>
                      <w:szCs w:val="21"/>
                    </w:rPr>
                  </w:pPr>
                  <w:r>
                    <w:rPr>
                      <w:rFonts w:eastAsia="Arial"/>
                      <w:szCs w:val="21"/>
                    </w:rPr>
                    <w:t>2</w:t>
                  </w:r>
                  <w:r>
                    <w:rPr>
                      <w:szCs w:val="21"/>
                    </w:rPr>
                    <w:t>0</w:t>
                  </w:r>
                  <w:r>
                    <w:rPr>
                      <w:rFonts w:eastAsia="Arial"/>
                      <w:szCs w:val="21"/>
                    </w:rPr>
                    <w:t>.0</w:t>
                  </w:r>
                </w:p>
              </w:tc>
              <w:tc>
                <w:tcPr>
                  <w:tcW w:w="215" w:type="pct"/>
                  <w:shd w:val="clear" w:color="auto" w:fill="FFFFFF"/>
                  <w:tcMar>
                    <w:top w:w="0" w:type="dxa"/>
                    <w:left w:w="0" w:type="dxa"/>
                    <w:bottom w:w="0" w:type="dxa"/>
                    <w:right w:w="0" w:type="dxa"/>
                  </w:tcMar>
                  <w:vAlign w:val="center"/>
                </w:tcPr>
                <w:p w14:paraId="6A437179">
                  <w:pPr>
                    <w:jc w:val="center"/>
                    <w:rPr>
                      <w:szCs w:val="21"/>
                    </w:rPr>
                  </w:pPr>
                  <w:r>
                    <w:rPr>
                      <w:rFonts w:eastAsia="Arial"/>
                      <w:szCs w:val="21"/>
                    </w:rPr>
                    <w:t>2</w:t>
                  </w:r>
                  <w:r>
                    <w:rPr>
                      <w:szCs w:val="21"/>
                    </w:rPr>
                    <w:t>0</w:t>
                  </w:r>
                  <w:r>
                    <w:rPr>
                      <w:rFonts w:eastAsia="Arial"/>
                      <w:szCs w:val="21"/>
                    </w:rPr>
                    <w:t>.0</w:t>
                  </w:r>
                </w:p>
              </w:tc>
              <w:tc>
                <w:tcPr>
                  <w:tcW w:w="240" w:type="pct"/>
                  <w:shd w:val="clear" w:color="auto" w:fill="FFFFFF"/>
                  <w:tcMar>
                    <w:top w:w="0" w:type="dxa"/>
                    <w:left w:w="0" w:type="dxa"/>
                    <w:bottom w:w="0" w:type="dxa"/>
                    <w:right w:w="0" w:type="dxa"/>
                  </w:tcMar>
                  <w:vAlign w:val="center"/>
                </w:tcPr>
                <w:p w14:paraId="3865232C">
                  <w:pPr>
                    <w:jc w:val="center"/>
                    <w:rPr>
                      <w:szCs w:val="21"/>
                    </w:rPr>
                  </w:pPr>
                  <w:r>
                    <w:rPr>
                      <w:bCs/>
                      <w:szCs w:val="21"/>
                    </w:rPr>
                    <w:t>24.4</w:t>
                  </w:r>
                </w:p>
              </w:tc>
              <w:tc>
                <w:tcPr>
                  <w:tcW w:w="274" w:type="pct"/>
                  <w:shd w:val="clear" w:color="auto" w:fill="FFFFFF"/>
                  <w:tcMar>
                    <w:top w:w="0" w:type="dxa"/>
                    <w:left w:w="0" w:type="dxa"/>
                    <w:bottom w:w="0" w:type="dxa"/>
                    <w:right w:w="0" w:type="dxa"/>
                  </w:tcMar>
                  <w:vAlign w:val="center"/>
                </w:tcPr>
                <w:p w14:paraId="1B031E43">
                  <w:pPr>
                    <w:jc w:val="center"/>
                    <w:rPr>
                      <w:szCs w:val="21"/>
                    </w:rPr>
                  </w:pPr>
                  <w:r>
                    <w:rPr>
                      <w:bCs/>
                      <w:szCs w:val="21"/>
                    </w:rPr>
                    <w:t>36.6</w:t>
                  </w:r>
                </w:p>
              </w:tc>
              <w:tc>
                <w:tcPr>
                  <w:tcW w:w="247" w:type="pct"/>
                  <w:shd w:val="clear" w:color="auto" w:fill="FFFFFF"/>
                  <w:tcMar>
                    <w:top w:w="0" w:type="dxa"/>
                    <w:left w:w="0" w:type="dxa"/>
                    <w:bottom w:w="0" w:type="dxa"/>
                    <w:right w:w="0" w:type="dxa"/>
                  </w:tcMar>
                  <w:vAlign w:val="center"/>
                </w:tcPr>
                <w:p w14:paraId="61ACAA8F">
                  <w:pPr>
                    <w:jc w:val="center"/>
                    <w:rPr>
                      <w:szCs w:val="21"/>
                    </w:rPr>
                  </w:pPr>
                  <w:r>
                    <w:rPr>
                      <w:bCs/>
                      <w:szCs w:val="21"/>
                    </w:rPr>
                    <w:t>33.5</w:t>
                  </w:r>
                </w:p>
              </w:tc>
              <w:tc>
                <w:tcPr>
                  <w:tcW w:w="253" w:type="pct"/>
                  <w:shd w:val="clear" w:color="auto" w:fill="FFFFFF"/>
                  <w:tcMar>
                    <w:top w:w="0" w:type="dxa"/>
                    <w:left w:w="0" w:type="dxa"/>
                    <w:bottom w:w="0" w:type="dxa"/>
                    <w:right w:w="0" w:type="dxa"/>
                  </w:tcMar>
                  <w:vAlign w:val="center"/>
                </w:tcPr>
                <w:p w14:paraId="38180EF6">
                  <w:pPr>
                    <w:jc w:val="center"/>
                    <w:rPr>
                      <w:szCs w:val="21"/>
                    </w:rPr>
                  </w:pPr>
                  <w:r>
                    <w:rPr>
                      <w:bCs/>
                      <w:szCs w:val="21"/>
                    </w:rPr>
                    <w:t>26.3</w:t>
                  </w:r>
                </w:p>
              </w:tc>
            </w:tr>
            <w:tr w14:paraId="340A9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88" w:hRule="atLeast"/>
                <w:jc w:val="center"/>
              </w:trPr>
              <w:tc>
                <w:tcPr>
                  <w:tcW w:w="224" w:type="pct"/>
                  <w:shd w:val="clear" w:color="auto" w:fill="FFFFFF"/>
                  <w:tcMar>
                    <w:top w:w="0" w:type="dxa"/>
                    <w:left w:w="0" w:type="dxa"/>
                    <w:bottom w:w="0" w:type="dxa"/>
                    <w:right w:w="0" w:type="dxa"/>
                  </w:tcMar>
                  <w:vAlign w:val="center"/>
                </w:tcPr>
                <w:p w14:paraId="189EE8EF">
                  <w:pPr>
                    <w:pStyle w:val="31"/>
                    <w:adjustRightInd/>
                    <w:snapToGrid/>
                    <w:spacing w:beforeLines="0" w:afterLines="0" w:line="240" w:lineRule="auto"/>
                    <w:ind w:left="0" w:leftChars="0" w:firstLine="0" w:firstLineChars="0"/>
                    <w:rPr>
                      <w:rFonts w:ascii="Times New Roman"/>
                      <w:szCs w:val="21"/>
                    </w:rPr>
                  </w:pPr>
                  <w:r>
                    <w:rPr>
                      <w:rFonts w:hint="eastAsia" w:ascii="Times New Roman"/>
                      <w:szCs w:val="21"/>
                    </w:rPr>
                    <w:t>3</w:t>
                  </w:r>
                </w:p>
              </w:tc>
              <w:tc>
                <w:tcPr>
                  <w:tcW w:w="163" w:type="pct"/>
                  <w:vMerge w:val="continue"/>
                  <w:shd w:val="clear" w:color="auto" w:fill="FFFFFF"/>
                  <w:tcMar>
                    <w:top w:w="0" w:type="dxa"/>
                    <w:left w:w="0" w:type="dxa"/>
                    <w:bottom w:w="0" w:type="dxa"/>
                    <w:right w:w="0" w:type="dxa"/>
                  </w:tcMar>
                  <w:vAlign w:val="center"/>
                </w:tcPr>
                <w:p w14:paraId="235ADA8A">
                  <w:pPr>
                    <w:pStyle w:val="31"/>
                    <w:adjustRightInd/>
                    <w:snapToGrid/>
                    <w:spacing w:beforeLines="0" w:afterLines="0" w:line="240" w:lineRule="auto"/>
                    <w:ind w:left="0" w:leftChars="0" w:firstLine="0" w:firstLineChars="0"/>
                    <w:rPr>
                      <w:rFonts w:ascii="Times New Roman"/>
                      <w:szCs w:val="21"/>
                    </w:rPr>
                  </w:pPr>
                </w:p>
              </w:tc>
              <w:tc>
                <w:tcPr>
                  <w:tcW w:w="165" w:type="pct"/>
                  <w:shd w:val="clear" w:color="auto" w:fill="FFFFFF"/>
                  <w:tcMar>
                    <w:top w:w="0" w:type="dxa"/>
                    <w:left w:w="0" w:type="dxa"/>
                    <w:bottom w:w="0" w:type="dxa"/>
                    <w:right w:w="0" w:type="dxa"/>
                  </w:tcMar>
                  <w:vAlign w:val="center"/>
                </w:tcPr>
                <w:p w14:paraId="6F7E9F12">
                  <w:pPr>
                    <w:jc w:val="center"/>
                    <w:rPr>
                      <w:rFonts w:eastAsia="Arial"/>
                      <w:szCs w:val="21"/>
                    </w:rPr>
                  </w:pPr>
                  <w:r>
                    <w:rPr>
                      <w:rFonts w:hint="eastAsia" w:ascii="宋体" w:hAnsi="宋体" w:cs="宋体"/>
                      <w:szCs w:val="21"/>
                    </w:rPr>
                    <w:t>筛选机</w:t>
                  </w:r>
                </w:p>
              </w:tc>
              <w:tc>
                <w:tcPr>
                  <w:tcW w:w="232" w:type="pct"/>
                  <w:shd w:val="clear" w:color="auto" w:fill="FFFFFF"/>
                  <w:tcMar>
                    <w:top w:w="0" w:type="dxa"/>
                    <w:left w:w="0" w:type="dxa"/>
                    <w:bottom w:w="0" w:type="dxa"/>
                    <w:right w:w="0" w:type="dxa"/>
                  </w:tcMar>
                  <w:vAlign w:val="center"/>
                </w:tcPr>
                <w:p w14:paraId="67A9658E">
                  <w:pPr>
                    <w:jc w:val="center"/>
                    <w:rPr>
                      <w:szCs w:val="21"/>
                    </w:rPr>
                  </w:pPr>
                  <w:r>
                    <w:rPr>
                      <w:rFonts w:eastAsia="Arial"/>
                      <w:szCs w:val="21"/>
                    </w:rPr>
                    <w:t>80</w:t>
                  </w:r>
                </w:p>
              </w:tc>
              <w:tc>
                <w:tcPr>
                  <w:tcW w:w="244" w:type="pct"/>
                  <w:shd w:val="clear" w:color="auto" w:fill="FFFFFF"/>
                  <w:tcMar>
                    <w:top w:w="0" w:type="dxa"/>
                    <w:left w:w="0" w:type="dxa"/>
                    <w:bottom w:w="0" w:type="dxa"/>
                    <w:right w:w="0" w:type="dxa"/>
                  </w:tcMar>
                  <w:vAlign w:val="center"/>
                </w:tcPr>
                <w:p w14:paraId="68A9E7B4">
                  <w:pPr>
                    <w:jc w:val="center"/>
                    <w:rPr>
                      <w:rFonts w:eastAsia="Arial"/>
                      <w:szCs w:val="21"/>
                    </w:rPr>
                  </w:pPr>
                  <w:r>
                    <w:rPr>
                      <w:rFonts w:eastAsia="Arial"/>
                      <w:szCs w:val="21"/>
                    </w:rPr>
                    <w:t>73.8</w:t>
                  </w:r>
                </w:p>
              </w:tc>
              <w:tc>
                <w:tcPr>
                  <w:tcW w:w="242" w:type="pct"/>
                  <w:shd w:val="clear" w:color="auto" w:fill="FFFFFF"/>
                  <w:tcMar>
                    <w:top w:w="0" w:type="dxa"/>
                    <w:left w:w="0" w:type="dxa"/>
                    <w:bottom w:w="0" w:type="dxa"/>
                    <w:right w:w="0" w:type="dxa"/>
                  </w:tcMar>
                  <w:vAlign w:val="center"/>
                </w:tcPr>
                <w:p w14:paraId="592ACC8A">
                  <w:pPr>
                    <w:jc w:val="center"/>
                    <w:rPr>
                      <w:rFonts w:eastAsia="Arial"/>
                      <w:szCs w:val="21"/>
                    </w:rPr>
                  </w:pPr>
                  <w:r>
                    <w:rPr>
                      <w:rFonts w:eastAsia="Arial"/>
                      <w:szCs w:val="21"/>
                    </w:rPr>
                    <w:t>-30</w:t>
                  </w:r>
                </w:p>
              </w:tc>
              <w:tc>
                <w:tcPr>
                  <w:tcW w:w="148" w:type="pct"/>
                  <w:shd w:val="clear" w:color="auto" w:fill="FFFFFF"/>
                  <w:tcMar>
                    <w:top w:w="0" w:type="dxa"/>
                    <w:left w:w="0" w:type="dxa"/>
                    <w:bottom w:w="0" w:type="dxa"/>
                    <w:right w:w="0" w:type="dxa"/>
                  </w:tcMar>
                  <w:vAlign w:val="center"/>
                </w:tcPr>
                <w:p w14:paraId="59F5B667">
                  <w:pPr>
                    <w:jc w:val="center"/>
                    <w:rPr>
                      <w:rFonts w:eastAsia="Arial"/>
                      <w:szCs w:val="21"/>
                    </w:rPr>
                  </w:pPr>
                  <w:r>
                    <w:rPr>
                      <w:rFonts w:eastAsia="Arial"/>
                      <w:szCs w:val="21"/>
                    </w:rPr>
                    <w:t>1.2</w:t>
                  </w:r>
                </w:p>
              </w:tc>
              <w:tc>
                <w:tcPr>
                  <w:tcW w:w="205" w:type="pct"/>
                  <w:shd w:val="clear" w:color="auto" w:fill="FFFFFF"/>
                  <w:tcMar>
                    <w:top w:w="0" w:type="dxa"/>
                    <w:left w:w="0" w:type="dxa"/>
                    <w:bottom w:w="0" w:type="dxa"/>
                    <w:right w:w="0" w:type="dxa"/>
                  </w:tcMar>
                  <w:vAlign w:val="center"/>
                </w:tcPr>
                <w:p w14:paraId="42637951">
                  <w:pPr>
                    <w:jc w:val="center"/>
                    <w:rPr>
                      <w:rFonts w:eastAsia="Arial"/>
                      <w:szCs w:val="21"/>
                    </w:rPr>
                  </w:pPr>
                  <w:r>
                    <w:rPr>
                      <w:rFonts w:eastAsia="Arial"/>
                      <w:szCs w:val="21"/>
                    </w:rPr>
                    <w:t>29.6</w:t>
                  </w:r>
                </w:p>
              </w:tc>
              <w:tc>
                <w:tcPr>
                  <w:tcW w:w="151" w:type="pct"/>
                  <w:shd w:val="clear" w:color="auto" w:fill="FFFFFF"/>
                  <w:tcMar>
                    <w:top w:w="0" w:type="dxa"/>
                    <w:left w:w="0" w:type="dxa"/>
                    <w:bottom w:w="0" w:type="dxa"/>
                    <w:right w:w="0" w:type="dxa"/>
                  </w:tcMar>
                  <w:vAlign w:val="center"/>
                </w:tcPr>
                <w:p w14:paraId="7D31E17A">
                  <w:pPr>
                    <w:jc w:val="center"/>
                    <w:rPr>
                      <w:rFonts w:eastAsia="Arial"/>
                      <w:szCs w:val="21"/>
                    </w:rPr>
                  </w:pPr>
                  <w:r>
                    <w:rPr>
                      <w:rFonts w:eastAsia="Arial"/>
                      <w:szCs w:val="21"/>
                    </w:rPr>
                    <w:t>36.9</w:t>
                  </w:r>
                </w:p>
              </w:tc>
              <w:tc>
                <w:tcPr>
                  <w:tcW w:w="205" w:type="pct"/>
                  <w:shd w:val="clear" w:color="auto" w:fill="FFFFFF"/>
                  <w:tcMar>
                    <w:top w:w="0" w:type="dxa"/>
                    <w:left w:w="0" w:type="dxa"/>
                    <w:bottom w:w="0" w:type="dxa"/>
                    <w:right w:w="0" w:type="dxa"/>
                  </w:tcMar>
                  <w:vAlign w:val="center"/>
                </w:tcPr>
                <w:p w14:paraId="7DA40957">
                  <w:pPr>
                    <w:jc w:val="center"/>
                    <w:rPr>
                      <w:szCs w:val="21"/>
                    </w:rPr>
                  </w:pPr>
                  <w:r>
                    <w:rPr>
                      <w:bCs/>
                      <w:szCs w:val="21"/>
                    </w:rPr>
                    <w:t>114.4</w:t>
                  </w:r>
                </w:p>
              </w:tc>
              <w:tc>
                <w:tcPr>
                  <w:tcW w:w="153" w:type="pct"/>
                  <w:shd w:val="clear" w:color="auto" w:fill="FFFFFF"/>
                  <w:tcMar>
                    <w:top w:w="0" w:type="dxa"/>
                    <w:left w:w="0" w:type="dxa"/>
                    <w:bottom w:w="0" w:type="dxa"/>
                    <w:right w:w="0" w:type="dxa"/>
                  </w:tcMar>
                  <w:vAlign w:val="center"/>
                </w:tcPr>
                <w:p w14:paraId="190750E9">
                  <w:pPr>
                    <w:jc w:val="center"/>
                    <w:rPr>
                      <w:szCs w:val="21"/>
                    </w:rPr>
                  </w:pPr>
                  <w:r>
                    <w:rPr>
                      <w:bCs/>
                      <w:szCs w:val="21"/>
                    </w:rPr>
                    <w:t>75.1</w:t>
                  </w:r>
                </w:p>
              </w:tc>
              <w:tc>
                <w:tcPr>
                  <w:tcW w:w="207" w:type="pct"/>
                  <w:shd w:val="clear" w:color="auto" w:fill="FFFFFF"/>
                  <w:tcMar>
                    <w:top w:w="0" w:type="dxa"/>
                    <w:left w:w="0" w:type="dxa"/>
                    <w:bottom w:w="0" w:type="dxa"/>
                    <w:right w:w="0" w:type="dxa"/>
                  </w:tcMar>
                  <w:vAlign w:val="center"/>
                </w:tcPr>
                <w:p w14:paraId="48B7A953">
                  <w:pPr>
                    <w:jc w:val="center"/>
                    <w:rPr>
                      <w:szCs w:val="21"/>
                    </w:rPr>
                  </w:pPr>
                  <w:r>
                    <w:rPr>
                      <w:rFonts w:hint="eastAsia"/>
                      <w:szCs w:val="21"/>
                    </w:rPr>
                    <w:t>50.5</w:t>
                  </w:r>
                </w:p>
              </w:tc>
              <w:tc>
                <w:tcPr>
                  <w:tcW w:w="177" w:type="pct"/>
                  <w:shd w:val="clear" w:color="auto" w:fill="FFFFFF"/>
                  <w:tcMar>
                    <w:top w:w="0" w:type="dxa"/>
                    <w:left w:w="0" w:type="dxa"/>
                    <w:bottom w:w="0" w:type="dxa"/>
                    <w:right w:w="0" w:type="dxa"/>
                  </w:tcMar>
                  <w:vAlign w:val="center"/>
                </w:tcPr>
                <w:p w14:paraId="48E7B536">
                  <w:pPr>
                    <w:jc w:val="center"/>
                    <w:rPr>
                      <w:szCs w:val="21"/>
                    </w:rPr>
                  </w:pPr>
                  <w:r>
                    <w:rPr>
                      <w:rFonts w:hint="eastAsia"/>
                      <w:szCs w:val="21"/>
                    </w:rPr>
                    <w:t>48.6</w:t>
                  </w:r>
                </w:p>
              </w:tc>
              <w:tc>
                <w:tcPr>
                  <w:tcW w:w="181" w:type="pct"/>
                  <w:shd w:val="clear" w:color="auto" w:fill="FFFFFF"/>
                  <w:tcMar>
                    <w:top w:w="0" w:type="dxa"/>
                    <w:left w:w="0" w:type="dxa"/>
                    <w:bottom w:w="0" w:type="dxa"/>
                    <w:right w:w="0" w:type="dxa"/>
                  </w:tcMar>
                  <w:vAlign w:val="center"/>
                </w:tcPr>
                <w:p w14:paraId="7C1FAD35">
                  <w:pPr>
                    <w:jc w:val="center"/>
                    <w:rPr>
                      <w:szCs w:val="21"/>
                    </w:rPr>
                  </w:pPr>
                  <w:r>
                    <w:rPr>
                      <w:rFonts w:hint="eastAsia"/>
                      <w:szCs w:val="21"/>
                    </w:rPr>
                    <w:t>38.8</w:t>
                  </w:r>
                </w:p>
              </w:tc>
              <w:tc>
                <w:tcPr>
                  <w:tcW w:w="210" w:type="pct"/>
                  <w:shd w:val="clear" w:color="auto" w:fill="FFFFFF"/>
                  <w:tcMar>
                    <w:top w:w="0" w:type="dxa"/>
                    <w:left w:w="0" w:type="dxa"/>
                    <w:bottom w:w="0" w:type="dxa"/>
                    <w:right w:w="0" w:type="dxa"/>
                  </w:tcMar>
                  <w:vAlign w:val="center"/>
                </w:tcPr>
                <w:p w14:paraId="6644CD3A">
                  <w:pPr>
                    <w:jc w:val="center"/>
                    <w:rPr>
                      <w:szCs w:val="21"/>
                    </w:rPr>
                  </w:pPr>
                  <w:r>
                    <w:rPr>
                      <w:rFonts w:hint="eastAsia"/>
                      <w:szCs w:val="21"/>
                    </w:rPr>
                    <w:t>42.4</w:t>
                  </w:r>
                </w:p>
              </w:tc>
              <w:tc>
                <w:tcPr>
                  <w:tcW w:w="192" w:type="pct"/>
                  <w:shd w:val="clear" w:color="auto" w:fill="FFFFFF"/>
                  <w:tcMar>
                    <w:top w:w="0" w:type="dxa"/>
                    <w:left w:w="0" w:type="dxa"/>
                    <w:bottom w:w="0" w:type="dxa"/>
                    <w:right w:w="0" w:type="dxa"/>
                  </w:tcMar>
                  <w:vAlign w:val="center"/>
                </w:tcPr>
                <w:p w14:paraId="78821763">
                  <w:pPr>
                    <w:jc w:val="center"/>
                    <w:rPr>
                      <w:szCs w:val="21"/>
                    </w:rPr>
                  </w:pPr>
                  <w:r>
                    <w:rPr>
                      <w:rFonts w:hint="eastAsia"/>
                      <w:bCs/>
                      <w:szCs w:val="21"/>
                    </w:rPr>
                    <w:t>昼间</w:t>
                  </w:r>
                </w:p>
              </w:tc>
              <w:tc>
                <w:tcPr>
                  <w:tcW w:w="220" w:type="pct"/>
                  <w:shd w:val="clear" w:color="auto" w:fill="FFFFFF"/>
                  <w:tcMar>
                    <w:top w:w="0" w:type="dxa"/>
                    <w:left w:w="0" w:type="dxa"/>
                    <w:bottom w:w="0" w:type="dxa"/>
                    <w:right w:w="0" w:type="dxa"/>
                  </w:tcMar>
                  <w:vAlign w:val="center"/>
                </w:tcPr>
                <w:p w14:paraId="31C831B1">
                  <w:pPr>
                    <w:jc w:val="center"/>
                    <w:rPr>
                      <w:rFonts w:eastAsia="Arial"/>
                      <w:szCs w:val="21"/>
                    </w:rPr>
                  </w:pPr>
                  <w:r>
                    <w:rPr>
                      <w:rFonts w:eastAsia="Arial"/>
                      <w:szCs w:val="21"/>
                    </w:rPr>
                    <w:t>2</w:t>
                  </w:r>
                  <w:r>
                    <w:rPr>
                      <w:szCs w:val="21"/>
                    </w:rPr>
                    <w:t>0</w:t>
                  </w:r>
                  <w:r>
                    <w:rPr>
                      <w:rFonts w:eastAsia="Arial"/>
                      <w:szCs w:val="21"/>
                    </w:rPr>
                    <w:t>.0</w:t>
                  </w:r>
                </w:p>
              </w:tc>
              <w:tc>
                <w:tcPr>
                  <w:tcW w:w="233" w:type="pct"/>
                  <w:shd w:val="clear" w:color="auto" w:fill="FFFFFF"/>
                  <w:tcMar>
                    <w:top w:w="0" w:type="dxa"/>
                    <w:left w:w="0" w:type="dxa"/>
                    <w:bottom w:w="0" w:type="dxa"/>
                    <w:right w:w="0" w:type="dxa"/>
                  </w:tcMar>
                  <w:vAlign w:val="center"/>
                </w:tcPr>
                <w:p w14:paraId="68272F89">
                  <w:pPr>
                    <w:jc w:val="center"/>
                    <w:rPr>
                      <w:rFonts w:eastAsia="Arial"/>
                      <w:szCs w:val="21"/>
                    </w:rPr>
                  </w:pPr>
                  <w:r>
                    <w:rPr>
                      <w:rFonts w:eastAsia="Arial"/>
                      <w:szCs w:val="21"/>
                    </w:rPr>
                    <w:t>2</w:t>
                  </w:r>
                  <w:r>
                    <w:rPr>
                      <w:szCs w:val="21"/>
                    </w:rPr>
                    <w:t>0</w:t>
                  </w:r>
                  <w:r>
                    <w:rPr>
                      <w:rFonts w:eastAsia="Arial"/>
                      <w:szCs w:val="21"/>
                    </w:rPr>
                    <w:t>.0</w:t>
                  </w:r>
                </w:p>
              </w:tc>
              <w:tc>
                <w:tcPr>
                  <w:tcW w:w="214" w:type="pct"/>
                  <w:shd w:val="clear" w:color="auto" w:fill="FFFFFF"/>
                  <w:tcMar>
                    <w:top w:w="0" w:type="dxa"/>
                    <w:left w:w="0" w:type="dxa"/>
                    <w:bottom w:w="0" w:type="dxa"/>
                    <w:right w:w="0" w:type="dxa"/>
                  </w:tcMar>
                  <w:vAlign w:val="center"/>
                </w:tcPr>
                <w:p w14:paraId="42578B9D">
                  <w:pPr>
                    <w:jc w:val="center"/>
                    <w:rPr>
                      <w:rFonts w:eastAsia="Arial"/>
                      <w:szCs w:val="21"/>
                    </w:rPr>
                  </w:pPr>
                  <w:r>
                    <w:rPr>
                      <w:rFonts w:eastAsia="Arial"/>
                      <w:szCs w:val="21"/>
                    </w:rPr>
                    <w:t>2</w:t>
                  </w:r>
                  <w:r>
                    <w:rPr>
                      <w:szCs w:val="21"/>
                    </w:rPr>
                    <w:t>0</w:t>
                  </w:r>
                  <w:r>
                    <w:rPr>
                      <w:rFonts w:eastAsia="Arial"/>
                      <w:szCs w:val="21"/>
                    </w:rPr>
                    <w:t>.0</w:t>
                  </w:r>
                </w:p>
              </w:tc>
              <w:tc>
                <w:tcPr>
                  <w:tcW w:w="215" w:type="pct"/>
                  <w:shd w:val="clear" w:color="auto" w:fill="FFFFFF"/>
                  <w:tcMar>
                    <w:top w:w="0" w:type="dxa"/>
                    <w:left w:w="0" w:type="dxa"/>
                    <w:bottom w:w="0" w:type="dxa"/>
                    <w:right w:w="0" w:type="dxa"/>
                  </w:tcMar>
                  <w:vAlign w:val="center"/>
                </w:tcPr>
                <w:p w14:paraId="3393CEA4">
                  <w:pPr>
                    <w:jc w:val="center"/>
                    <w:rPr>
                      <w:rFonts w:eastAsia="Arial"/>
                      <w:szCs w:val="21"/>
                    </w:rPr>
                  </w:pPr>
                  <w:r>
                    <w:rPr>
                      <w:rFonts w:eastAsia="Arial"/>
                      <w:szCs w:val="21"/>
                    </w:rPr>
                    <w:t>2</w:t>
                  </w:r>
                  <w:r>
                    <w:rPr>
                      <w:szCs w:val="21"/>
                    </w:rPr>
                    <w:t>0</w:t>
                  </w:r>
                  <w:r>
                    <w:rPr>
                      <w:rFonts w:eastAsia="Arial"/>
                      <w:szCs w:val="21"/>
                    </w:rPr>
                    <w:t>.0</w:t>
                  </w:r>
                </w:p>
              </w:tc>
              <w:tc>
                <w:tcPr>
                  <w:tcW w:w="240" w:type="pct"/>
                  <w:shd w:val="clear" w:color="auto" w:fill="FFFFFF"/>
                  <w:tcMar>
                    <w:top w:w="0" w:type="dxa"/>
                    <w:left w:w="0" w:type="dxa"/>
                    <w:bottom w:w="0" w:type="dxa"/>
                    <w:right w:w="0" w:type="dxa"/>
                  </w:tcMar>
                  <w:vAlign w:val="center"/>
                </w:tcPr>
                <w:p w14:paraId="486B43CB">
                  <w:pPr>
                    <w:jc w:val="center"/>
                    <w:rPr>
                      <w:rFonts w:eastAsia="Arial"/>
                      <w:szCs w:val="21"/>
                    </w:rPr>
                  </w:pPr>
                  <w:r>
                    <w:rPr>
                      <w:rFonts w:hint="eastAsia"/>
                      <w:szCs w:val="21"/>
                    </w:rPr>
                    <w:t>30.5</w:t>
                  </w:r>
                </w:p>
              </w:tc>
              <w:tc>
                <w:tcPr>
                  <w:tcW w:w="274" w:type="pct"/>
                  <w:shd w:val="clear" w:color="auto" w:fill="FFFFFF"/>
                  <w:tcMar>
                    <w:top w:w="0" w:type="dxa"/>
                    <w:left w:w="0" w:type="dxa"/>
                    <w:bottom w:w="0" w:type="dxa"/>
                    <w:right w:w="0" w:type="dxa"/>
                  </w:tcMar>
                  <w:vAlign w:val="center"/>
                </w:tcPr>
                <w:p w14:paraId="561490E5">
                  <w:pPr>
                    <w:jc w:val="center"/>
                    <w:rPr>
                      <w:rFonts w:eastAsia="Arial"/>
                      <w:szCs w:val="21"/>
                    </w:rPr>
                  </w:pPr>
                  <w:r>
                    <w:rPr>
                      <w:rFonts w:hint="eastAsia"/>
                      <w:szCs w:val="21"/>
                    </w:rPr>
                    <w:t>28.6</w:t>
                  </w:r>
                </w:p>
              </w:tc>
              <w:tc>
                <w:tcPr>
                  <w:tcW w:w="247" w:type="pct"/>
                  <w:shd w:val="clear" w:color="auto" w:fill="FFFFFF"/>
                  <w:tcMar>
                    <w:top w:w="0" w:type="dxa"/>
                    <w:left w:w="0" w:type="dxa"/>
                    <w:bottom w:w="0" w:type="dxa"/>
                    <w:right w:w="0" w:type="dxa"/>
                  </w:tcMar>
                  <w:vAlign w:val="center"/>
                </w:tcPr>
                <w:p w14:paraId="6E078C56">
                  <w:pPr>
                    <w:jc w:val="center"/>
                    <w:rPr>
                      <w:rFonts w:eastAsia="Arial"/>
                      <w:szCs w:val="21"/>
                    </w:rPr>
                  </w:pPr>
                  <w:r>
                    <w:rPr>
                      <w:rFonts w:hint="eastAsia"/>
                      <w:szCs w:val="21"/>
                    </w:rPr>
                    <w:t>18.8</w:t>
                  </w:r>
                </w:p>
              </w:tc>
              <w:tc>
                <w:tcPr>
                  <w:tcW w:w="253" w:type="pct"/>
                  <w:shd w:val="clear" w:color="auto" w:fill="FFFFFF"/>
                  <w:tcMar>
                    <w:top w:w="0" w:type="dxa"/>
                    <w:left w:w="0" w:type="dxa"/>
                    <w:bottom w:w="0" w:type="dxa"/>
                    <w:right w:w="0" w:type="dxa"/>
                  </w:tcMar>
                  <w:vAlign w:val="center"/>
                </w:tcPr>
                <w:p w14:paraId="329FB5B4">
                  <w:pPr>
                    <w:jc w:val="center"/>
                    <w:rPr>
                      <w:rFonts w:eastAsia="Arial"/>
                      <w:szCs w:val="21"/>
                    </w:rPr>
                  </w:pPr>
                  <w:r>
                    <w:rPr>
                      <w:rFonts w:hint="eastAsia"/>
                      <w:szCs w:val="21"/>
                    </w:rPr>
                    <w:t>22.4</w:t>
                  </w:r>
                </w:p>
              </w:tc>
            </w:tr>
            <w:tr w14:paraId="5B7CB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88" w:hRule="atLeast"/>
                <w:jc w:val="center"/>
              </w:trPr>
              <w:tc>
                <w:tcPr>
                  <w:tcW w:w="224" w:type="pct"/>
                  <w:shd w:val="clear" w:color="auto" w:fill="FFFFFF"/>
                  <w:tcMar>
                    <w:top w:w="0" w:type="dxa"/>
                    <w:left w:w="0" w:type="dxa"/>
                    <w:bottom w:w="0" w:type="dxa"/>
                    <w:right w:w="0" w:type="dxa"/>
                  </w:tcMar>
                  <w:vAlign w:val="center"/>
                </w:tcPr>
                <w:p w14:paraId="15E82178">
                  <w:pPr>
                    <w:pStyle w:val="31"/>
                    <w:adjustRightInd/>
                    <w:snapToGrid/>
                    <w:spacing w:beforeLines="0" w:afterLines="0" w:line="240" w:lineRule="auto"/>
                    <w:ind w:left="0" w:leftChars="0" w:firstLine="0" w:firstLineChars="0"/>
                    <w:rPr>
                      <w:rFonts w:ascii="Times New Roman"/>
                      <w:szCs w:val="21"/>
                    </w:rPr>
                  </w:pPr>
                  <w:r>
                    <w:rPr>
                      <w:rFonts w:hint="eastAsia" w:ascii="Times New Roman"/>
                      <w:szCs w:val="21"/>
                    </w:rPr>
                    <w:t>4</w:t>
                  </w:r>
                </w:p>
              </w:tc>
              <w:tc>
                <w:tcPr>
                  <w:tcW w:w="163" w:type="pct"/>
                  <w:vMerge w:val="continue"/>
                  <w:shd w:val="clear" w:color="auto" w:fill="FFFFFF"/>
                  <w:tcMar>
                    <w:top w:w="0" w:type="dxa"/>
                    <w:left w:w="0" w:type="dxa"/>
                    <w:bottom w:w="0" w:type="dxa"/>
                    <w:right w:w="0" w:type="dxa"/>
                  </w:tcMar>
                  <w:vAlign w:val="center"/>
                </w:tcPr>
                <w:p w14:paraId="0558B85D">
                  <w:pPr>
                    <w:pStyle w:val="31"/>
                    <w:adjustRightInd/>
                    <w:snapToGrid/>
                    <w:spacing w:beforeLines="0" w:afterLines="0" w:line="240" w:lineRule="auto"/>
                    <w:ind w:left="0" w:leftChars="0" w:firstLine="0" w:firstLineChars="0"/>
                    <w:rPr>
                      <w:rFonts w:ascii="Times New Roman"/>
                      <w:szCs w:val="21"/>
                    </w:rPr>
                  </w:pPr>
                </w:p>
              </w:tc>
              <w:tc>
                <w:tcPr>
                  <w:tcW w:w="165" w:type="pct"/>
                  <w:shd w:val="clear" w:color="auto" w:fill="FFFFFF"/>
                  <w:tcMar>
                    <w:top w:w="0" w:type="dxa"/>
                    <w:left w:w="0" w:type="dxa"/>
                    <w:bottom w:w="0" w:type="dxa"/>
                    <w:right w:w="0" w:type="dxa"/>
                  </w:tcMar>
                  <w:vAlign w:val="center"/>
                </w:tcPr>
                <w:p w14:paraId="37A56B01">
                  <w:pPr>
                    <w:jc w:val="center"/>
                    <w:rPr>
                      <w:rFonts w:eastAsia="Arial"/>
                      <w:szCs w:val="21"/>
                    </w:rPr>
                  </w:pPr>
                  <w:r>
                    <w:rPr>
                      <w:rFonts w:hint="eastAsia" w:ascii="宋体" w:hAnsi="宋体" w:cs="宋体"/>
                      <w:szCs w:val="21"/>
                    </w:rPr>
                    <w:t>筛选机</w:t>
                  </w:r>
                </w:p>
              </w:tc>
              <w:tc>
                <w:tcPr>
                  <w:tcW w:w="232" w:type="pct"/>
                  <w:shd w:val="clear" w:color="auto" w:fill="FFFFFF"/>
                  <w:tcMar>
                    <w:top w:w="0" w:type="dxa"/>
                    <w:left w:w="0" w:type="dxa"/>
                    <w:bottom w:w="0" w:type="dxa"/>
                    <w:right w:w="0" w:type="dxa"/>
                  </w:tcMar>
                  <w:vAlign w:val="center"/>
                </w:tcPr>
                <w:p w14:paraId="6006C713">
                  <w:pPr>
                    <w:jc w:val="center"/>
                    <w:rPr>
                      <w:szCs w:val="21"/>
                    </w:rPr>
                  </w:pPr>
                  <w:r>
                    <w:rPr>
                      <w:rFonts w:eastAsia="Arial"/>
                      <w:szCs w:val="21"/>
                    </w:rPr>
                    <w:t>80</w:t>
                  </w:r>
                </w:p>
              </w:tc>
              <w:tc>
                <w:tcPr>
                  <w:tcW w:w="244" w:type="pct"/>
                  <w:shd w:val="clear" w:color="auto" w:fill="FFFFFF"/>
                  <w:tcMar>
                    <w:top w:w="0" w:type="dxa"/>
                    <w:left w:w="0" w:type="dxa"/>
                    <w:bottom w:w="0" w:type="dxa"/>
                    <w:right w:w="0" w:type="dxa"/>
                  </w:tcMar>
                  <w:vAlign w:val="center"/>
                </w:tcPr>
                <w:p w14:paraId="7F100934">
                  <w:pPr>
                    <w:jc w:val="center"/>
                    <w:rPr>
                      <w:rFonts w:eastAsia="Arial"/>
                      <w:szCs w:val="21"/>
                    </w:rPr>
                  </w:pPr>
                  <w:r>
                    <w:rPr>
                      <w:rFonts w:eastAsia="Arial"/>
                      <w:szCs w:val="21"/>
                    </w:rPr>
                    <w:t>84.5</w:t>
                  </w:r>
                </w:p>
              </w:tc>
              <w:tc>
                <w:tcPr>
                  <w:tcW w:w="242" w:type="pct"/>
                  <w:shd w:val="clear" w:color="auto" w:fill="FFFFFF"/>
                  <w:tcMar>
                    <w:top w:w="0" w:type="dxa"/>
                    <w:left w:w="0" w:type="dxa"/>
                    <w:bottom w:w="0" w:type="dxa"/>
                    <w:right w:w="0" w:type="dxa"/>
                  </w:tcMar>
                  <w:vAlign w:val="center"/>
                </w:tcPr>
                <w:p w14:paraId="253DFFE9">
                  <w:pPr>
                    <w:jc w:val="center"/>
                    <w:rPr>
                      <w:rFonts w:eastAsia="Arial"/>
                      <w:szCs w:val="21"/>
                    </w:rPr>
                  </w:pPr>
                  <w:r>
                    <w:rPr>
                      <w:rFonts w:eastAsia="Arial"/>
                      <w:szCs w:val="21"/>
                    </w:rPr>
                    <w:t>-17.3</w:t>
                  </w:r>
                </w:p>
              </w:tc>
              <w:tc>
                <w:tcPr>
                  <w:tcW w:w="148" w:type="pct"/>
                  <w:shd w:val="clear" w:color="auto" w:fill="FFFFFF"/>
                  <w:tcMar>
                    <w:top w:w="0" w:type="dxa"/>
                    <w:left w:w="0" w:type="dxa"/>
                    <w:bottom w:w="0" w:type="dxa"/>
                    <w:right w:w="0" w:type="dxa"/>
                  </w:tcMar>
                  <w:vAlign w:val="center"/>
                </w:tcPr>
                <w:p w14:paraId="568F5666">
                  <w:pPr>
                    <w:jc w:val="center"/>
                    <w:rPr>
                      <w:rFonts w:eastAsia="Arial"/>
                      <w:szCs w:val="21"/>
                    </w:rPr>
                  </w:pPr>
                  <w:r>
                    <w:rPr>
                      <w:rFonts w:eastAsia="Arial"/>
                      <w:szCs w:val="21"/>
                    </w:rPr>
                    <w:t>1.2</w:t>
                  </w:r>
                </w:p>
              </w:tc>
              <w:tc>
                <w:tcPr>
                  <w:tcW w:w="205" w:type="pct"/>
                  <w:shd w:val="clear" w:color="auto" w:fill="FFFFFF"/>
                  <w:tcMar>
                    <w:top w:w="0" w:type="dxa"/>
                    <w:left w:w="0" w:type="dxa"/>
                    <w:bottom w:w="0" w:type="dxa"/>
                    <w:right w:w="0" w:type="dxa"/>
                  </w:tcMar>
                  <w:vAlign w:val="center"/>
                </w:tcPr>
                <w:p w14:paraId="53F26F34">
                  <w:pPr>
                    <w:jc w:val="center"/>
                    <w:rPr>
                      <w:rFonts w:eastAsia="Arial"/>
                      <w:szCs w:val="21"/>
                    </w:rPr>
                  </w:pPr>
                  <w:r>
                    <w:rPr>
                      <w:rFonts w:eastAsia="Arial"/>
                      <w:szCs w:val="21"/>
                    </w:rPr>
                    <w:t>22.5</w:t>
                  </w:r>
                </w:p>
              </w:tc>
              <w:tc>
                <w:tcPr>
                  <w:tcW w:w="151" w:type="pct"/>
                  <w:shd w:val="clear" w:color="auto" w:fill="FFFFFF"/>
                  <w:tcMar>
                    <w:top w:w="0" w:type="dxa"/>
                    <w:left w:w="0" w:type="dxa"/>
                    <w:bottom w:w="0" w:type="dxa"/>
                    <w:right w:w="0" w:type="dxa"/>
                  </w:tcMar>
                  <w:vAlign w:val="center"/>
                </w:tcPr>
                <w:p w14:paraId="16A10A2A">
                  <w:pPr>
                    <w:jc w:val="center"/>
                    <w:rPr>
                      <w:rFonts w:eastAsia="Arial"/>
                      <w:szCs w:val="21"/>
                    </w:rPr>
                  </w:pPr>
                  <w:r>
                    <w:rPr>
                      <w:rFonts w:eastAsia="Arial"/>
                      <w:szCs w:val="21"/>
                    </w:rPr>
                    <w:t>51.6</w:t>
                  </w:r>
                </w:p>
              </w:tc>
              <w:tc>
                <w:tcPr>
                  <w:tcW w:w="205" w:type="pct"/>
                  <w:shd w:val="clear" w:color="auto" w:fill="FFFFFF"/>
                  <w:tcMar>
                    <w:top w:w="0" w:type="dxa"/>
                    <w:left w:w="0" w:type="dxa"/>
                    <w:bottom w:w="0" w:type="dxa"/>
                    <w:right w:w="0" w:type="dxa"/>
                  </w:tcMar>
                  <w:vAlign w:val="center"/>
                </w:tcPr>
                <w:p w14:paraId="3B0FB2CB">
                  <w:pPr>
                    <w:jc w:val="center"/>
                    <w:rPr>
                      <w:szCs w:val="21"/>
                    </w:rPr>
                  </w:pPr>
                  <w:r>
                    <w:rPr>
                      <w:bCs/>
                      <w:szCs w:val="21"/>
                    </w:rPr>
                    <w:t>121.5</w:t>
                  </w:r>
                </w:p>
              </w:tc>
              <w:tc>
                <w:tcPr>
                  <w:tcW w:w="153" w:type="pct"/>
                  <w:shd w:val="clear" w:color="auto" w:fill="FFFFFF"/>
                  <w:tcMar>
                    <w:top w:w="0" w:type="dxa"/>
                    <w:left w:w="0" w:type="dxa"/>
                    <w:bottom w:w="0" w:type="dxa"/>
                    <w:right w:w="0" w:type="dxa"/>
                  </w:tcMar>
                  <w:vAlign w:val="center"/>
                </w:tcPr>
                <w:p w14:paraId="644ADECD">
                  <w:pPr>
                    <w:jc w:val="center"/>
                    <w:rPr>
                      <w:szCs w:val="21"/>
                    </w:rPr>
                  </w:pPr>
                  <w:r>
                    <w:rPr>
                      <w:bCs/>
                      <w:szCs w:val="21"/>
                    </w:rPr>
                    <w:t>60.4</w:t>
                  </w:r>
                </w:p>
              </w:tc>
              <w:tc>
                <w:tcPr>
                  <w:tcW w:w="207" w:type="pct"/>
                  <w:shd w:val="clear" w:color="auto" w:fill="FFFFFF"/>
                  <w:tcMar>
                    <w:top w:w="0" w:type="dxa"/>
                    <w:left w:w="0" w:type="dxa"/>
                    <w:bottom w:w="0" w:type="dxa"/>
                    <w:right w:w="0" w:type="dxa"/>
                  </w:tcMar>
                  <w:vAlign w:val="center"/>
                </w:tcPr>
                <w:p w14:paraId="27523C23">
                  <w:pPr>
                    <w:jc w:val="center"/>
                    <w:rPr>
                      <w:szCs w:val="21"/>
                    </w:rPr>
                  </w:pPr>
                  <w:r>
                    <w:rPr>
                      <w:rFonts w:hint="eastAsia"/>
                      <w:szCs w:val="21"/>
                    </w:rPr>
                    <w:t>52.9</w:t>
                  </w:r>
                </w:p>
              </w:tc>
              <w:tc>
                <w:tcPr>
                  <w:tcW w:w="177" w:type="pct"/>
                  <w:shd w:val="clear" w:color="auto" w:fill="FFFFFF"/>
                  <w:tcMar>
                    <w:top w:w="0" w:type="dxa"/>
                    <w:left w:w="0" w:type="dxa"/>
                    <w:bottom w:w="0" w:type="dxa"/>
                    <w:right w:w="0" w:type="dxa"/>
                  </w:tcMar>
                  <w:vAlign w:val="center"/>
                </w:tcPr>
                <w:p w14:paraId="18D9C024">
                  <w:pPr>
                    <w:jc w:val="center"/>
                    <w:rPr>
                      <w:szCs w:val="21"/>
                    </w:rPr>
                  </w:pPr>
                  <w:r>
                    <w:rPr>
                      <w:rFonts w:hint="eastAsia"/>
                      <w:szCs w:val="21"/>
                    </w:rPr>
                    <w:t>45.7</w:t>
                  </w:r>
                </w:p>
              </w:tc>
              <w:tc>
                <w:tcPr>
                  <w:tcW w:w="181" w:type="pct"/>
                  <w:shd w:val="clear" w:color="auto" w:fill="FFFFFF"/>
                  <w:tcMar>
                    <w:top w:w="0" w:type="dxa"/>
                    <w:left w:w="0" w:type="dxa"/>
                    <w:bottom w:w="0" w:type="dxa"/>
                    <w:right w:w="0" w:type="dxa"/>
                  </w:tcMar>
                  <w:vAlign w:val="center"/>
                </w:tcPr>
                <w:p w14:paraId="74ACEC1B">
                  <w:pPr>
                    <w:jc w:val="center"/>
                    <w:rPr>
                      <w:szCs w:val="21"/>
                    </w:rPr>
                  </w:pPr>
                  <w:r>
                    <w:rPr>
                      <w:rFonts w:hint="eastAsia"/>
                      <w:szCs w:val="21"/>
                    </w:rPr>
                    <w:t>38.3</w:t>
                  </w:r>
                </w:p>
              </w:tc>
              <w:tc>
                <w:tcPr>
                  <w:tcW w:w="210" w:type="pct"/>
                  <w:shd w:val="clear" w:color="auto" w:fill="FFFFFF"/>
                  <w:tcMar>
                    <w:top w:w="0" w:type="dxa"/>
                    <w:left w:w="0" w:type="dxa"/>
                    <w:bottom w:w="0" w:type="dxa"/>
                    <w:right w:w="0" w:type="dxa"/>
                  </w:tcMar>
                  <w:vAlign w:val="center"/>
                </w:tcPr>
                <w:p w14:paraId="28EACF81">
                  <w:pPr>
                    <w:jc w:val="center"/>
                    <w:rPr>
                      <w:szCs w:val="21"/>
                    </w:rPr>
                  </w:pPr>
                  <w:r>
                    <w:rPr>
                      <w:rFonts w:hint="eastAsia"/>
                      <w:szCs w:val="21"/>
                    </w:rPr>
                    <w:t>44.3</w:t>
                  </w:r>
                </w:p>
              </w:tc>
              <w:tc>
                <w:tcPr>
                  <w:tcW w:w="192" w:type="pct"/>
                  <w:shd w:val="clear" w:color="auto" w:fill="FFFFFF"/>
                  <w:tcMar>
                    <w:top w:w="0" w:type="dxa"/>
                    <w:left w:w="0" w:type="dxa"/>
                    <w:bottom w:w="0" w:type="dxa"/>
                    <w:right w:w="0" w:type="dxa"/>
                  </w:tcMar>
                  <w:vAlign w:val="center"/>
                </w:tcPr>
                <w:p w14:paraId="53275FE7">
                  <w:pPr>
                    <w:jc w:val="center"/>
                    <w:rPr>
                      <w:szCs w:val="21"/>
                    </w:rPr>
                  </w:pPr>
                  <w:r>
                    <w:rPr>
                      <w:rFonts w:hint="eastAsia"/>
                      <w:bCs/>
                      <w:szCs w:val="21"/>
                    </w:rPr>
                    <w:t>昼间</w:t>
                  </w:r>
                </w:p>
              </w:tc>
              <w:tc>
                <w:tcPr>
                  <w:tcW w:w="220" w:type="pct"/>
                  <w:shd w:val="clear" w:color="auto" w:fill="FFFFFF"/>
                  <w:tcMar>
                    <w:top w:w="0" w:type="dxa"/>
                    <w:left w:w="0" w:type="dxa"/>
                    <w:bottom w:w="0" w:type="dxa"/>
                    <w:right w:w="0" w:type="dxa"/>
                  </w:tcMar>
                  <w:vAlign w:val="center"/>
                </w:tcPr>
                <w:p w14:paraId="28970B2B">
                  <w:pPr>
                    <w:jc w:val="center"/>
                    <w:rPr>
                      <w:rFonts w:eastAsia="Arial"/>
                      <w:szCs w:val="21"/>
                    </w:rPr>
                  </w:pPr>
                  <w:r>
                    <w:rPr>
                      <w:rFonts w:eastAsia="Arial"/>
                      <w:szCs w:val="21"/>
                    </w:rPr>
                    <w:t>2</w:t>
                  </w:r>
                  <w:r>
                    <w:rPr>
                      <w:szCs w:val="21"/>
                    </w:rPr>
                    <w:t>0</w:t>
                  </w:r>
                  <w:r>
                    <w:rPr>
                      <w:rFonts w:eastAsia="Arial"/>
                      <w:szCs w:val="21"/>
                    </w:rPr>
                    <w:t>.0</w:t>
                  </w:r>
                </w:p>
              </w:tc>
              <w:tc>
                <w:tcPr>
                  <w:tcW w:w="233" w:type="pct"/>
                  <w:shd w:val="clear" w:color="auto" w:fill="FFFFFF"/>
                  <w:tcMar>
                    <w:top w:w="0" w:type="dxa"/>
                    <w:left w:w="0" w:type="dxa"/>
                    <w:bottom w:w="0" w:type="dxa"/>
                    <w:right w:w="0" w:type="dxa"/>
                  </w:tcMar>
                  <w:vAlign w:val="center"/>
                </w:tcPr>
                <w:p w14:paraId="459439D3">
                  <w:pPr>
                    <w:jc w:val="center"/>
                    <w:rPr>
                      <w:rFonts w:eastAsia="Arial"/>
                      <w:szCs w:val="21"/>
                    </w:rPr>
                  </w:pPr>
                  <w:r>
                    <w:rPr>
                      <w:rFonts w:eastAsia="Arial"/>
                      <w:szCs w:val="21"/>
                    </w:rPr>
                    <w:t>2</w:t>
                  </w:r>
                  <w:r>
                    <w:rPr>
                      <w:szCs w:val="21"/>
                    </w:rPr>
                    <w:t>0</w:t>
                  </w:r>
                  <w:r>
                    <w:rPr>
                      <w:rFonts w:eastAsia="Arial"/>
                      <w:szCs w:val="21"/>
                    </w:rPr>
                    <w:t>.0</w:t>
                  </w:r>
                </w:p>
              </w:tc>
              <w:tc>
                <w:tcPr>
                  <w:tcW w:w="214" w:type="pct"/>
                  <w:shd w:val="clear" w:color="auto" w:fill="FFFFFF"/>
                  <w:tcMar>
                    <w:top w:w="0" w:type="dxa"/>
                    <w:left w:w="0" w:type="dxa"/>
                    <w:bottom w:w="0" w:type="dxa"/>
                    <w:right w:w="0" w:type="dxa"/>
                  </w:tcMar>
                  <w:vAlign w:val="center"/>
                </w:tcPr>
                <w:p w14:paraId="627B3F3F">
                  <w:pPr>
                    <w:jc w:val="center"/>
                    <w:rPr>
                      <w:rFonts w:eastAsia="Arial"/>
                      <w:szCs w:val="21"/>
                    </w:rPr>
                  </w:pPr>
                  <w:r>
                    <w:rPr>
                      <w:rFonts w:eastAsia="Arial"/>
                      <w:szCs w:val="21"/>
                    </w:rPr>
                    <w:t>2</w:t>
                  </w:r>
                  <w:r>
                    <w:rPr>
                      <w:szCs w:val="21"/>
                    </w:rPr>
                    <w:t>0</w:t>
                  </w:r>
                  <w:r>
                    <w:rPr>
                      <w:rFonts w:eastAsia="Arial"/>
                      <w:szCs w:val="21"/>
                    </w:rPr>
                    <w:t>.0</w:t>
                  </w:r>
                </w:p>
              </w:tc>
              <w:tc>
                <w:tcPr>
                  <w:tcW w:w="215" w:type="pct"/>
                  <w:shd w:val="clear" w:color="auto" w:fill="FFFFFF"/>
                  <w:tcMar>
                    <w:top w:w="0" w:type="dxa"/>
                    <w:left w:w="0" w:type="dxa"/>
                    <w:bottom w:w="0" w:type="dxa"/>
                    <w:right w:w="0" w:type="dxa"/>
                  </w:tcMar>
                  <w:vAlign w:val="center"/>
                </w:tcPr>
                <w:p w14:paraId="2D364DCC">
                  <w:pPr>
                    <w:jc w:val="center"/>
                    <w:rPr>
                      <w:rFonts w:eastAsia="Arial"/>
                      <w:szCs w:val="21"/>
                    </w:rPr>
                  </w:pPr>
                  <w:r>
                    <w:rPr>
                      <w:rFonts w:eastAsia="Arial"/>
                      <w:szCs w:val="21"/>
                    </w:rPr>
                    <w:t>2</w:t>
                  </w:r>
                  <w:r>
                    <w:rPr>
                      <w:szCs w:val="21"/>
                    </w:rPr>
                    <w:t>0</w:t>
                  </w:r>
                  <w:r>
                    <w:rPr>
                      <w:rFonts w:eastAsia="Arial"/>
                      <w:szCs w:val="21"/>
                    </w:rPr>
                    <w:t>.0</w:t>
                  </w:r>
                </w:p>
              </w:tc>
              <w:tc>
                <w:tcPr>
                  <w:tcW w:w="240" w:type="pct"/>
                  <w:shd w:val="clear" w:color="auto" w:fill="FFFFFF"/>
                  <w:tcMar>
                    <w:top w:w="0" w:type="dxa"/>
                    <w:left w:w="0" w:type="dxa"/>
                    <w:bottom w:w="0" w:type="dxa"/>
                    <w:right w:w="0" w:type="dxa"/>
                  </w:tcMar>
                  <w:vAlign w:val="center"/>
                </w:tcPr>
                <w:p w14:paraId="175352E5">
                  <w:pPr>
                    <w:jc w:val="center"/>
                    <w:rPr>
                      <w:rFonts w:eastAsia="Arial"/>
                      <w:szCs w:val="21"/>
                    </w:rPr>
                  </w:pPr>
                  <w:r>
                    <w:rPr>
                      <w:rFonts w:hint="eastAsia"/>
                      <w:szCs w:val="21"/>
                    </w:rPr>
                    <w:t>32.9</w:t>
                  </w:r>
                </w:p>
              </w:tc>
              <w:tc>
                <w:tcPr>
                  <w:tcW w:w="274" w:type="pct"/>
                  <w:shd w:val="clear" w:color="auto" w:fill="FFFFFF"/>
                  <w:tcMar>
                    <w:top w:w="0" w:type="dxa"/>
                    <w:left w:w="0" w:type="dxa"/>
                    <w:bottom w:w="0" w:type="dxa"/>
                    <w:right w:w="0" w:type="dxa"/>
                  </w:tcMar>
                  <w:vAlign w:val="center"/>
                </w:tcPr>
                <w:p w14:paraId="729FCF1D">
                  <w:pPr>
                    <w:jc w:val="center"/>
                    <w:rPr>
                      <w:rFonts w:eastAsia="Arial"/>
                      <w:szCs w:val="21"/>
                    </w:rPr>
                  </w:pPr>
                  <w:r>
                    <w:rPr>
                      <w:rFonts w:hint="eastAsia"/>
                      <w:szCs w:val="21"/>
                    </w:rPr>
                    <w:t>25.7</w:t>
                  </w:r>
                </w:p>
              </w:tc>
              <w:tc>
                <w:tcPr>
                  <w:tcW w:w="247" w:type="pct"/>
                  <w:shd w:val="clear" w:color="auto" w:fill="FFFFFF"/>
                  <w:tcMar>
                    <w:top w:w="0" w:type="dxa"/>
                    <w:left w:w="0" w:type="dxa"/>
                    <w:bottom w:w="0" w:type="dxa"/>
                    <w:right w:w="0" w:type="dxa"/>
                  </w:tcMar>
                  <w:vAlign w:val="center"/>
                </w:tcPr>
                <w:p w14:paraId="77D98704">
                  <w:pPr>
                    <w:jc w:val="center"/>
                    <w:rPr>
                      <w:rFonts w:eastAsia="Arial"/>
                      <w:szCs w:val="21"/>
                    </w:rPr>
                  </w:pPr>
                  <w:r>
                    <w:rPr>
                      <w:rFonts w:hint="eastAsia"/>
                      <w:szCs w:val="21"/>
                    </w:rPr>
                    <w:t>18.3</w:t>
                  </w:r>
                </w:p>
              </w:tc>
              <w:tc>
                <w:tcPr>
                  <w:tcW w:w="253" w:type="pct"/>
                  <w:shd w:val="clear" w:color="auto" w:fill="FFFFFF"/>
                  <w:tcMar>
                    <w:top w:w="0" w:type="dxa"/>
                    <w:left w:w="0" w:type="dxa"/>
                    <w:bottom w:w="0" w:type="dxa"/>
                    <w:right w:w="0" w:type="dxa"/>
                  </w:tcMar>
                  <w:vAlign w:val="center"/>
                </w:tcPr>
                <w:p w14:paraId="6F1D8B7A">
                  <w:pPr>
                    <w:jc w:val="center"/>
                    <w:rPr>
                      <w:rFonts w:eastAsia="Arial"/>
                      <w:szCs w:val="21"/>
                    </w:rPr>
                  </w:pPr>
                  <w:r>
                    <w:rPr>
                      <w:rFonts w:hint="eastAsia"/>
                      <w:szCs w:val="21"/>
                    </w:rPr>
                    <w:t>24.3</w:t>
                  </w:r>
                </w:p>
              </w:tc>
            </w:tr>
            <w:tr w14:paraId="0127A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88" w:hRule="atLeast"/>
                <w:jc w:val="center"/>
              </w:trPr>
              <w:tc>
                <w:tcPr>
                  <w:tcW w:w="224" w:type="pct"/>
                  <w:shd w:val="clear" w:color="auto" w:fill="FFFFFF"/>
                  <w:tcMar>
                    <w:top w:w="0" w:type="dxa"/>
                    <w:left w:w="0" w:type="dxa"/>
                    <w:bottom w:w="0" w:type="dxa"/>
                    <w:right w:w="0" w:type="dxa"/>
                  </w:tcMar>
                  <w:vAlign w:val="center"/>
                </w:tcPr>
                <w:p w14:paraId="5B9AC176">
                  <w:pPr>
                    <w:pStyle w:val="31"/>
                    <w:adjustRightInd/>
                    <w:snapToGrid/>
                    <w:spacing w:beforeLines="0" w:afterLines="0" w:line="240" w:lineRule="auto"/>
                    <w:ind w:left="0" w:leftChars="0" w:firstLine="0" w:firstLineChars="0"/>
                    <w:rPr>
                      <w:rFonts w:ascii="Times New Roman"/>
                      <w:szCs w:val="21"/>
                    </w:rPr>
                  </w:pPr>
                  <w:r>
                    <w:rPr>
                      <w:rFonts w:hint="eastAsia" w:ascii="Times New Roman"/>
                      <w:szCs w:val="21"/>
                    </w:rPr>
                    <w:t>5</w:t>
                  </w:r>
                </w:p>
              </w:tc>
              <w:tc>
                <w:tcPr>
                  <w:tcW w:w="163" w:type="pct"/>
                  <w:vMerge w:val="continue"/>
                  <w:shd w:val="clear" w:color="auto" w:fill="FFFFFF"/>
                  <w:tcMar>
                    <w:top w:w="0" w:type="dxa"/>
                    <w:left w:w="0" w:type="dxa"/>
                    <w:bottom w:w="0" w:type="dxa"/>
                    <w:right w:w="0" w:type="dxa"/>
                  </w:tcMar>
                  <w:vAlign w:val="center"/>
                </w:tcPr>
                <w:p w14:paraId="5AFCB883">
                  <w:pPr>
                    <w:pStyle w:val="31"/>
                    <w:adjustRightInd/>
                    <w:snapToGrid/>
                    <w:spacing w:beforeLines="0" w:afterLines="0" w:line="240" w:lineRule="auto"/>
                    <w:ind w:left="0" w:leftChars="0" w:firstLine="0" w:firstLineChars="0"/>
                    <w:rPr>
                      <w:rFonts w:ascii="Times New Roman"/>
                      <w:szCs w:val="21"/>
                    </w:rPr>
                  </w:pPr>
                </w:p>
              </w:tc>
              <w:tc>
                <w:tcPr>
                  <w:tcW w:w="165" w:type="pct"/>
                  <w:shd w:val="clear" w:color="auto" w:fill="FFFFFF"/>
                  <w:tcMar>
                    <w:top w:w="0" w:type="dxa"/>
                    <w:left w:w="0" w:type="dxa"/>
                    <w:bottom w:w="0" w:type="dxa"/>
                    <w:right w:w="0" w:type="dxa"/>
                  </w:tcMar>
                  <w:vAlign w:val="center"/>
                </w:tcPr>
                <w:p w14:paraId="2C3F61F7">
                  <w:pPr>
                    <w:jc w:val="center"/>
                    <w:rPr>
                      <w:rFonts w:eastAsia="Arial"/>
                      <w:szCs w:val="21"/>
                    </w:rPr>
                  </w:pPr>
                  <w:r>
                    <w:rPr>
                      <w:rFonts w:hint="eastAsia" w:ascii="宋体" w:hAnsi="宋体" w:cs="宋体"/>
                      <w:szCs w:val="21"/>
                    </w:rPr>
                    <w:t>空压机</w:t>
                  </w:r>
                </w:p>
              </w:tc>
              <w:tc>
                <w:tcPr>
                  <w:tcW w:w="232" w:type="pct"/>
                  <w:shd w:val="clear" w:color="auto" w:fill="FFFFFF"/>
                  <w:tcMar>
                    <w:top w:w="0" w:type="dxa"/>
                    <w:left w:w="0" w:type="dxa"/>
                    <w:bottom w:w="0" w:type="dxa"/>
                    <w:right w:w="0" w:type="dxa"/>
                  </w:tcMar>
                  <w:vAlign w:val="center"/>
                </w:tcPr>
                <w:p w14:paraId="169E1B8C">
                  <w:pPr>
                    <w:jc w:val="center"/>
                    <w:rPr>
                      <w:szCs w:val="21"/>
                    </w:rPr>
                  </w:pPr>
                  <w:r>
                    <w:rPr>
                      <w:rFonts w:eastAsia="Arial"/>
                      <w:szCs w:val="21"/>
                    </w:rPr>
                    <w:t>85</w:t>
                  </w:r>
                </w:p>
              </w:tc>
              <w:tc>
                <w:tcPr>
                  <w:tcW w:w="244" w:type="pct"/>
                  <w:shd w:val="clear" w:color="auto" w:fill="FFFFFF"/>
                  <w:tcMar>
                    <w:top w:w="0" w:type="dxa"/>
                    <w:left w:w="0" w:type="dxa"/>
                    <w:bottom w:w="0" w:type="dxa"/>
                    <w:right w:w="0" w:type="dxa"/>
                  </w:tcMar>
                  <w:vAlign w:val="center"/>
                </w:tcPr>
                <w:p w14:paraId="4A938308">
                  <w:pPr>
                    <w:jc w:val="center"/>
                    <w:rPr>
                      <w:rFonts w:eastAsia="Arial"/>
                      <w:szCs w:val="21"/>
                    </w:rPr>
                  </w:pPr>
                  <w:r>
                    <w:rPr>
                      <w:rFonts w:eastAsia="Arial"/>
                      <w:szCs w:val="21"/>
                    </w:rPr>
                    <w:t>74.2</w:t>
                  </w:r>
                </w:p>
              </w:tc>
              <w:tc>
                <w:tcPr>
                  <w:tcW w:w="242" w:type="pct"/>
                  <w:shd w:val="clear" w:color="auto" w:fill="FFFFFF"/>
                  <w:tcMar>
                    <w:top w:w="0" w:type="dxa"/>
                    <w:left w:w="0" w:type="dxa"/>
                    <w:bottom w:w="0" w:type="dxa"/>
                    <w:right w:w="0" w:type="dxa"/>
                  </w:tcMar>
                  <w:vAlign w:val="center"/>
                </w:tcPr>
                <w:p w14:paraId="18169417">
                  <w:pPr>
                    <w:jc w:val="center"/>
                    <w:rPr>
                      <w:rFonts w:eastAsia="Arial"/>
                      <w:szCs w:val="21"/>
                    </w:rPr>
                  </w:pPr>
                  <w:r>
                    <w:rPr>
                      <w:rFonts w:eastAsia="Arial"/>
                      <w:szCs w:val="21"/>
                    </w:rPr>
                    <w:t>-18.9</w:t>
                  </w:r>
                </w:p>
              </w:tc>
              <w:tc>
                <w:tcPr>
                  <w:tcW w:w="148" w:type="pct"/>
                  <w:shd w:val="clear" w:color="auto" w:fill="FFFFFF"/>
                  <w:tcMar>
                    <w:top w:w="0" w:type="dxa"/>
                    <w:left w:w="0" w:type="dxa"/>
                    <w:bottom w:w="0" w:type="dxa"/>
                    <w:right w:w="0" w:type="dxa"/>
                  </w:tcMar>
                  <w:vAlign w:val="center"/>
                </w:tcPr>
                <w:p w14:paraId="353BE317">
                  <w:pPr>
                    <w:jc w:val="center"/>
                    <w:rPr>
                      <w:rFonts w:eastAsia="Arial"/>
                      <w:szCs w:val="21"/>
                    </w:rPr>
                  </w:pPr>
                  <w:r>
                    <w:rPr>
                      <w:rFonts w:eastAsia="Arial"/>
                      <w:szCs w:val="21"/>
                    </w:rPr>
                    <w:t>1.2</w:t>
                  </w:r>
                </w:p>
              </w:tc>
              <w:tc>
                <w:tcPr>
                  <w:tcW w:w="205" w:type="pct"/>
                  <w:shd w:val="clear" w:color="auto" w:fill="FFFFFF"/>
                  <w:tcMar>
                    <w:top w:w="0" w:type="dxa"/>
                    <w:left w:w="0" w:type="dxa"/>
                    <w:bottom w:w="0" w:type="dxa"/>
                    <w:right w:w="0" w:type="dxa"/>
                  </w:tcMar>
                  <w:vAlign w:val="center"/>
                </w:tcPr>
                <w:p w14:paraId="5583ADB0">
                  <w:pPr>
                    <w:jc w:val="center"/>
                    <w:rPr>
                      <w:rFonts w:eastAsia="Arial"/>
                      <w:szCs w:val="21"/>
                    </w:rPr>
                  </w:pPr>
                  <w:r>
                    <w:rPr>
                      <w:rFonts w:eastAsia="Arial"/>
                      <w:szCs w:val="21"/>
                    </w:rPr>
                    <w:t>32.1</w:t>
                  </w:r>
                </w:p>
              </w:tc>
              <w:tc>
                <w:tcPr>
                  <w:tcW w:w="151" w:type="pct"/>
                  <w:shd w:val="clear" w:color="auto" w:fill="FFFFFF"/>
                  <w:tcMar>
                    <w:top w:w="0" w:type="dxa"/>
                    <w:left w:w="0" w:type="dxa"/>
                    <w:bottom w:w="0" w:type="dxa"/>
                    <w:right w:w="0" w:type="dxa"/>
                  </w:tcMar>
                  <w:vAlign w:val="center"/>
                </w:tcPr>
                <w:p w14:paraId="37AB2BF4">
                  <w:pPr>
                    <w:jc w:val="center"/>
                    <w:rPr>
                      <w:rFonts w:eastAsia="Arial"/>
                      <w:szCs w:val="21"/>
                    </w:rPr>
                  </w:pPr>
                  <w:r>
                    <w:rPr>
                      <w:rFonts w:eastAsia="Arial"/>
                      <w:szCs w:val="21"/>
                    </w:rPr>
                    <w:t>47.8</w:t>
                  </w:r>
                </w:p>
              </w:tc>
              <w:tc>
                <w:tcPr>
                  <w:tcW w:w="205" w:type="pct"/>
                  <w:shd w:val="clear" w:color="auto" w:fill="FFFFFF"/>
                  <w:tcMar>
                    <w:top w:w="0" w:type="dxa"/>
                    <w:left w:w="0" w:type="dxa"/>
                    <w:bottom w:w="0" w:type="dxa"/>
                    <w:right w:w="0" w:type="dxa"/>
                  </w:tcMar>
                  <w:vAlign w:val="center"/>
                </w:tcPr>
                <w:p w14:paraId="3CC20283">
                  <w:pPr>
                    <w:jc w:val="center"/>
                    <w:rPr>
                      <w:szCs w:val="21"/>
                    </w:rPr>
                  </w:pPr>
                  <w:r>
                    <w:rPr>
                      <w:bCs/>
                      <w:szCs w:val="21"/>
                    </w:rPr>
                    <w:t>111.9</w:t>
                  </w:r>
                </w:p>
              </w:tc>
              <w:tc>
                <w:tcPr>
                  <w:tcW w:w="153" w:type="pct"/>
                  <w:shd w:val="clear" w:color="auto" w:fill="FFFFFF"/>
                  <w:tcMar>
                    <w:top w:w="0" w:type="dxa"/>
                    <w:left w:w="0" w:type="dxa"/>
                    <w:bottom w:w="0" w:type="dxa"/>
                    <w:right w:w="0" w:type="dxa"/>
                  </w:tcMar>
                  <w:vAlign w:val="center"/>
                </w:tcPr>
                <w:p w14:paraId="79E73161">
                  <w:pPr>
                    <w:jc w:val="center"/>
                    <w:rPr>
                      <w:szCs w:val="21"/>
                    </w:rPr>
                  </w:pPr>
                  <w:r>
                    <w:rPr>
                      <w:bCs/>
                      <w:szCs w:val="21"/>
                    </w:rPr>
                    <w:t>64.2</w:t>
                  </w:r>
                </w:p>
              </w:tc>
              <w:tc>
                <w:tcPr>
                  <w:tcW w:w="207" w:type="pct"/>
                  <w:shd w:val="clear" w:color="auto" w:fill="FFFFFF"/>
                  <w:tcMar>
                    <w:top w:w="0" w:type="dxa"/>
                    <w:left w:w="0" w:type="dxa"/>
                    <w:bottom w:w="0" w:type="dxa"/>
                    <w:right w:w="0" w:type="dxa"/>
                  </w:tcMar>
                  <w:vAlign w:val="center"/>
                </w:tcPr>
                <w:p w14:paraId="355E559E">
                  <w:pPr>
                    <w:jc w:val="center"/>
                    <w:rPr>
                      <w:rFonts w:eastAsia="Arial"/>
                      <w:szCs w:val="21"/>
                    </w:rPr>
                  </w:pPr>
                  <w:r>
                    <w:rPr>
                      <w:bCs/>
                      <w:szCs w:val="21"/>
                    </w:rPr>
                    <w:t>54.8</w:t>
                  </w:r>
                </w:p>
              </w:tc>
              <w:tc>
                <w:tcPr>
                  <w:tcW w:w="177" w:type="pct"/>
                  <w:shd w:val="clear" w:color="auto" w:fill="FFFFFF"/>
                  <w:tcMar>
                    <w:top w:w="0" w:type="dxa"/>
                    <w:left w:w="0" w:type="dxa"/>
                    <w:bottom w:w="0" w:type="dxa"/>
                    <w:right w:w="0" w:type="dxa"/>
                  </w:tcMar>
                  <w:vAlign w:val="center"/>
                </w:tcPr>
                <w:p w14:paraId="7F076024">
                  <w:pPr>
                    <w:jc w:val="center"/>
                    <w:rPr>
                      <w:rFonts w:eastAsia="Arial"/>
                      <w:szCs w:val="21"/>
                    </w:rPr>
                  </w:pPr>
                  <w:r>
                    <w:rPr>
                      <w:bCs/>
                      <w:szCs w:val="21"/>
                    </w:rPr>
                    <w:t>51.4</w:t>
                  </w:r>
                </w:p>
              </w:tc>
              <w:tc>
                <w:tcPr>
                  <w:tcW w:w="181" w:type="pct"/>
                  <w:shd w:val="clear" w:color="auto" w:fill="FFFFFF"/>
                  <w:tcMar>
                    <w:top w:w="0" w:type="dxa"/>
                    <w:left w:w="0" w:type="dxa"/>
                    <w:bottom w:w="0" w:type="dxa"/>
                    <w:right w:w="0" w:type="dxa"/>
                  </w:tcMar>
                  <w:vAlign w:val="center"/>
                </w:tcPr>
                <w:p w14:paraId="59004BCC">
                  <w:pPr>
                    <w:jc w:val="center"/>
                    <w:rPr>
                      <w:rFonts w:eastAsia="Arial"/>
                      <w:szCs w:val="21"/>
                    </w:rPr>
                  </w:pPr>
                  <w:r>
                    <w:rPr>
                      <w:bCs/>
                      <w:szCs w:val="21"/>
                    </w:rPr>
                    <w:t>44.1</w:t>
                  </w:r>
                </w:p>
              </w:tc>
              <w:tc>
                <w:tcPr>
                  <w:tcW w:w="210" w:type="pct"/>
                  <w:shd w:val="clear" w:color="auto" w:fill="FFFFFF"/>
                  <w:tcMar>
                    <w:top w:w="0" w:type="dxa"/>
                    <w:left w:w="0" w:type="dxa"/>
                    <w:bottom w:w="0" w:type="dxa"/>
                    <w:right w:w="0" w:type="dxa"/>
                  </w:tcMar>
                  <w:vAlign w:val="center"/>
                </w:tcPr>
                <w:p w14:paraId="7B68C1B9">
                  <w:pPr>
                    <w:jc w:val="center"/>
                    <w:rPr>
                      <w:rFonts w:eastAsia="Arial"/>
                      <w:szCs w:val="21"/>
                    </w:rPr>
                  </w:pPr>
                  <w:r>
                    <w:rPr>
                      <w:bCs/>
                      <w:szCs w:val="21"/>
                    </w:rPr>
                    <w:t>48.8</w:t>
                  </w:r>
                </w:p>
              </w:tc>
              <w:tc>
                <w:tcPr>
                  <w:tcW w:w="192" w:type="pct"/>
                  <w:shd w:val="clear" w:color="auto" w:fill="FFFFFF"/>
                  <w:tcMar>
                    <w:top w:w="0" w:type="dxa"/>
                    <w:left w:w="0" w:type="dxa"/>
                    <w:bottom w:w="0" w:type="dxa"/>
                    <w:right w:w="0" w:type="dxa"/>
                  </w:tcMar>
                  <w:vAlign w:val="center"/>
                </w:tcPr>
                <w:p w14:paraId="7CDCD6A1">
                  <w:pPr>
                    <w:jc w:val="center"/>
                    <w:rPr>
                      <w:szCs w:val="21"/>
                    </w:rPr>
                  </w:pPr>
                  <w:r>
                    <w:rPr>
                      <w:rFonts w:hint="eastAsia"/>
                      <w:bCs/>
                      <w:szCs w:val="21"/>
                    </w:rPr>
                    <w:t>昼间</w:t>
                  </w:r>
                </w:p>
              </w:tc>
              <w:tc>
                <w:tcPr>
                  <w:tcW w:w="220" w:type="pct"/>
                  <w:shd w:val="clear" w:color="auto" w:fill="FFFFFF"/>
                  <w:tcMar>
                    <w:top w:w="0" w:type="dxa"/>
                    <w:left w:w="0" w:type="dxa"/>
                    <w:bottom w:w="0" w:type="dxa"/>
                    <w:right w:w="0" w:type="dxa"/>
                  </w:tcMar>
                  <w:vAlign w:val="center"/>
                </w:tcPr>
                <w:p w14:paraId="3F22EB94">
                  <w:pPr>
                    <w:jc w:val="center"/>
                    <w:rPr>
                      <w:rFonts w:eastAsia="Arial"/>
                      <w:szCs w:val="21"/>
                    </w:rPr>
                  </w:pPr>
                  <w:r>
                    <w:rPr>
                      <w:rFonts w:eastAsia="Arial"/>
                      <w:szCs w:val="21"/>
                    </w:rPr>
                    <w:t>2</w:t>
                  </w:r>
                  <w:r>
                    <w:rPr>
                      <w:szCs w:val="21"/>
                    </w:rPr>
                    <w:t>0</w:t>
                  </w:r>
                  <w:r>
                    <w:rPr>
                      <w:rFonts w:eastAsia="Arial"/>
                      <w:szCs w:val="21"/>
                    </w:rPr>
                    <w:t>.0</w:t>
                  </w:r>
                </w:p>
              </w:tc>
              <w:tc>
                <w:tcPr>
                  <w:tcW w:w="233" w:type="pct"/>
                  <w:shd w:val="clear" w:color="auto" w:fill="FFFFFF"/>
                  <w:tcMar>
                    <w:top w:w="0" w:type="dxa"/>
                    <w:left w:w="0" w:type="dxa"/>
                    <w:bottom w:w="0" w:type="dxa"/>
                    <w:right w:w="0" w:type="dxa"/>
                  </w:tcMar>
                  <w:vAlign w:val="center"/>
                </w:tcPr>
                <w:p w14:paraId="39B467CE">
                  <w:pPr>
                    <w:jc w:val="center"/>
                    <w:rPr>
                      <w:rFonts w:eastAsia="Arial"/>
                      <w:szCs w:val="21"/>
                    </w:rPr>
                  </w:pPr>
                  <w:r>
                    <w:rPr>
                      <w:rFonts w:eastAsia="Arial"/>
                      <w:szCs w:val="21"/>
                    </w:rPr>
                    <w:t>2</w:t>
                  </w:r>
                  <w:r>
                    <w:rPr>
                      <w:szCs w:val="21"/>
                    </w:rPr>
                    <w:t>0</w:t>
                  </w:r>
                  <w:r>
                    <w:rPr>
                      <w:rFonts w:eastAsia="Arial"/>
                      <w:szCs w:val="21"/>
                    </w:rPr>
                    <w:t>.0</w:t>
                  </w:r>
                </w:p>
              </w:tc>
              <w:tc>
                <w:tcPr>
                  <w:tcW w:w="214" w:type="pct"/>
                  <w:shd w:val="clear" w:color="auto" w:fill="FFFFFF"/>
                  <w:tcMar>
                    <w:top w:w="0" w:type="dxa"/>
                    <w:left w:w="0" w:type="dxa"/>
                    <w:bottom w:w="0" w:type="dxa"/>
                    <w:right w:w="0" w:type="dxa"/>
                  </w:tcMar>
                  <w:vAlign w:val="center"/>
                </w:tcPr>
                <w:p w14:paraId="58FF17E9">
                  <w:pPr>
                    <w:jc w:val="center"/>
                    <w:rPr>
                      <w:rFonts w:eastAsia="Arial"/>
                      <w:szCs w:val="21"/>
                    </w:rPr>
                  </w:pPr>
                  <w:r>
                    <w:rPr>
                      <w:rFonts w:eastAsia="Arial"/>
                      <w:szCs w:val="21"/>
                    </w:rPr>
                    <w:t>2</w:t>
                  </w:r>
                  <w:r>
                    <w:rPr>
                      <w:szCs w:val="21"/>
                    </w:rPr>
                    <w:t>0</w:t>
                  </w:r>
                  <w:r>
                    <w:rPr>
                      <w:rFonts w:eastAsia="Arial"/>
                      <w:szCs w:val="21"/>
                    </w:rPr>
                    <w:t>.0</w:t>
                  </w:r>
                </w:p>
              </w:tc>
              <w:tc>
                <w:tcPr>
                  <w:tcW w:w="215" w:type="pct"/>
                  <w:shd w:val="clear" w:color="auto" w:fill="FFFFFF"/>
                  <w:tcMar>
                    <w:top w:w="0" w:type="dxa"/>
                    <w:left w:w="0" w:type="dxa"/>
                    <w:bottom w:w="0" w:type="dxa"/>
                    <w:right w:w="0" w:type="dxa"/>
                  </w:tcMar>
                  <w:vAlign w:val="center"/>
                </w:tcPr>
                <w:p w14:paraId="4D4529D3">
                  <w:pPr>
                    <w:jc w:val="center"/>
                    <w:rPr>
                      <w:rFonts w:eastAsia="Arial"/>
                      <w:szCs w:val="21"/>
                    </w:rPr>
                  </w:pPr>
                  <w:r>
                    <w:rPr>
                      <w:rFonts w:eastAsia="Arial"/>
                      <w:szCs w:val="21"/>
                    </w:rPr>
                    <w:t>2</w:t>
                  </w:r>
                  <w:r>
                    <w:rPr>
                      <w:szCs w:val="21"/>
                    </w:rPr>
                    <w:t>0</w:t>
                  </w:r>
                  <w:r>
                    <w:rPr>
                      <w:rFonts w:eastAsia="Arial"/>
                      <w:szCs w:val="21"/>
                    </w:rPr>
                    <w:t>.0</w:t>
                  </w:r>
                </w:p>
              </w:tc>
              <w:tc>
                <w:tcPr>
                  <w:tcW w:w="240" w:type="pct"/>
                  <w:shd w:val="clear" w:color="auto" w:fill="FFFFFF"/>
                  <w:tcMar>
                    <w:top w:w="0" w:type="dxa"/>
                    <w:left w:w="0" w:type="dxa"/>
                    <w:bottom w:w="0" w:type="dxa"/>
                    <w:right w:w="0" w:type="dxa"/>
                  </w:tcMar>
                  <w:vAlign w:val="center"/>
                </w:tcPr>
                <w:p w14:paraId="716257DE">
                  <w:pPr>
                    <w:jc w:val="center"/>
                    <w:rPr>
                      <w:rFonts w:eastAsia="Arial"/>
                      <w:szCs w:val="21"/>
                    </w:rPr>
                  </w:pPr>
                  <w:r>
                    <w:rPr>
                      <w:bCs/>
                      <w:szCs w:val="21"/>
                    </w:rPr>
                    <w:t>34.8</w:t>
                  </w:r>
                </w:p>
              </w:tc>
              <w:tc>
                <w:tcPr>
                  <w:tcW w:w="274" w:type="pct"/>
                  <w:shd w:val="clear" w:color="auto" w:fill="FFFFFF"/>
                  <w:tcMar>
                    <w:top w:w="0" w:type="dxa"/>
                    <w:left w:w="0" w:type="dxa"/>
                    <w:bottom w:w="0" w:type="dxa"/>
                    <w:right w:w="0" w:type="dxa"/>
                  </w:tcMar>
                  <w:vAlign w:val="center"/>
                </w:tcPr>
                <w:p w14:paraId="64D1E625">
                  <w:pPr>
                    <w:jc w:val="center"/>
                    <w:rPr>
                      <w:rFonts w:eastAsia="Arial"/>
                      <w:szCs w:val="21"/>
                    </w:rPr>
                  </w:pPr>
                  <w:r>
                    <w:rPr>
                      <w:bCs/>
                      <w:szCs w:val="21"/>
                    </w:rPr>
                    <w:t>31.4</w:t>
                  </w:r>
                </w:p>
              </w:tc>
              <w:tc>
                <w:tcPr>
                  <w:tcW w:w="247" w:type="pct"/>
                  <w:shd w:val="clear" w:color="auto" w:fill="FFFFFF"/>
                  <w:tcMar>
                    <w:top w:w="0" w:type="dxa"/>
                    <w:left w:w="0" w:type="dxa"/>
                    <w:bottom w:w="0" w:type="dxa"/>
                    <w:right w:w="0" w:type="dxa"/>
                  </w:tcMar>
                  <w:vAlign w:val="center"/>
                </w:tcPr>
                <w:p w14:paraId="6376F514">
                  <w:pPr>
                    <w:jc w:val="center"/>
                    <w:rPr>
                      <w:rFonts w:eastAsia="Arial"/>
                      <w:szCs w:val="21"/>
                    </w:rPr>
                  </w:pPr>
                  <w:r>
                    <w:rPr>
                      <w:bCs/>
                      <w:szCs w:val="21"/>
                    </w:rPr>
                    <w:t>24.1</w:t>
                  </w:r>
                </w:p>
              </w:tc>
              <w:tc>
                <w:tcPr>
                  <w:tcW w:w="253" w:type="pct"/>
                  <w:shd w:val="clear" w:color="auto" w:fill="FFFFFF"/>
                  <w:tcMar>
                    <w:top w:w="0" w:type="dxa"/>
                    <w:left w:w="0" w:type="dxa"/>
                    <w:bottom w:w="0" w:type="dxa"/>
                    <w:right w:w="0" w:type="dxa"/>
                  </w:tcMar>
                  <w:vAlign w:val="center"/>
                </w:tcPr>
                <w:p w14:paraId="65A4DFB9">
                  <w:pPr>
                    <w:jc w:val="center"/>
                    <w:rPr>
                      <w:rFonts w:eastAsia="Arial"/>
                      <w:szCs w:val="21"/>
                    </w:rPr>
                  </w:pPr>
                  <w:r>
                    <w:rPr>
                      <w:bCs/>
                      <w:szCs w:val="21"/>
                    </w:rPr>
                    <w:t>28.8</w:t>
                  </w:r>
                </w:p>
              </w:tc>
            </w:tr>
            <w:bookmarkEnd w:id="7"/>
          </w:tbl>
          <w:p w14:paraId="690FC0DF">
            <w:pPr>
              <w:jc w:val="center"/>
              <w:rPr>
                <w:b/>
                <w:bCs/>
                <w:color w:val="000000"/>
                <w:sz w:val="24"/>
              </w:rPr>
            </w:pPr>
          </w:p>
          <w:p w14:paraId="1C671557">
            <w:pPr>
              <w:jc w:val="center"/>
              <w:rPr>
                <w:b/>
                <w:bCs/>
                <w:color w:val="000000"/>
                <w:sz w:val="24"/>
              </w:rPr>
            </w:pPr>
          </w:p>
          <w:p w14:paraId="39AA5FE1">
            <w:pPr>
              <w:jc w:val="center"/>
              <w:rPr>
                <w:b/>
                <w:bCs/>
                <w:color w:val="000000"/>
                <w:sz w:val="24"/>
              </w:rPr>
            </w:pPr>
          </w:p>
          <w:p w14:paraId="582D1A32">
            <w:pPr>
              <w:jc w:val="center"/>
              <w:rPr>
                <w:b/>
                <w:bCs/>
                <w:color w:val="000000"/>
                <w:sz w:val="24"/>
              </w:rPr>
            </w:pPr>
          </w:p>
          <w:p w14:paraId="5552D9BD">
            <w:pPr>
              <w:rPr>
                <w:b/>
                <w:bCs/>
                <w:color w:val="000000"/>
                <w:sz w:val="24"/>
              </w:rPr>
            </w:pPr>
          </w:p>
          <w:p w14:paraId="6677FEE0">
            <w:pPr>
              <w:rPr>
                <w:b/>
                <w:bCs/>
                <w:color w:val="000000"/>
                <w:sz w:val="24"/>
              </w:rPr>
            </w:pPr>
          </w:p>
        </w:tc>
      </w:tr>
    </w:tbl>
    <w:p w14:paraId="6E08C033">
      <w:pPr>
        <w:rPr>
          <w:color w:val="000000"/>
        </w:rPr>
        <w:sectPr>
          <w:pgSz w:w="16840" w:h="11907" w:orient="landscape"/>
          <w:pgMar w:top="1701" w:right="1531" w:bottom="1701" w:left="1531" w:header="851" w:footer="851" w:gutter="0"/>
          <w:cols w:space="720" w:num="1"/>
          <w:docGrid w:linePitch="312" w:charSpace="0"/>
        </w:sect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5"/>
        <w:gridCol w:w="8635"/>
      </w:tblGrid>
      <w:tr w14:paraId="6DAB2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7" w:hRule="atLeast"/>
        </w:trPr>
        <w:tc>
          <w:tcPr>
            <w:tcW w:w="505" w:type="dxa"/>
          </w:tcPr>
          <w:p w14:paraId="60C24C00">
            <w:pPr>
              <w:pStyle w:val="28"/>
            </w:pPr>
          </w:p>
        </w:tc>
        <w:tc>
          <w:tcPr>
            <w:tcW w:w="8556" w:type="dxa"/>
          </w:tcPr>
          <w:p w14:paraId="18EA965C">
            <w:pPr>
              <w:pStyle w:val="44"/>
              <w:spacing w:before="0" w:line="360" w:lineRule="auto"/>
              <w:ind w:firstLine="0"/>
              <w:rPr>
                <w:rFonts w:ascii="Times New Roman" w:hAnsi="Times New Roman"/>
                <w:b/>
                <w:bCs/>
                <w:color w:val="000000"/>
                <w:kern w:val="2"/>
                <w:sz w:val="24"/>
              </w:rPr>
            </w:pPr>
            <w:r>
              <w:rPr>
                <w:rFonts w:ascii="Times New Roman" w:hAnsi="Times New Roman"/>
                <w:b/>
                <w:bCs/>
                <w:color w:val="000000"/>
                <w:kern w:val="2"/>
                <w:sz w:val="24"/>
              </w:rPr>
              <w:t>2、厂界达标情况分析</w:t>
            </w:r>
          </w:p>
          <w:p w14:paraId="7A9712A6">
            <w:pPr>
              <w:spacing w:line="360" w:lineRule="auto"/>
              <w:ind w:firstLine="480" w:firstLineChars="200"/>
              <w:rPr>
                <w:bCs/>
                <w:color w:val="000000"/>
                <w:spacing w:val="8"/>
                <w:sz w:val="24"/>
              </w:rPr>
            </w:pPr>
            <w:r>
              <w:rPr>
                <w:color w:val="000000"/>
                <w:kern w:val="0"/>
                <w:sz w:val="24"/>
              </w:rPr>
              <w:t>预测模式采用《环境影响评价技术导则 声环境》（HJ 2.4—2021）中推荐的模型。根据建设项目噪声源和环境特征，预测过程中考虑了厂房等建筑物的屏障作用、空气吸收效应。</w:t>
            </w:r>
          </w:p>
          <w:p w14:paraId="10B3523C">
            <w:pPr>
              <w:spacing w:line="360" w:lineRule="auto"/>
              <w:ind w:firstLine="480" w:firstLineChars="200"/>
              <w:rPr>
                <w:color w:val="000000"/>
                <w:sz w:val="24"/>
              </w:rPr>
            </w:pPr>
            <w:r>
              <w:rPr>
                <w:color w:val="000000"/>
                <w:sz w:val="24"/>
              </w:rPr>
              <w:t>（1）室外声源</w:t>
            </w:r>
          </w:p>
          <w:p w14:paraId="4A6678E0">
            <w:pPr>
              <w:autoSpaceDE w:val="0"/>
              <w:autoSpaceDN w:val="0"/>
              <w:spacing w:line="360" w:lineRule="auto"/>
              <w:ind w:firstLine="480" w:firstLineChars="200"/>
              <w:rPr>
                <w:color w:val="000000"/>
                <w:sz w:val="24"/>
              </w:rPr>
            </w:pPr>
            <w:r>
              <w:rPr>
                <w:color w:val="000000"/>
                <w:sz w:val="24"/>
              </w:rPr>
              <w:t>① 计算某个声源在预测点的倍频带声压级</w:t>
            </w:r>
          </w:p>
          <w:p w14:paraId="5838023D">
            <w:pPr>
              <w:spacing w:line="360" w:lineRule="auto"/>
              <w:jc w:val="center"/>
              <w:rPr>
                <w:color w:val="000000"/>
                <w:lang w:val="zh-CN"/>
              </w:rPr>
            </w:pPr>
            <w:r>
              <w:rPr>
                <w:color w:val="000000"/>
              </w:rPr>
              <w:drawing>
                <wp:inline distT="0" distB="0" distL="114300" distR="114300">
                  <wp:extent cx="2016760" cy="436880"/>
                  <wp:effectExtent l="0" t="0" r="10160" b="444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4"/>
                          <a:stretch>
                            <a:fillRect/>
                          </a:stretch>
                        </pic:blipFill>
                        <pic:spPr>
                          <a:xfrm>
                            <a:off x="0" y="0"/>
                            <a:ext cx="2016760" cy="436880"/>
                          </a:xfrm>
                          <a:prstGeom prst="rect">
                            <a:avLst/>
                          </a:prstGeom>
                          <a:noFill/>
                          <a:ln>
                            <a:noFill/>
                          </a:ln>
                        </pic:spPr>
                      </pic:pic>
                    </a:graphicData>
                  </a:graphic>
                </wp:inline>
              </w:drawing>
            </w:r>
          </w:p>
          <w:p w14:paraId="77BAC855">
            <w:pPr>
              <w:autoSpaceDE w:val="0"/>
              <w:autoSpaceDN w:val="0"/>
              <w:spacing w:line="360" w:lineRule="auto"/>
              <w:ind w:firstLine="480" w:firstLineChars="200"/>
              <w:rPr>
                <w:iCs/>
                <w:color w:val="000000"/>
                <w:sz w:val="24"/>
                <w:lang w:val="zh-CN"/>
              </w:rPr>
            </w:pPr>
            <w:r>
              <w:rPr>
                <w:iCs/>
                <w:color w:val="000000"/>
                <w:sz w:val="24"/>
                <w:lang w:val="zh-CN"/>
              </w:rPr>
              <w:t>式中：</w:t>
            </w:r>
          </w:p>
          <w:p w14:paraId="53A44D7A">
            <w:pPr>
              <w:autoSpaceDE w:val="0"/>
              <w:autoSpaceDN w:val="0"/>
              <w:spacing w:line="360" w:lineRule="auto"/>
              <w:ind w:firstLine="960" w:firstLineChars="400"/>
              <w:rPr>
                <w:color w:val="000000"/>
                <w:sz w:val="24"/>
              </w:rPr>
            </w:pPr>
            <w:r>
              <w:rPr>
                <w:i/>
                <w:iCs/>
                <w:color w:val="000000"/>
                <w:sz w:val="24"/>
                <w:lang w:val="zh-CN"/>
              </w:rPr>
              <w:t>L</w:t>
            </w:r>
            <w:r>
              <w:rPr>
                <w:color w:val="000000"/>
                <w:sz w:val="24"/>
                <w:vertAlign w:val="subscript"/>
              </w:rPr>
              <w:t>oct</w:t>
            </w:r>
            <w:r>
              <w:rPr>
                <w:i/>
                <w:iCs/>
                <w:color w:val="000000"/>
                <w:sz w:val="24"/>
              </w:rPr>
              <w:t>(r)</w:t>
            </w:r>
            <w:r>
              <w:rPr>
                <w:color w:val="000000"/>
                <w:sz w:val="24"/>
              </w:rPr>
              <w:t>——点声源在预测点产生的倍频带声压级；</w:t>
            </w:r>
          </w:p>
          <w:p w14:paraId="613D3109">
            <w:pPr>
              <w:autoSpaceDE w:val="0"/>
              <w:autoSpaceDN w:val="0"/>
              <w:spacing w:line="360" w:lineRule="auto"/>
              <w:ind w:firstLine="960" w:firstLineChars="400"/>
              <w:rPr>
                <w:color w:val="000000"/>
                <w:sz w:val="24"/>
              </w:rPr>
            </w:pPr>
            <w:r>
              <w:rPr>
                <w:i/>
                <w:iCs/>
                <w:color w:val="000000"/>
                <w:sz w:val="24"/>
              </w:rPr>
              <w:t>L</w:t>
            </w:r>
            <w:r>
              <w:rPr>
                <w:color w:val="000000"/>
                <w:sz w:val="24"/>
                <w:vertAlign w:val="subscript"/>
              </w:rPr>
              <w:t>oct</w:t>
            </w:r>
            <w:r>
              <w:rPr>
                <w:i/>
                <w:iCs/>
                <w:color w:val="000000"/>
                <w:sz w:val="24"/>
              </w:rPr>
              <w:t>(r</w:t>
            </w:r>
            <w:r>
              <w:rPr>
                <w:i/>
                <w:iCs/>
                <w:color w:val="000000"/>
                <w:sz w:val="24"/>
                <w:vertAlign w:val="subscript"/>
              </w:rPr>
              <w:t>0</w:t>
            </w:r>
            <w:r>
              <w:rPr>
                <w:i/>
                <w:iCs/>
                <w:color w:val="000000"/>
                <w:sz w:val="24"/>
              </w:rPr>
              <w:t>)</w:t>
            </w:r>
            <w:r>
              <w:rPr>
                <w:color w:val="000000"/>
                <w:sz w:val="24"/>
              </w:rPr>
              <w:t>——参考位置</w:t>
            </w:r>
            <w:r>
              <w:rPr>
                <w:i/>
                <w:iCs/>
                <w:color w:val="000000"/>
                <w:sz w:val="24"/>
              </w:rPr>
              <w:t>r</w:t>
            </w:r>
            <w:r>
              <w:rPr>
                <w:i/>
                <w:iCs/>
                <w:color w:val="000000"/>
                <w:sz w:val="24"/>
                <w:vertAlign w:val="subscript"/>
              </w:rPr>
              <w:t>0</w:t>
            </w:r>
            <w:r>
              <w:rPr>
                <w:color w:val="000000"/>
                <w:sz w:val="24"/>
              </w:rPr>
              <w:t>处的倍频带声压级；</w:t>
            </w:r>
          </w:p>
          <w:p w14:paraId="038F1FCF">
            <w:pPr>
              <w:autoSpaceDE w:val="0"/>
              <w:autoSpaceDN w:val="0"/>
              <w:spacing w:line="360" w:lineRule="auto"/>
              <w:ind w:firstLine="960" w:firstLineChars="400"/>
              <w:rPr>
                <w:color w:val="000000"/>
                <w:sz w:val="24"/>
              </w:rPr>
            </w:pPr>
            <w:r>
              <w:rPr>
                <w:i/>
                <w:iCs/>
                <w:color w:val="000000"/>
                <w:sz w:val="24"/>
              </w:rPr>
              <w:t>r</w:t>
            </w:r>
            <w:r>
              <w:rPr>
                <w:color w:val="000000"/>
                <w:sz w:val="24"/>
              </w:rPr>
              <w:t>——预测点距声源的距离，m；</w:t>
            </w:r>
          </w:p>
          <w:p w14:paraId="24C3ED24">
            <w:pPr>
              <w:autoSpaceDE w:val="0"/>
              <w:autoSpaceDN w:val="0"/>
              <w:spacing w:line="360" w:lineRule="auto"/>
              <w:ind w:firstLine="960" w:firstLineChars="400"/>
              <w:rPr>
                <w:color w:val="000000"/>
                <w:sz w:val="24"/>
              </w:rPr>
            </w:pPr>
            <w:r>
              <w:rPr>
                <w:i/>
                <w:iCs/>
                <w:color w:val="000000"/>
                <w:sz w:val="24"/>
              </w:rPr>
              <w:t>r</w:t>
            </w:r>
            <w:r>
              <w:rPr>
                <w:i/>
                <w:iCs/>
                <w:color w:val="000000"/>
                <w:sz w:val="24"/>
                <w:vertAlign w:val="subscript"/>
              </w:rPr>
              <w:t>0</w:t>
            </w:r>
            <w:r>
              <w:rPr>
                <w:color w:val="000000"/>
                <w:sz w:val="24"/>
              </w:rPr>
              <w:t>——参考位置距声源的距离，m；</w:t>
            </w:r>
          </w:p>
          <w:p w14:paraId="0B6D469D">
            <w:pPr>
              <w:autoSpaceDE w:val="0"/>
              <w:autoSpaceDN w:val="0"/>
              <w:spacing w:line="360" w:lineRule="auto"/>
              <w:ind w:firstLine="960" w:firstLineChars="400"/>
              <w:rPr>
                <w:color w:val="000000"/>
                <w:sz w:val="24"/>
              </w:rPr>
            </w:pPr>
            <w:r>
              <w:rPr>
                <w:i/>
                <w:iCs/>
                <w:color w:val="000000"/>
                <w:sz w:val="24"/>
              </w:rPr>
              <w:t>ΔL</w:t>
            </w:r>
            <w:r>
              <w:rPr>
                <w:i/>
                <w:iCs/>
                <w:color w:val="000000"/>
                <w:sz w:val="24"/>
                <w:vertAlign w:val="subscript"/>
              </w:rPr>
              <w:t>oct</w:t>
            </w:r>
            <w:r>
              <w:rPr>
                <w:color w:val="000000"/>
                <w:sz w:val="24"/>
              </w:rPr>
              <w:t>——各种因素引起的衰减量（包括声屏障、遮挡物、空气吸收、地面效应等引起的衰减量，其计算方法详见“导则”正文）。</w:t>
            </w:r>
          </w:p>
          <w:p w14:paraId="7A3AA1EA">
            <w:pPr>
              <w:autoSpaceDE w:val="0"/>
              <w:autoSpaceDN w:val="0"/>
              <w:spacing w:line="360" w:lineRule="auto"/>
              <w:ind w:firstLine="480" w:firstLineChars="200"/>
              <w:rPr>
                <w:color w:val="000000"/>
                <w:sz w:val="24"/>
              </w:rPr>
            </w:pPr>
            <w:r>
              <w:rPr>
                <w:color w:val="000000"/>
                <w:sz w:val="24"/>
              </w:rPr>
              <w:t>如果已知声源的倍频带声功率级</w:t>
            </w:r>
            <w:r>
              <w:rPr>
                <w:i/>
                <w:iCs/>
                <w:color w:val="000000"/>
                <w:sz w:val="24"/>
              </w:rPr>
              <w:t>L</w:t>
            </w:r>
            <w:r>
              <w:rPr>
                <w:i/>
                <w:iCs/>
                <w:color w:val="000000"/>
                <w:sz w:val="24"/>
                <w:vertAlign w:val="subscript"/>
              </w:rPr>
              <w:t>w oct</w:t>
            </w:r>
            <w:r>
              <w:rPr>
                <w:color w:val="000000"/>
                <w:sz w:val="24"/>
              </w:rPr>
              <w:t>，且声源可看作是位于地面上的，则</w:t>
            </w:r>
          </w:p>
          <w:p w14:paraId="366286A5">
            <w:pPr>
              <w:autoSpaceDE w:val="0"/>
              <w:autoSpaceDN w:val="0"/>
              <w:spacing w:line="360" w:lineRule="auto"/>
              <w:jc w:val="center"/>
              <w:rPr>
                <w:color w:val="000000"/>
                <w:sz w:val="24"/>
                <w:lang w:val="zh-CN"/>
              </w:rPr>
            </w:pPr>
            <w:r>
              <w:rPr>
                <w:color w:val="000000"/>
                <w:kern w:val="0"/>
                <w:position w:val="-14"/>
                <w:sz w:val="24"/>
              </w:rPr>
              <w:drawing>
                <wp:inline distT="0" distB="0" distL="114300" distR="114300">
                  <wp:extent cx="1795780" cy="230505"/>
                  <wp:effectExtent l="0" t="0" r="2540" b="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5"/>
                          <a:stretch>
                            <a:fillRect/>
                          </a:stretch>
                        </pic:blipFill>
                        <pic:spPr>
                          <a:xfrm>
                            <a:off x="0" y="0"/>
                            <a:ext cx="1795780" cy="230505"/>
                          </a:xfrm>
                          <a:prstGeom prst="rect">
                            <a:avLst/>
                          </a:prstGeom>
                          <a:noFill/>
                          <a:ln>
                            <a:noFill/>
                          </a:ln>
                        </pic:spPr>
                      </pic:pic>
                    </a:graphicData>
                  </a:graphic>
                </wp:inline>
              </w:drawing>
            </w:r>
          </w:p>
          <w:p w14:paraId="7CD42C7F">
            <w:pPr>
              <w:autoSpaceDE w:val="0"/>
              <w:autoSpaceDN w:val="0"/>
              <w:spacing w:line="360" w:lineRule="auto"/>
              <w:ind w:firstLine="480" w:firstLineChars="200"/>
              <w:rPr>
                <w:color w:val="000000"/>
                <w:sz w:val="24"/>
              </w:rPr>
            </w:pPr>
            <w:r>
              <w:rPr>
                <w:color w:val="000000"/>
                <w:sz w:val="24"/>
              </w:rPr>
              <w:t>② 由各倍频带声压级合成计算出该声源产生的声级</w:t>
            </w:r>
            <w:r>
              <w:rPr>
                <w:i/>
                <w:iCs/>
                <w:color w:val="000000"/>
                <w:sz w:val="24"/>
              </w:rPr>
              <w:t>L</w:t>
            </w:r>
            <w:r>
              <w:rPr>
                <w:i/>
                <w:iCs/>
                <w:color w:val="000000"/>
                <w:sz w:val="24"/>
                <w:vertAlign w:val="subscript"/>
              </w:rPr>
              <w:t>A</w:t>
            </w:r>
            <w:r>
              <w:rPr>
                <w:color w:val="000000"/>
                <w:sz w:val="24"/>
              </w:rPr>
              <w:t>。</w:t>
            </w:r>
          </w:p>
          <w:p w14:paraId="72BC0C0E">
            <w:pPr>
              <w:autoSpaceDE w:val="0"/>
              <w:autoSpaceDN w:val="0"/>
              <w:spacing w:line="360" w:lineRule="auto"/>
              <w:ind w:firstLine="480" w:firstLineChars="200"/>
              <w:rPr>
                <w:color w:val="000000"/>
                <w:sz w:val="24"/>
              </w:rPr>
            </w:pPr>
            <w:r>
              <w:rPr>
                <w:bCs/>
                <w:color w:val="000000"/>
                <w:sz w:val="24"/>
              </w:rPr>
              <w:t>（2）室内声源</w:t>
            </w:r>
          </w:p>
          <w:p w14:paraId="3327621C">
            <w:pPr>
              <w:autoSpaceDE w:val="0"/>
              <w:autoSpaceDN w:val="0"/>
              <w:spacing w:line="360" w:lineRule="auto"/>
              <w:ind w:firstLine="480" w:firstLineChars="200"/>
              <w:rPr>
                <w:color w:val="000000"/>
                <w:sz w:val="24"/>
              </w:rPr>
            </w:pPr>
            <w:r>
              <w:rPr>
                <w:color w:val="000000"/>
                <w:sz w:val="24"/>
              </w:rPr>
              <w:t>① 首先计算出某个室内靠近围护结构处的倍频带声压级：</w:t>
            </w:r>
          </w:p>
          <w:p w14:paraId="08EB8ABE">
            <w:pPr>
              <w:spacing w:line="360" w:lineRule="auto"/>
              <w:jc w:val="center"/>
              <w:rPr>
                <w:color w:val="000000"/>
                <w:lang w:val="zh-CN"/>
              </w:rPr>
            </w:pPr>
            <w:r>
              <w:rPr>
                <w:color w:val="000000"/>
              </w:rPr>
              <w:drawing>
                <wp:inline distT="0" distB="0" distL="114300" distR="114300">
                  <wp:extent cx="2017395" cy="485775"/>
                  <wp:effectExtent l="0" t="0" r="9525" b="190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6"/>
                          <a:stretch>
                            <a:fillRect/>
                          </a:stretch>
                        </pic:blipFill>
                        <pic:spPr>
                          <a:xfrm>
                            <a:off x="0" y="0"/>
                            <a:ext cx="2017395" cy="485775"/>
                          </a:xfrm>
                          <a:prstGeom prst="rect">
                            <a:avLst/>
                          </a:prstGeom>
                          <a:noFill/>
                          <a:ln>
                            <a:noFill/>
                          </a:ln>
                        </pic:spPr>
                      </pic:pic>
                    </a:graphicData>
                  </a:graphic>
                </wp:inline>
              </w:drawing>
            </w:r>
          </w:p>
          <w:p w14:paraId="4F3641D6">
            <w:pPr>
              <w:autoSpaceDE w:val="0"/>
              <w:autoSpaceDN w:val="0"/>
              <w:spacing w:line="360" w:lineRule="auto"/>
              <w:ind w:firstLine="480" w:firstLineChars="200"/>
              <w:rPr>
                <w:color w:val="000000"/>
                <w:sz w:val="24"/>
                <w:lang w:val="zh-CN"/>
              </w:rPr>
            </w:pPr>
            <w:r>
              <w:rPr>
                <w:color w:val="000000"/>
                <w:sz w:val="24"/>
                <w:lang w:val="zh-CN"/>
              </w:rPr>
              <w:t>式中：</w:t>
            </w:r>
          </w:p>
          <w:p w14:paraId="6F888C06">
            <w:pPr>
              <w:autoSpaceDE w:val="0"/>
              <w:autoSpaceDN w:val="0"/>
              <w:spacing w:line="360" w:lineRule="auto"/>
              <w:ind w:firstLine="960" w:firstLineChars="400"/>
              <w:rPr>
                <w:color w:val="000000"/>
                <w:sz w:val="24"/>
              </w:rPr>
            </w:pPr>
            <w:r>
              <w:rPr>
                <w:i/>
                <w:iCs/>
                <w:color w:val="000000"/>
                <w:sz w:val="24"/>
                <w:lang w:val="zh-CN"/>
              </w:rPr>
              <w:t>L</w:t>
            </w:r>
            <w:r>
              <w:rPr>
                <w:i/>
                <w:iCs/>
                <w:color w:val="000000"/>
                <w:sz w:val="24"/>
                <w:vertAlign w:val="subscript"/>
              </w:rPr>
              <w:t>oct,1</w:t>
            </w:r>
            <w:r>
              <w:rPr>
                <w:color w:val="000000"/>
                <w:sz w:val="24"/>
              </w:rPr>
              <w:t>——某个室内声源在靠近围护结构处产生的倍频带声压级</w:t>
            </w:r>
            <w:r>
              <w:rPr>
                <w:rFonts w:hint="eastAsia"/>
                <w:color w:val="000000"/>
                <w:sz w:val="24"/>
              </w:rPr>
              <w:t>；</w:t>
            </w:r>
          </w:p>
          <w:p w14:paraId="6470C7DA">
            <w:pPr>
              <w:autoSpaceDE w:val="0"/>
              <w:autoSpaceDN w:val="0"/>
              <w:spacing w:line="360" w:lineRule="auto"/>
              <w:ind w:firstLine="960" w:firstLineChars="400"/>
              <w:rPr>
                <w:color w:val="000000"/>
                <w:sz w:val="24"/>
              </w:rPr>
            </w:pPr>
            <w:r>
              <w:rPr>
                <w:i/>
                <w:iCs/>
                <w:color w:val="000000"/>
                <w:sz w:val="24"/>
              </w:rPr>
              <w:t>L</w:t>
            </w:r>
            <w:r>
              <w:rPr>
                <w:i/>
                <w:iCs/>
                <w:color w:val="000000"/>
                <w:sz w:val="24"/>
                <w:vertAlign w:val="subscript"/>
              </w:rPr>
              <w:t>w oct</w:t>
            </w:r>
            <w:r>
              <w:rPr>
                <w:color w:val="000000"/>
                <w:sz w:val="24"/>
              </w:rPr>
              <w:t>——某个声源的倍频带声功率级</w:t>
            </w:r>
            <w:r>
              <w:rPr>
                <w:rFonts w:hint="eastAsia"/>
                <w:color w:val="000000"/>
                <w:sz w:val="24"/>
              </w:rPr>
              <w:t>；</w:t>
            </w:r>
          </w:p>
          <w:p w14:paraId="55AFD1D5">
            <w:pPr>
              <w:autoSpaceDE w:val="0"/>
              <w:autoSpaceDN w:val="0"/>
              <w:spacing w:line="360" w:lineRule="auto"/>
              <w:ind w:firstLine="960" w:firstLineChars="400"/>
              <w:rPr>
                <w:color w:val="000000"/>
                <w:sz w:val="24"/>
              </w:rPr>
            </w:pPr>
            <w:r>
              <w:rPr>
                <w:color w:val="000000"/>
                <w:sz w:val="24"/>
              </w:rPr>
              <w:t>r</w:t>
            </w:r>
            <w:r>
              <w:rPr>
                <w:color w:val="000000"/>
                <w:sz w:val="24"/>
                <w:vertAlign w:val="subscript"/>
              </w:rPr>
              <w:t>1</w:t>
            </w:r>
            <w:r>
              <w:rPr>
                <w:color w:val="000000"/>
                <w:sz w:val="24"/>
              </w:rPr>
              <w:t>——室内某个声源与靠近围护结构处的距离</w:t>
            </w:r>
            <w:r>
              <w:rPr>
                <w:rFonts w:hint="eastAsia"/>
                <w:color w:val="000000"/>
                <w:sz w:val="24"/>
              </w:rPr>
              <w:t>；</w:t>
            </w:r>
          </w:p>
          <w:p w14:paraId="5511B7D6">
            <w:pPr>
              <w:autoSpaceDE w:val="0"/>
              <w:autoSpaceDN w:val="0"/>
              <w:spacing w:line="360" w:lineRule="auto"/>
              <w:ind w:firstLine="960" w:firstLineChars="400"/>
              <w:rPr>
                <w:color w:val="000000"/>
                <w:sz w:val="24"/>
              </w:rPr>
            </w:pPr>
            <w:r>
              <w:rPr>
                <w:color w:val="000000"/>
                <w:sz w:val="24"/>
              </w:rPr>
              <w:t>R——房间常数</w:t>
            </w:r>
            <w:r>
              <w:rPr>
                <w:rFonts w:hint="eastAsia"/>
                <w:color w:val="000000"/>
                <w:sz w:val="24"/>
              </w:rPr>
              <w:t>；</w:t>
            </w:r>
          </w:p>
          <w:p w14:paraId="23C67651">
            <w:pPr>
              <w:autoSpaceDE w:val="0"/>
              <w:autoSpaceDN w:val="0"/>
              <w:spacing w:line="360" w:lineRule="auto"/>
              <w:ind w:firstLine="960" w:firstLineChars="400"/>
              <w:rPr>
                <w:color w:val="000000"/>
                <w:sz w:val="24"/>
              </w:rPr>
            </w:pPr>
            <w:r>
              <w:rPr>
                <w:color w:val="000000"/>
                <w:sz w:val="24"/>
              </w:rPr>
              <w:t>Q——方向因子。</w:t>
            </w:r>
          </w:p>
          <w:p w14:paraId="0FB5D8A5">
            <w:pPr>
              <w:autoSpaceDE w:val="0"/>
              <w:autoSpaceDN w:val="0"/>
              <w:spacing w:line="360" w:lineRule="auto"/>
              <w:ind w:firstLine="480" w:firstLineChars="200"/>
              <w:rPr>
                <w:color w:val="000000"/>
                <w:sz w:val="24"/>
              </w:rPr>
            </w:pPr>
            <w:r>
              <w:rPr>
                <w:color w:val="000000"/>
                <w:sz w:val="24"/>
              </w:rPr>
              <w:t>② 计算出所有室内声源在靠近围护结构处产生的总倍频带声压级：</w:t>
            </w:r>
          </w:p>
          <w:p w14:paraId="4E44F5E7">
            <w:pPr>
              <w:spacing w:line="360" w:lineRule="auto"/>
              <w:jc w:val="center"/>
              <w:rPr>
                <w:color w:val="000000"/>
              </w:rPr>
            </w:pPr>
            <w:r>
              <w:rPr>
                <w:color w:val="000000"/>
              </w:rPr>
              <w:drawing>
                <wp:inline distT="0" distB="0" distL="114300" distR="114300">
                  <wp:extent cx="1837690" cy="461010"/>
                  <wp:effectExtent l="0" t="0" r="6350" b="114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1837690" cy="461010"/>
                          </a:xfrm>
                          <a:prstGeom prst="rect">
                            <a:avLst/>
                          </a:prstGeom>
                          <a:noFill/>
                          <a:ln>
                            <a:noFill/>
                          </a:ln>
                        </pic:spPr>
                      </pic:pic>
                    </a:graphicData>
                  </a:graphic>
                </wp:inline>
              </w:drawing>
            </w:r>
          </w:p>
          <w:p w14:paraId="469A6F17">
            <w:pPr>
              <w:autoSpaceDE w:val="0"/>
              <w:autoSpaceDN w:val="0"/>
              <w:spacing w:line="360" w:lineRule="auto"/>
              <w:ind w:firstLine="480" w:firstLineChars="200"/>
              <w:rPr>
                <w:color w:val="000000"/>
                <w:sz w:val="24"/>
              </w:rPr>
            </w:pPr>
            <w:r>
              <w:rPr>
                <w:color w:val="000000"/>
                <w:sz w:val="24"/>
              </w:rPr>
              <w:t>③ 计算出室外靠近围护结构处的声压级：</w:t>
            </w:r>
          </w:p>
          <w:p w14:paraId="2DA4ACD5">
            <w:pPr>
              <w:autoSpaceDE w:val="0"/>
              <w:autoSpaceDN w:val="0"/>
              <w:spacing w:line="360" w:lineRule="auto"/>
              <w:ind w:firstLine="360" w:firstLineChars="200"/>
              <w:jc w:val="center"/>
              <w:rPr>
                <w:color w:val="000000"/>
              </w:rPr>
            </w:pPr>
            <w:r>
              <w:rPr>
                <w:color w:val="000000"/>
                <w:kern w:val="0"/>
                <w:sz w:val="18"/>
                <w:szCs w:val="18"/>
              </w:rPr>
              <w:drawing>
                <wp:inline distT="0" distB="0" distL="114300" distR="114300">
                  <wp:extent cx="1952625" cy="230505"/>
                  <wp:effectExtent l="0" t="0" r="13335" b="139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1952625" cy="230505"/>
                          </a:xfrm>
                          <a:prstGeom prst="rect">
                            <a:avLst/>
                          </a:prstGeom>
                          <a:noFill/>
                          <a:ln>
                            <a:noFill/>
                          </a:ln>
                        </pic:spPr>
                      </pic:pic>
                    </a:graphicData>
                  </a:graphic>
                </wp:inline>
              </w:drawing>
            </w:r>
          </w:p>
          <w:p w14:paraId="21873B4D">
            <w:pPr>
              <w:autoSpaceDE w:val="0"/>
              <w:autoSpaceDN w:val="0"/>
              <w:spacing w:line="360" w:lineRule="auto"/>
              <w:ind w:firstLine="480" w:firstLineChars="200"/>
              <w:jc w:val="left"/>
              <w:rPr>
                <w:color w:val="000000"/>
                <w:sz w:val="24"/>
              </w:rPr>
            </w:pPr>
            <w:r>
              <w:rPr>
                <w:color w:val="000000"/>
                <w:sz w:val="24"/>
              </w:rPr>
              <w:t>④ 将室外声级</w:t>
            </w:r>
            <w:r>
              <w:rPr>
                <w:i/>
                <w:iCs/>
                <w:color w:val="000000"/>
                <w:sz w:val="24"/>
              </w:rPr>
              <w:t>L</w:t>
            </w:r>
            <w:r>
              <w:rPr>
                <w:i/>
                <w:iCs/>
                <w:color w:val="000000"/>
                <w:sz w:val="24"/>
                <w:vertAlign w:val="subscript"/>
              </w:rPr>
              <w:t>oct,2</w:t>
            </w:r>
            <w:r>
              <w:rPr>
                <w:i/>
                <w:iCs/>
                <w:color w:val="000000"/>
                <w:sz w:val="24"/>
              </w:rPr>
              <w:t>(T)</w:t>
            </w:r>
            <w:r>
              <w:rPr>
                <w:color w:val="000000"/>
                <w:sz w:val="24"/>
              </w:rPr>
              <w:t>和透声面积换算成等效的室外声源，计算出等效声源第i个倍频带的声功率级</w:t>
            </w:r>
            <w:r>
              <w:rPr>
                <w:i/>
                <w:iCs/>
                <w:color w:val="000000"/>
                <w:sz w:val="24"/>
              </w:rPr>
              <w:t>L</w:t>
            </w:r>
            <w:r>
              <w:rPr>
                <w:i/>
                <w:iCs/>
                <w:color w:val="000000"/>
                <w:sz w:val="24"/>
                <w:vertAlign w:val="subscript"/>
              </w:rPr>
              <w:t>w oct</w:t>
            </w:r>
            <w:r>
              <w:rPr>
                <w:color w:val="000000"/>
                <w:sz w:val="24"/>
              </w:rPr>
              <w:t>：</w:t>
            </w:r>
          </w:p>
          <w:p w14:paraId="5BFABD3B">
            <w:pPr>
              <w:spacing w:line="360" w:lineRule="auto"/>
              <w:jc w:val="center"/>
              <w:rPr>
                <w:color w:val="000000"/>
              </w:rPr>
            </w:pPr>
            <w:r>
              <w:rPr>
                <w:color w:val="000000"/>
              </w:rPr>
              <w:drawing>
                <wp:inline distT="0" distB="0" distL="114300" distR="114300">
                  <wp:extent cx="1929765" cy="273685"/>
                  <wp:effectExtent l="0" t="0" r="5715" b="0"/>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19"/>
                          <a:stretch>
                            <a:fillRect/>
                          </a:stretch>
                        </pic:blipFill>
                        <pic:spPr>
                          <a:xfrm>
                            <a:off x="0" y="0"/>
                            <a:ext cx="1929765" cy="273685"/>
                          </a:xfrm>
                          <a:prstGeom prst="rect">
                            <a:avLst/>
                          </a:prstGeom>
                          <a:noFill/>
                          <a:ln>
                            <a:noFill/>
                          </a:ln>
                        </pic:spPr>
                      </pic:pic>
                    </a:graphicData>
                  </a:graphic>
                </wp:inline>
              </w:drawing>
            </w:r>
          </w:p>
          <w:p w14:paraId="3D3A6C7B">
            <w:pPr>
              <w:autoSpaceDE w:val="0"/>
              <w:autoSpaceDN w:val="0"/>
              <w:spacing w:line="360" w:lineRule="auto"/>
              <w:ind w:firstLine="480" w:firstLineChars="200"/>
              <w:jc w:val="left"/>
              <w:rPr>
                <w:color w:val="000000"/>
                <w:sz w:val="24"/>
              </w:rPr>
            </w:pPr>
            <w:r>
              <w:rPr>
                <w:color w:val="000000"/>
                <w:sz w:val="24"/>
              </w:rPr>
              <w:t>式中：</w:t>
            </w:r>
          </w:p>
          <w:p w14:paraId="056081AE">
            <w:pPr>
              <w:autoSpaceDE w:val="0"/>
              <w:autoSpaceDN w:val="0"/>
              <w:spacing w:line="360" w:lineRule="auto"/>
              <w:ind w:firstLine="960" w:firstLineChars="400"/>
              <w:jc w:val="left"/>
              <w:rPr>
                <w:color w:val="000000"/>
                <w:sz w:val="24"/>
              </w:rPr>
            </w:pPr>
            <w:r>
              <w:rPr>
                <w:color w:val="000000"/>
                <w:sz w:val="24"/>
              </w:rPr>
              <w:t>S——透声面积，m</w:t>
            </w:r>
            <w:r>
              <w:rPr>
                <w:color w:val="000000"/>
                <w:sz w:val="24"/>
                <w:vertAlign w:val="superscript"/>
              </w:rPr>
              <w:t>2</w:t>
            </w:r>
            <w:r>
              <w:rPr>
                <w:color w:val="000000"/>
                <w:sz w:val="24"/>
              </w:rPr>
              <w:t>。</w:t>
            </w:r>
          </w:p>
          <w:p w14:paraId="625B9F44">
            <w:pPr>
              <w:autoSpaceDE w:val="0"/>
              <w:autoSpaceDN w:val="0"/>
              <w:spacing w:line="360" w:lineRule="auto"/>
              <w:ind w:firstLine="480" w:firstLineChars="200"/>
              <w:jc w:val="left"/>
              <w:rPr>
                <w:color w:val="000000"/>
                <w:sz w:val="24"/>
              </w:rPr>
            </w:pPr>
            <w:r>
              <w:rPr>
                <w:color w:val="000000"/>
                <w:sz w:val="24"/>
              </w:rPr>
              <w:t>⑤ 等效室外声源的位置为围护结构的位置，其倍频带声功率级为</w:t>
            </w:r>
            <w:r>
              <w:rPr>
                <w:i/>
                <w:iCs/>
                <w:color w:val="000000"/>
                <w:sz w:val="24"/>
              </w:rPr>
              <w:t>L</w:t>
            </w:r>
            <w:r>
              <w:rPr>
                <w:i/>
                <w:iCs/>
                <w:color w:val="000000"/>
                <w:sz w:val="24"/>
                <w:vertAlign w:val="subscript"/>
              </w:rPr>
              <w:t>w oct</w:t>
            </w:r>
            <w:r>
              <w:rPr>
                <w:color w:val="000000"/>
                <w:sz w:val="24"/>
              </w:rPr>
              <w:t>，由此按室外声源方法计算等效室外声源在预测点产生的声级。</w:t>
            </w:r>
          </w:p>
          <w:p w14:paraId="6FF9D03D">
            <w:pPr>
              <w:autoSpaceDE w:val="0"/>
              <w:autoSpaceDN w:val="0"/>
              <w:spacing w:line="360" w:lineRule="auto"/>
              <w:ind w:firstLine="480" w:firstLineChars="200"/>
              <w:jc w:val="left"/>
              <w:rPr>
                <w:color w:val="000000"/>
                <w:sz w:val="24"/>
              </w:rPr>
            </w:pPr>
            <w:r>
              <w:rPr>
                <w:bCs/>
                <w:color w:val="000000"/>
                <w:sz w:val="24"/>
              </w:rPr>
              <w:t>（3）计算总声压级</w:t>
            </w:r>
          </w:p>
          <w:p w14:paraId="5DB69A83">
            <w:pPr>
              <w:autoSpaceDE w:val="0"/>
              <w:autoSpaceDN w:val="0"/>
              <w:spacing w:line="360" w:lineRule="auto"/>
              <w:ind w:firstLine="480" w:firstLineChars="200"/>
              <w:jc w:val="left"/>
              <w:rPr>
                <w:color w:val="000000"/>
                <w:sz w:val="24"/>
              </w:rPr>
            </w:pPr>
            <w:r>
              <w:rPr>
                <w:color w:val="000000"/>
                <w:sz w:val="24"/>
              </w:rPr>
              <w:t>设第i个室外声源在预测点产生的A声级为</w:t>
            </w:r>
            <w:r>
              <w:rPr>
                <w:i/>
                <w:iCs/>
                <w:color w:val="000000"/>
                <w:sz w:val="24"/>
              </w:rPr>
              <w:t>L</w:t>
            </w:r>
            <w:r>
              <w:rPr>
                <w:i/>
                <w:iCs/>
                <w:color w:val="000000"/>
                <w:sz w:val="24"/>
                <w:vertAlign w:val="subscript"/>
              </w:rPr>
              <w:t>A in,i</w:t>
            </w:r>
            <w:r>
              <w:rPr>
                <w:color w:val="000000"/>
                <w:sz w:val="24"/>
              </w:rPr>
              <w:t>，在T时间内该声源工作时间为</w:t>
            </w:r>
            <w:r>
              <w:rPr>
                <w:i/>
                <w:iCs/>
                <w:color w:val="000000"/>
                <w:sz w:val="24"/>
              </w:rPr>
              <w:t>t</w:t>
            </w:r>
            <w:r>
              <w:rPr>
                <w:i/>
                <w:iCs/>
                <w:color w:val="000000"/>
                <w:sz w:val="24"/>
                <w:vertAlign w:val="subscript"/>
              </w:rPr>
              <w:t>in,i</w:t>
            </w:r>
            <w:r>
              <w:rPr>
                <w:color w:val="000000"/>
                <w:sz w:val="24"/>
              </w:rPr>
              <w:t>；第j个等效室外声源在预测点产生的A声级为</w:t>
            </w:r>
            <w:r>
              <w:rPr>
                <w:i/>
                <w:iCs/>
                <w:color w:val="000000"/>
                <w:sz w:val="24"/>
              </w:rPr>
              <w:t>L</w:t>
            </w:r>
            <w:r>
              <w:rPr>
                <w:i/>
                <w:iCs/>
                <w:color w:val="000000"/>
                <w:sz w:val="24"/>
                <w:vertAlign w:val="subscript"/>
              </w:rPr>
              <w:t>A out,j</w:t>
            </w:r>
            <w:r>
              <w:rPr>
                <w:color w:val="000000"/>
                <w:sz w:val="24"/>
              </w:rPr>
              <w:t>，在T时间内该声源工作时间为</w:t>
            </w:r>
            <w:r>
              <w:rPr>
                <w:i/>
                <w:iCs/>
                <w:color w:val="000000"/>
                <w:sz w:val="24"/>
              </w:rPr>
              <w:t>t</w:t>
            </w:r>
            <w:r>
              <w:rPr>
                <w:i/>
                <w:iCs/>
                <w:color w:val="000000"/>
                <w:sz w:val="24"/>
                <w:vertAlign w:val="subscript"/>
              </w:rPr>
              <w:t>out,j</w:t>
            </w:r>
            <w:r>
              <w:rPr>
                <w:color w:val="000000"/>
                <w:sz w:val="24"/>
              </w:rPr>
              <w:t>，则预测点的总等效声级为：</w:t>
            </w:r>
          </w:p>
          <w:p w14:paraId="41527239">
            <w:pPr>
              <w:spacing w:line="360" w:lineRule="auto"/>
              <w:jc w:val="center"/>
              <w:rPr>
                <w:color w:val="000000"/>
              </w:rPr>
            </w:pPr>
            <w:r>
              <w:rPr>
                <w:color w:val="000000"/>
              </w:rPr>
              <w:drawing>
                <wp:inline distT="0" distB="0" distL="114300" distR="114300">
                  <wp:extent cx="3409315" cy="485775"/>
                  <wp:effectExtent l="0" t="0" r="4445" b="1905"/>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20"/>
                          <a:stretch>
                            <a:fillRect/>
                          </a:stretch>
                        </pic:blipFill>
                        <pic:spPr>
                          <a:xfrm>
                            <a:off x="0" y="0"/>
                            <a:ext cx="3409315" cy="485775"/>
                          </a:xfrm>
                          <a:prstGeom prst="rect">
                            <a:avLst/>
                          </a:prstGeom>
                          <a:noFill/>
                          <a:ln>
                            <a:noFill/>
                          </a:ln>
                        </pic:spPr>
                      </pic:pic>
                    </a:graphicData>
                  </a:graphic>
                </wp:inline>
              </w:drawing>
            </w:r>
          </w:p>
          <w:p w14:paraId="12F4DE5C">
            <w:pPr>
              <w:widowControl/>
              <w:spacing w:line="360" w:lineRule="auto"/>
              <w:ind w:firstLine="480" w:firstLineChars="200"/>
              <w:jc w:val="left"/>
              <w:rPr>
                <w:color w:val="000000"/>
                <w:sz w:val="24"/>
              </w:rPr>
            </w:pPr>
            <w:r>
              <w:rPr>
                <w:color w:val="000000"/>
                <w:sz w:val="24"/>
              </w:rPr>
              <w:t>式中：</w:t>
            </w:r>
          </w:p>
          <w:p w14:paraId="5703273E">
            <w:pPr>
              <w:widowControl/>
              <w:spacing w:line="360" w:lineRule="auto"/>
              <w:ind w:firstLine="960" w:firstLineChars="400"/>
              <w:jc w:val="left"/>
              <w:rPr>
                <w:color w:val="000000"/>
                <w:sz w:val="24"/>
              </w:rPr>
            </w:pPr>
            <w:r>
              <w:rPr>
                <w:color w:val="000000"/>
                <w:sz w:val="24"/>
              </w:rPr>
              <w:t>T——计算等效声级的时间</w:t>
            </w:r>
            <w:r>
              <w:rPr>
                <w:rFonts w:hint="eastAsia"/>
                <w:color w:val="000000"/>
                <w:sz w:val="24"/>
              </w:rPr>
              <w:t>；</w:t>
            </w:r>
          </w:p>
          <w:p w14:paraId="2F055BBA">
            <w:pPr>
              <w:widowControl/>
              <w:spacing w:line="360" w:lineRule="auto"/>
              <w:ind w:firstLine="960" w:firstLineChars="400"/>
              <w:jc w:val="left"/>
              <w:rPr>
                <w:color w:val="000000"/>
                <w:sz w:val="24"/>
              </w:rPr>
            </w:pPr>
            <w:r>
              <w:rPr>
                <w:color w:val="000000"/>
                <w:sz w:val="24"/>
              </w:rPr>
              <w:t>N——室外声源个数</w:t>
            </w:r>
            <w:r>
              <w:rPr>
                <w:rFonts w:hint="eastAsia"/>
                <w:color w:val="000000"/>
                <w:sz w:val="24"/>
              </w:rPr>
              <w:t>；</w:t>
            </w:r>
          </w:p>
          <w:p w14:paraId="7B9CBF1D">
            <w:pPr>
              <w:widowControl/>
              <w:spacing w:line="360" w:lineRule="auto"/>
              <w:ind w:firstLine="960" w:firstLineChars="400"/>
              <w:jc w:val="left"/>
              <w:rPr>
                <w:bCs/>
                <w:color w:val="000000"/>
                <w:spacing w:val="8"/>
                <w:sz w:val="24"/>
              </w:rPr>
            </w:pPr>
            <w:r>
              <w:rPr>
                <w:color w:val="000000"/>
                <w:sz w:val="24"/>
              </w:rPr>
              <w:t>M——等效室外声源个数。</w:t>
            </w:r>
          </w:p>
          <w:p w14:paraId="475CC5DA">
            <w:pPr>
              <w:pStyle w:val="44"/>
              <w:spacing w:before="0" w:line="360" w:lineRule="auto"/>
              <w:ind w:firstLine="480" w:firstLineChars="200"/>
              <w:rPr>
                <w:rFonts w:ascii="Times New Roman" w:hAnsi="Times New Roman"/>
                <w:color w:val="000000"/>
                <w:kern w:val="2"/>
                <w:sz w:val="24"/>
              </w:rPr>
            </w:pPr>
            <w:r>
              <w:rPr>
                <w:rFonts w:ascii="Times New Roman" w:hAnsi="Times New Roman"/>
                <w:color w:val="000000"/>
                <w:kern w:val="2"/>
                <w:sz w:val="24"/>
              </w:rPr>
              <w:t>（4）预测结果</w:t>
            </w:r>
          </w:p>
          <w:p w14:paraId="4D1F2206">
            <w:pPr>
              <w:pStyle w:val="44"/>
              <w:spacing w:before="0" w:line="360" w:lineRule="auto"/>
              <w:ind w:firstLine="480" w:firstLineChars="200"/>
              <w:rPr>
                <w:rFonts w:ascii="Times New Roman" w:hAnsi="Times New Roman"/>
                <w:color w:val="000000"/>
                <w:kern w:val="2"/>
                <w:sz w:val="24"/>
              </w:rPr>
            </w:pPr>
            <w:r>
              <w:rPr>
                <w:rFonts w:ascii="Times New Roman" w:hAnsi="Times New Roman"/>
                <w:color w:val="000000"/>
                <w:kern w:val="2"/>
                <w:sz w:val="24"/>
              </w:rPr>
              <w:t>项目噪声预测结果见下表。</w:t>
            </w:r>
          </w:p>
          <w:p w14:paraId="3E691440">
            <w:pPr>
              <w:jc w:val="center"/>
              <w:rPr>
                <w:b/>
                <w:bCs/>
                <w:color w:val="000000"/>
                <w:sz w:val="24"/>
              </w:rPr>
            </w:pPr>
            <w:r>
              <w:rPr>
                <w:b/>
                <w:bCs/>
                <w:color w:val="000000"/>
                <w:sz w:val="24"/>
              </w:rPr>
              <w:t>表4-</w:t>
            </w:r>
            <w:r>
              <w:rPr>
                <w:rFonts w:hint="eastAsia"/>
                <w:b/>
                <w:bCs/>
                <w:color w:val="000000"/>
                <w:sz w:val="24"/>
              </w:rPr>
              <w:t>10</w:t>
            </w:r>
            <w:r>
              <w:rPr>
                <w:b/>
                <w:bCs/>
                <w:color w:val="000000"/>
                <w:sz w:val="24"/>
              </w:rPr>
              <w:t xml:space="preserve">  噪声预测结果  单位：dB（A）</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2"/>
              <w:gridCol w:w="1364"/>
              <w:gridCol w:w="1946"/>
              <w:gridCol w:w="1950"/>
              <w:gridCol w:w="1634"/>
            </w:tblGrid>
            <w:tr w14:paraId="2495D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9" w:type="pct"/>
                  <w:vMerge w:val="restart"/>
                  <w:vAlign w:val="center"/>
                </w:tcPr>
                <w:p w14:paraId="603AAD72">
                  <w:pPr>
                    <w:jc w:val="center"/>
                    <w:rPr>
                      <w:rFonts w:eastAsiaTheme="minorEastAsia"/>
                      <w:bCs/>
                      <w:szCs w:val="21"/>
                    </w:rPr>
                  </w:pPr>
                  <w:r>
                    <w:rPr>
                      <w:rFonts w:eastAsiaTheme="minorEastAsia"/>
                      <w:bCs/>
                      <w:szCs w:val="21"/>
                    </w:rPr>
                    <w:t>厂界</w:t>
                  </w:r>
                </w:p>
              </w:tc>
              <w:tc>
                <w:tcPr>
                  <w:tcW w:w="811" w:type="pct"/>
                  <w:vMerge w:val="restart"/>
                  <w:vAlign w:val="center"/>
                </w:tcPr>
                <w:p w14:paraId="461CD238">
                  <w:pPr>
                    <w:jc w:val="center"/>
                    <w:rPr>
                      <w:rFonts w:eastAsiaTheme="minorEastAsia"/>
                      <w:bCs/>
                      <w:szCs w:val="21"/>
                    </w:rPr>
                  </w:pPr>
                  <w:r>
                    <w:rPr>
                      <w:rFonts w:eastAsiaTheme="minorEastAsia"/>
                      <w:bCs/>
                      <w:szCs w:val="21"/>
                    </w:rPr>
                    <w:t>时段</w:t>
                  </w:r>
                </w:p>
              </w:tc>
              <w:tc>
                <w:tcPr>
                  <w:tcW w:w="1157" w:type="pct"/>
                  <w:vMerge w:val="restart"/>
                  <w:vAlign w:val="center"/>
                </w:tcPr>
                <w:p w14:paraId="5AB98615">
                  <w:pPr>
                    <w:jc w:val="center"/>
                    <w:rPr>
                      <w:rFonts w:eastAsiaTheme="minorEastAsia"/>
                      <w:bCs/>
                      <w:szCs w:val="21"/>
                    </w:rPr>
                  </w:pPr>
                  <w:r>
                    <w:rPr>
                      <w:rFonts w:eastAsiaTheme="minorEastAsia"/>
                      <w:bCs/>
                      <w:szCs w:val="21"/>
                    </w:rPr>
                    <w:t>贡献值（dB(A)）</w:t>
                  </w:r>
                </w:p>
              </w:tc>
              <w:tc>
                <w:tcPr>
                  <w:tcW w:w="1159" w:type="pct"/>
                  <w:vMerge w:val="restart"/>
                  <w:vAlign w:val="center"/>
                </w:tcPr>
                <w:p w14:paraId="1A59C85F">
                  <w:pPr>
                    <w:jc w:val="center"/>
                    <w:rPr>
                      <w:rFonts w:eastAsiaTheme="minorEastAsia"/>
                      <w:bCs/>
                      <w:szCs w:val="21"/>
                    </w:rPr>
                  </w:pPr>
                  <w:r>
                    <w:rPr>
                      <w:rFonts w:eastAsiaTheme="minorEastAsia"/>
                      <w:bCs/>
                      <w:szCs w:val="21"/>
                    </w:rPr>
                    <w:t>标准限值（dB(A)）</w:t>
                  </w:r>
                </w:p>
              </w:tc>
              <w:tc>
                <w:tcPr>
                  <w:tcW w:w="971" w:type="pct"/>
                  <w:vMerge w:val="restart"/>
                  <w:vAlign w:val="center"/>
                </w:tcPr>
                <w:p w14:paraId="016897D7">
                  <w:pPr>
                    <w:jc w:val="center"/>
                    <w:rPr>
                      <w:rFonts w:eastAsiaTheme="minorEastAsia"/>
                      <w:bCs/>
                      <w:szCs w:val="21"/>
                    </w:rPr>
                  </w:pPr>
                  <w:r>
                    <w:rPr>
                      <w:rFonts w:eastAsiaTheme="minorEastAsia"/>
                      <w:bCs/>
                      <w:szCs w:val="21"/>
                    </w:rPr>
                    <w:t>达标情况</w:t>
                  </w:r>
                </w:p>
              </w:tc>
            </w:tr>
            <w:tr w14:paraId="253D8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9" w:type="pct"/>
                  <w:vMerge w:val="continue"/>
                  <w:shd w:val="clear" w:color="auto" w:fill="FFFFFF"/>
                  <w:vAlign w:val="center"/>
                </w:tcPr>
                <w:p w14:paraId="235FD7BE">
                  <w:pPr>
                    <w:jc w:val="center"/>
                    <w:rPr>
                      <w:rFonts w:eastAsiaTheme="minorEastAsia"/>
                      <w:szCs w:val="21"/>
                    </w:rPr>
                  </w:pPr>
                </w:p>
              </w:tc>
              <w:tc>
                <w:tcPr>
                  <w:tcW w:w="811" w:type="pct"/>
                  <w:vMerge w:val="continue"/>
                  <w:shd w:val="clear" w:color="auto" w:fill="FFFFFF"/>
                  <w:vAlign w:val="center"/>
                </w:tcPr>
                <w:p w14:paraId="2EE446A4">
                  <w:pPr>
                    <w:jc w:val="center"/>
                    <w:rPr>
                      <w:rFonts w:eastAsiaTheme="minorEastAsia"/>
                      <w:szCs w:val="21"/>
                    </w:rPr>
                  </w:pPr>
                </w:p>
              </w:tc>
              <w:tc>
                <w:tcPr>
                  <w:tcW w:w="1157" w:type="pct"/>
                  <w:vMerge w:val="continue"/>
                  <w:shd w:val="clear" w:color="auto" w:fill="FFFFFF"/>
                  <w:vAlign w:val="center"/>
                </w:tcPr>
                <w:p w14:paraId="0676BCAA">
                  <w:pPr>
                    <w:jc w:val="center"/>
                    <w:rPr>
                      <w:rFonts w:eastAsiaTheme="minorEastAsia"/>
                      <w:szCs w:val="21"/>
                    </w:rPr>
                  </w:pPr>
                </w:p>
              </w:tc>
              <w:tc>
                <w:tcPr>
                  <w:tcW w:w="1159" w:type="pct"/>
                  <w:vMerge w:val="continue"/>
                  <w:shd w:val="clear" w:color="auto" w:fill="FFFFFF"/>
                  <w:vAlign w:val="center"/>
                </w:tcPr>
                <w:p w14:paraId="14306EA2">
                  <w:pPr>
                    <w:jc w:val="center"/>
                    <w:rPr>
                      <w:rFonts w:eastAsiaTheme="minorEastAsia"/>
                      <w:szCs w:val="21"/>
                    </w:rPr>
                  </w:pPr>
                </w:p>
              </w:tc>
              <w:tc>
                <w:tcPr>
                  <w:tcW w:w="971" w:type="pct"/>
                  <w:vMerge w:val="continue"/>
                  <w:shd w:val="clear" w:color="auto" w:fill="FFFFFF"/>
                  <w:vAlign w:val="center"/>
                </w:tcPr>
                <w:p w14:paraId="211106C5">
                  <w:pPr>
                    <w:jc w:val="center"/>
                    <w:rPr>
                      <w:rFonts w:eastAsiaTheme="minorEastAsia"/>
                      <w:szCs w:val="21"/>
                    </w:rPr>
                  </w:pPr>
                </w:p>
              </w:tc>
            </w:tr>
            <w:tr w14:paraId="37AE7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899" w:type="pct"/>
                  <w:shd w:val="clear" w:color="auto" w:fill="FFFFFF"/>
                  <w:vAlign w:val="center"/>
                </w:tcPr>
                <w:p w14:paraId="439C2515">
                  <w:pPr>
                    <w:jc w:val="center"/>
                    <w:rPr>
                      <w:szCs w:val="21"/>
                    </w:rPr>
                  </w:pPr>
                  <w:r>
                    <w:rPr>
                      <w:rFonts w:eastAsia="Arial"/>
                      <w:szCs w:val="21"/>
                    </w:rPr>
                    <w:t>东侧</w:t>
                  </w:r>
                </w:p>
              </w:tc>
              <w:tc>
                <w:tcPr>
                  <w:tcW w:w="811" w:type="pct"/>
                  <w:shd w:val="clear" w:color="auto" w:fill="FFFFFF"/>
                  <w:vAlign w:val="center"/>
                </w:tcPr>
                <w:p w14:paraId="584761F8">
                  <w:pPr>
                    <w:jc w:val="center"/>
                    <w:rPr>
                      <w:szCs w:val="21"/>
                    </w:rPr>
                  </w:pPr>
                  <w:r>
                    <w:rPr>
                      <w:rFonts w:eastAsia="Arial"/>
                      <w:szCs w:val="21"/>
                    </w:rPr>
                    <w:t>昼间</w:t>
                  </w:r>
                </w:p>
              </w:tc>
              <w:tc>
                <w:tcPr>
                  <w:tcW w:w="1157" w:type="pct"/>
                  <w:shd w:val="clear" w:color="auto" w:fill="FFFFFF"/>
                  <w:vAlign w:val="center"/>
                </w:tcPr>
                <w:p w14:paraId="45864641">
                  <w:pPr>
                    <w:jc w:val="center"/>
                    <w:rPr>
                      <w:szCs w:val="21"/>
                    </w:rPr>
                  </w:pPr>
                  <w:r>
                    <w:rPr>
                      <w:color w:val="000000"/>
                      <w:kern w:val="0"/>
                      <w:szCs w:val="21"/>
                    </w:rPr>
                    <w:t>53.8</w:t>
                  </w:r>
                </w:p>
              </w:tc>
              <w:tc>
                <w:tcPr>
                  <w:tcW w:w="1159" w:type="pct"/>
                  <w:shd w:val="clear" w:color="auto" w:fill="FFFFFF"/>
                  <w:vAlign w:val="center"/>
                </w:tcPr>
                <w:p w14:paraId="4B41F950">
                  <w:pPr>
                    <w:jc w:val="center"/>
                    <w:rPr>
                      <w:szCs w:val="21"/>
                    </w:rPr>
                  </w:pPr>
                  <w:r>
                    <w:rPr>
                      <w:rFonts w:eastAsia="Arial"/>
                      <w:szCs w:val="21"/>
                    </w:rPr>
                    <w:t>60</w:t>
                  </w:r>
                </w:p>
              </w:tc>
              <w:tc>
                <w:tcPr>
                  <w:tcW w:w="971" w:type="pct"/>
                  <w:shd w:val="clear" w:color="auto" w:fill="FFFFFF"/>
                  <w:vAlign w:val="center"/>
                </w:tcPr>
                <w:p w14:paraId="3D0659C4">
                  <w:pPr>
                    <w:jc w:val="center"/>
                    <w:rPr>
                      <w:szCs w:val="21"/>
                    </w:rPr>
                  </w:pPr>
                  <w:r>
                    <w:rPr>
                      <w:rFonts w:eastAsia="Arial"/>
                      <w:szCs w:val="21"/>
                    </w:rPr>
                    <w:t>达标</w:t>
                  </w:r>
                </w:p>
              </w:tc>
            </w:tr>
            <w:tr w14:paraId="03204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899" w:type="pct"/>
                  <w:shd w:val="clear" w:color="auto" w:fill="FFFFFF"/>
                  <w:vAlign w:val="center"/>
                </w:tcPr>
                <w:p w14:paraId="167C794E">
                  <w:pPr>
                    <w:jc w:val="center"/>
                    <w:rPr>
                      <w:szCs w:val="21"/>
                    </w:rPr>
                  </w:pPr>
                  <w:r>
                    <w:rPr>
                      <w:rFonts w:eastAsia="Arial"/>
                      <w:szCs w:val="21"/>
                    </w:rPr>
                    <w:t>南侧</w:t>
                  </w:r>
                </w:p>
              </w:tc>
              <w:tc>
                <w:tcPr>
                  <w:tcW w:w="811" w:type="pct"/>
                  <w:shd w:val="clear" w:color="auto" w:fill="FFFFFF"/>
                  <w:vAlign w:val="center"/>
                </w:tcPr>
                <w:p w14:paraId="4046506C">
                  <w:pPr>
                    <w:jc w:val="center"/>
                    <w:rPr>
                      <w:szCs w:val="21"/>
                    </w:rPr>
                  </w:pPr>
                  <w:r>
                    <w:rPr>
                      <w:rFonts w:eastAsia="Arial"/>
                      <w:szCs w:val="21"/>
                    </w:rPr>
                    <w:t>昼间</w:t>
                  </w:r>
                </w:p>
              </w:tc>
              <w:tc>
                <w:tcPr>
                  <w:tcW w:w="1157" w:type="pct"/>
                  <w:shd w:val="clear" w:color="auto" w:fill="FFFFFF"/>
                  <w:vAlign w:val="center"/>
                </w:tcPr>
                <w:p w14:paraId="648803B8">
                  <w:pPr>
                    <w:jc w:val="center"/>
                    <w:rPr>
                      <w:szCs w:val="21"/>
                    </w:rPr>
                  </w:pPr>
                  <w:r>
                    <w:rPr>
                      <w:color w:val="000000"/>
                      <w:kern w:val="0"/>
                      <w:szCs w:val="21"/>
                    </w:rPr>
                    <w:t>44.7</w:t>
                  </w:r>
                </w:p>
              </w:tc>
              <w:tc>
                <w:tcPr>
                  <w:tcW w:w="1159" w:type="pct"/>
                  <w:shd w:val="clear" w:color="auto" w:fill="FFFFFF"/>
                  <w:vAlign w:val="center"/>
                </w:tcPr>
                <w:p w14:paraId="5103846E">
                  <w:pPr>
                    <w:jc w:val="center"/>
                    <w:rPr>
                      <w:szCs w:val="21"/>
                    </w:rPr>
                  </w:pPr>
                  <w:r>
                    <w:rPr>
                      <w:rFonts w:eastAsia="Arial"/>
                      <w:szCs w:val="21"/>
                    </w:rPr>
                    <w:t>60</w:t>
                  </w:r>
                </w:p>
              </w:tc>
              <w:tc>
                <w:tcPr>
                  <w:tcW w:w="971" w:type="pct"/>
                  <w:shd w:val="clear" w:color="auto" w:fill="FFFFFF"/>
                  <w:vAlign w:val="center"/>
                </w:tcPr>
                <w:p w14:paraId="0EFC60F5">
                  <w:pPr>
                    <w:jc w:val="center"/>
                    <w:rPr>
                      <w:szCs w:val="21"/>
                    </w:rPr>
                  </w:pPr>
                  <w:r>
                    <w:rPr>
                      <w:rFonts w:eastAsia="Arial"/>
                      <w:szCs w:val="21"/>
                    </w:rPr>
                    <w:t>达标</w:t>
                  </w:r>
                </w:p>
              </w:tc>
            </w:tr>
            <w:tr w14:paraId="52FA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899" w:type="pct"/>
                  <w:shd w:val="clear" w:color="auto" w:fill="FFFFFF"/>
                  <w:vAlign w:val="center"/>
                </w:tcPr>
                <w:p w14:paraId="35FB7036">
                  <w:pPr>
                    <w:jc w:val="center"/>
                    <w:rPr>
                      <w:szCs w:val="21"/>
                    </w:rPr>
                  </w:pPr>
                  <w:r>
                    <w:rPr>
                      <w:rFonts w:eastAsia="Arial"/>
                      <w:szCs w:val="21"/>
                    </w:rPr>
                    <w:t>西侧</w:t>
                  </w:r>
                </w:p>
              </w:tc>
              <w:tc>
                <w:tcPr>
                  <w:tcW w:w="811" w:type="pct"/>
                  <w:shd w:val="clear" w:color="auto" w:fill="FFFFFF"/>
                  <w:vAlign w:val="center"/>
                </w:tcPr>
                <w:p w14:paraId="0A0C9BC4">
                  <w:pPr>
                    <w:jc w:val="center"/>
                    <w:rPr>
                      <w:szCs w:val="21"/>
                    </w:rPr>
                  </w:pPr>
                  <w:r>
                    <w:rPr>
                      <w:rFonts w:eastAsia="Arial"/>
                      <w:szCs w:val="21"/>
                    </w:rPr>
                    <w:t>昼间</w:t>
                  </w:r>
                </w:p>
              </w:tc>
              <w:tc>
                <w:tcPr>
                  <w:tcW w:w="1157" w:type="pct"/>
                  <w:shd w:val="clear" w:color="auto" w:fill="FFFFFF"/>
                  <w:vAlign w:val="center"/>
                </w:tcPr>
                <w:p w14:paraId="20C06102">
                  <w:pPr>
                    <w:jc w:val="center"/>
                    <w:rPr>
                      <w:szCs w:val="21"/>
                    </w:rPr>
                  </w:pPr>
                  <w:r>
                    <w:rPr>
                      <w:color w:val="000000"/>
                      <w:kern w:val="0"/>
                      <w:szCs w:val="21"/>
                    </w:rPr>
                    <w:t>51.6</w:t>
                  </w:r>
                </w:p>
              </w:tc>
              <w:tc>
                <w:tcPr>
                  <w:tcW w:w="1159" w:type="pct"/>
                  <w:shd w:val="clear" w:color="auto" w:fill="FFFFFF"/>
                  <w:vAlign w:val="center"/>
                </w:tcPr>
                <w:p w14:paraId="0F56430D">
                  <w:pPr>
                    <w:jc w:val="center"/>
                    <w:rPr>
                      <w:szCs w:val="21"/>
                    </w:rPr>
                  </w:pPr>
                  <w:r>
                    <w:rPr>
                      <w:rFonts w:eastAsia="Arial"/>
                      <w:szCs w:val="21"/>
                    </w:rPr>
                    <w:t>60</w:t>
                  </w:r>
                </w:p>
              </w:tc>
              <w:tc>
                <w:tcPr>
                  <w:tcW w:w="971" w:type="pct"/>
                  <w:shd w:val="clear" w:color="auto" w:fill="FFFFFF"/>
                  <w:vAlign w:val="center"/>
                </w:tcPr>
                <w:p w14:paraId="7B56FB79">
                  <w:pPr>
                    <w:jc w:val="center"/>
                    <w:rPr>
                      <w:szCs w:val="21"/>
                    </w:rPr>
                  </w:pPr>
                  <w:r>
                    <w:rPr>
                      <w:rFonts w:eastAsia="Arial"/>
                      <w:szCs w:val="21"/>
                    </w:rPr>
                    <w:t>达标</w:t>
                  </w:r>
                </w:p>
              </w:tc>
            </w:tr>
            <w:tr w14:paraId="512FB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899" w:type="pct"/>
                  <w:shd w:val="clear" w:color="auto" w:fill="FFFFFF"/>
                  <w:vAlign w:val="center"/>
                </w:tcPr>
                <w:p w14:paraId="67267481">
                  <w:pPr>
                    <w:jc w:val="center"/>
                    <w:rPr>
                      <w:szCs w:val="21"/>
                    </w:rPr>
                  </w:pPr>
                  <w:r>
                    <w:rPr>
                      <w:rFonts w:eastAsia="Arial"/>
                      <w:szCs w:val="21"/>
                    </w:rPr>
                    <w:t>北侧</w:t>
                  </w:r>
                </w:p>
              </w:tc>
              <w:tc>
                <w:tcPr>
                  <w:tcW w:w="811" w:type="pct"/>
                  <w:shd w:val="clear" w:color="auto" w:fill="FFFFFF"/>
                  <w:vAlign w:val="center"/>
                </w:tcPr>
                <w:p w14:paraId="495063F0">
                  <w:pPr>
                    <w:jc w:val="center"/>
                    <w:rPr>
                      <w:szCs w:val="21"/>
                    </w:rPr>
                  </w:pPr>
                  <w:r>
                    <w:rPr>
                      <w:rFonts w:eastAsia="Arial"/>
                      <w:szCs w:val="21"/>
                    </w:rPr>
                    <w:t>昼间</w:t>
                  </w:r>
                </w:p>
              </w:tc>
              <w:tc>
                <w:tcPr>
                  <w:tcW w:w="1157" w:type="pct"/>
                  <w:shd w:val="clear" w:color="auto" w:fill="FFFFFF"/>
                  <w:vAlign w:val="center"/>
                </w:tcPr>
                <w:p w14:paraId="2C16B752">
                  <w:pPr>
                    <w:jc w:val="center"/>
                    <w:rPr>
                      <w:szCs w:val="21"/>
                    </w:rPr>
                  </w:pPr>
                  <w:r>
                    <w:rPr>
                      <w:color w:val="000000"/>
                      <w:kern w:val="0"/>
                      <w:szCs w:val="21"/>
                    </w:rPr>
                    <w:t>44.9</w:t>
                  </w:r>
                </w:p>
              </w:tc>
              <w:tc>
                <w:tcPr>
                  <w:tcW w:w="1159" w:type="pct"/>
                  <w:shd w:val="clear" w:color="auto" w:fill="FFFFFF"/>
                  <w:vAlign w:val="center"/>
                </w:tcPr>
                <w:p w14:paraId="7E83830D">
                  <w:pPr>
                    <w:jc w:val="center"/>
                    <w:rPr>
                      <w:szCs w:val="21"/>
                    </w:rPr>
                  </w:pPr>
                  <w:r>
                    <w:rPr>
                      <w:rFonts w:eastAsia="Arial"/>
                      <w:szCs w:val="21"/>
                    </w:rPr>
                    <w:t>60</w:t>
                  </w:r>
                </w:p>
              </w:tc>
              <w:tc>
                <w:tcPr>
                  <w:tcW w:w="971" w:type="pct"/>
                  <w:shd w:val="clear" w:color="auto" w:fill="FFFFFF"/>
                  <w:vAlign w:val="center"/>
                </w:tcPr>
                <w:p w14:paraId="164787C1">
                  <w:pPr>
                    <w:jc w:val="center"/>
                    <w:rPr>
                      <w:szCs w:val="21"/>
                    </w:rPr>
                  </w:pPr>
                  <w:r>
                    <w:rPr>
                      <w:rFonts w:eastAsia="Arial"/>
                      <w:szCs w:val="21"/>
                    </w:rPr>
                    <w:t>达标</w:t>
                  </w:r>
                </w:p>
              </w:tc>
            </w:tr>
          </w:tbl>
          <w:p w14:paraId="4766CC2F">
            <w:pPr>
              <w:adjustRightInd w:val="0"/>
              <w:snapToGrid w:val="0"/>
              <w:jc w:val="center"/>
              <w:rPr>
                <w:rFonts w:cs="宋体"/>
                <w:b/>
                <w:bCs/>
                <w:sz w:val="24"/>
                <w:szCs w:val="32"/>
              </w:rPr>
            </w:pPr>
            <w:r>
              <w:rPr>
                <w:rFonts w:hint="eastAsia" w:cs="宋体"/>
                <w:b/>
                <w:bCs/>
                <w:sz w:val="24"/>
                <w:szCs w:val="32"/>
              </w:rPr>
              <w:t>表4-11  工业企业声环境保护目标噪声预测结果与达标分析表 单位:dB(A)</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1"/>
              <w:gridCol w:w="967"/>
              <w:gridCol w:w="967"/>
              <w:gridCol w:w="967"/>
              <w:gridCol w:w="1158"/>
              <w:gridCol w:w="1426"/>
              <w:gridCol w:w="8"/>
            </w:tblGrid>
            <w:tr w14:paraId="57864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31" w:type="pct"/>
                  <w:vMerge w:val="restart"/>
                  <w:tcBorders>
                    <w:top w:val="single" w:color="auto" w:sz="4" w:space="0"/>
                    <w:left w:val="single" w:color="auto" w:sz="4" w:space="0"/>
                    <w:bottom w:val="single" w:color="auto" w:sz="4" w:space="0"/>
                    <w:right w:val="single" w:color="auto" w:sz="4" w:space="0"/>
                  </w:tcBorders>
                  <w:vAlign w:val="center"/>
                </w:tcPr>
                <w:p w14:paraId="4DB40735">
                  <w:pPr>
                    <w:adjustRightInd w:val="0"/>
                    <w:snapToGrid w:val="0"/>
                    <w:jc w:val="center"/>
                    <w:rPr>
                      <w:szCs w:val="21"/>
                    </w:rPr>
                  </w:pPr>
                  <w:r>
                    <w:rPr>
                      <w:rFonts w:hint="eastAsia" w:cs="宋体"/>
                      <w:szCs w:val="21"/>
                    </w:rPr>
                    <w:t>声环境保护目标名称</w:t>
                  </w:r>
                </w:p>
              </w:tc>
              <w:tc>
                <w:tcPr>
                  <w:tcW w:w="575" w:type="pct"/>
                  <w:tcBorders>
                    <w:top w:val="single" w:color="auto" w:sz="4" w:space="0"/>
                    <w:left w:val="single" w:color="auto" w:sz="4" w:space="0"/>
                    <w:bottom w:val="single" w:color="auto" w:sz="4" w:space="0"/>
                    <w:right w:val="single" w:color="auto" w:sz="4" w:space="0"/>
                  </w:tcBorders>
                  <w:vAlign w:val="center"/>
                </w:tcPr>
                <w:p w14:paraId="0E8557D2">
                  <w:pPr>
                    <w:adjustRightInd w:val="0"/>
                    <w:snapToGrid w:val="0"/>
                    <w:jc w:val="center"/>
                    <w:rPr>
                      <w:rFonts w:cs="宋体"/>
                      <w:szCs w:val="21"/>
                    </w:rPr>
                  </w:pPr>
                  <w:r>
                    <w:rPr>
                      <w:rFonts w:hint="eastAsia" w:cs="宋体"/>
                      <w:szCs w:val="21"/>
                    </w:rPr>
                    <w:t>背景值</w:t>
                  </w:r>
                </w:p>
              </w:tc>
              <w:tc>
                <w:tcPr>
                  <w:tcW w:w="575" w:type="pct"/>
                  <w:tcBorders>
                    <w:top w:val="single" w:color="auto" w:sz="4" w:space="0"/>
                    <w:left w:val="single" w:color="auto" w:sz="4" w:space="0"/>
                    <w:bottom w:val="single" w:color="auto" w:sz="4" w:space="0"/>
                    <w:right w:val="single" w:color="auto" w:sz="4" w:space="0"/>
                  </w:tcBorders>
                  <w:vAlign w:val="center"/>
                </w:tcPr>
                <w:p w14:paraId="2C86C56B">
                  <w:pPr>
                    <w:adjustRightInd w:val="0"/>
                    <w:snapToGrid w:val="0"/>
                    <w:jc w:val="center"/>
                    <w:rPr>
                      <w:rFonts w:cs="宋体"/>
                      <w:szCs w:val="21"/>
                    </w:rPr>
                  </w:pPr>
                  <w:r>
                    <w:rPr>
                      <w:rFonts w:hint="eastAsia" w:cs="宋体"/>
                      <w:szCs w:val="21"/>
                    </w:rPr>
                    <w:t>贡献值</w:t>
                  </w:r>
                </w:p>
              </w:tc>
              <w:tc>
                <w:tcPr>
                  <w:tcW w:w="575" w:type="pct"/>
                  <w:tcBorders>
                    <w:top w:val="single" w:color="auto" w:sz="4" w:space="0"/>
                    <w:left w:val="single" w:color="auto" w:sz="4" w:space="0"/>
                    <w:bottom w:val="single" w:color="auto" w:sz="4" w:space="0"/>
                    <w:right w:val="single" w:color="auto" w:sz="4" w:space="0"/>
                  </w:tcBorders>
                  <w:vAlign w:val="center"/>
                </w:tcPr>
                <w:p w14:paraId="49506134">
                  <w:pPr>
                    <w:adjustRightInd w:val="0"/>
                    <w:snapToGrid w:val="0"/>
                    <w:jc w:val="center"/>
                    <w:rPr>
                      <w:rFonts w:cs="宋体"/>
                      <w:szCs w:val="21"/>
                    </w:rPr>
                  </w:pPr>
                  <w:r>
                    <w:rPr>
                      <w:rFonts w:hint="eastAsia" w:cs="宋体"/>
                      <w:szCs w:val="21"/>
                    </w:rPr>
                    <w:t>预测值</w:t>
                  </w:r>
                </w:p>
              </w:tc>
              <w:tc>
                <w:tcPr>
                  <w:tcW w:w="689" w:type="pct"/>
                  <w:tcBorders>
                    <w:top w:val="single" w:color="auto" w:sz="4" w:space="0"/>
                    <w:left w:val="single" w:color="auto" w:sz="4" w:space="0"/>
                    <w:bottom w:val="single" w:color="auto" w:sz="4" w:space="0"/>
                    <w:right w:val="single" w:color="auto" w:sz="4" w:space="0"/>
                  </w:tcBorders>
                  <w:vAlign w:val="center"/>
                </w:tcPr>
                <w:p w14:paraId="2BADDEBC">
                  <w:pPr>
                    <w:adjustRightInd w:val="0"/>
                    <w:snapToGrid w:val="0"/>
                    <w:jc w:val="center"/>
                    <w:rPr>
                      <w:rFonts w:cs="宋体"/>
                      <w:szCs w:val="21"/>
                    </w:rPr>
                  </w:pPr>
                  <w:r>
                    <w:rPr>
                      <w:rFonts w:hint="eastAsia" w:cs="宋体"/>
                      <w:szCs w:val="21"/>
                    </w:rPr>
                    <w:t>评价标准</w:t>
                  </w:r>
                </w:p>
              </w:tc>
              <w:tc>
                <w:tcPr>
                  <w:tcW w:w="853" w:type="pct"/>
                  <w:gridSpan w:val="2"/>
                  <w:tcBorders>
                    <w:top w:val="single" w:color="auto" w:sz="4" w:space="0"/>
                    <w:left w:val="single" w:color="auto" w:sz="4" w:space="0"/>
                    <w:bottom w:val="single" w:color="auto" w:sz="4" w:space="0"/>
                    <w:right w:val="single" w:color="auto" w:sz="4" w:space="0"/>
                  </w:tcBorders>
                  <w:vAlign w:val="center"/>
                </w:tcPr>
                <w:p w14:paraId="484699C7">
                  <w:pPr>
                    <w:adjustRightInd w:val="0"/>
                    <w:snapToGrid w:val="0"/>
                    <w:jc w:val="center"/>
                    <w:rPr>
                      <w:szCs w:val="21"/>
                    </w:rPr>
                  </w:pPr>
                  <w:r>
                    <w:rPr>
                      <w:rFonts w:hint="eastAsia" w:cs="宋体"/>
                      <w:szCs w:val="21"/>
                    </w:rPr>
                    <w:t>达标情况</w:t>
                  </w:r>
                </w:p>
              </w:tc>
            </w:tr>
            <w:tr w14:paraId="47FDA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97" w:hRule="atLeast"/>
                <w:jc w:val="center"/>
              </w:trPr>
              <w:tc>
                <w:tcPr>
                  <w:tcW w:w="1731" w:type="pct"/>
                  <w:vMerge w:val="continue"/>
                  <w:tcBorders>
                    <w:top w:val="single" w:color="auto" w:sz="4" w:space="0"/>
                    <w:left w:val="single" w:color="auto" w:sz="4" w:space="0"/>
                    <w:bottom w:val="single" w:color="auto" w:sz="4" w:space="0"/>
                    <w:right w:val="single" w:color="auto" w:sz="4" w:space="0"/>
                  </w:tcBorders>
                  <w:vAlign w:val="center"/>
                </w:tcPr>
                <w:p w14:paraId="56213424">
                  <w:pPr>
                    <w:adjustRightInd w:val="0"/>
                    <w:snapToGrid w:val="0"/>
                    <w:jc w:val="center"/>
                    <w:rPr>
                      <w:szCs w:val="21"/>
                    </w:rPr>
                  </w:pPr>
                </w:p>
              </w:tc>
              <w:tc>
                <w:tcPr>
                  <w:tcW w:w="575" w:type="pct"/>
                  <w:tcBorders>
                    <w:top w:val="single" w:color="auto" w:sz="4" w:space="0"/>
                    <w:left w:val="single" w:color="auto" w:sz="4" w:space="0"/>
                    <w:bottom w:val="single" w:color="auto" w:sz="4" w:space="0"/>
                    <w:right w:val="single" w:color="auto" w:sz="4" w:space="0"/>
                  </w:tcBorders>
                  <w:vAlign w:val="center"/>
                </w:tcPr>
                <w:p w14:paraId="52DA2E9B">
                  <w:pPr>
                    <w:adjustRightInd w:val="0"/>
                    <w:snapToGrid w:val="0"/>
                    <w:jc w:val="center"/>
                    <w:rPr>
                      <w:szCs w:val="21"/>
                    </w:rPr>
                  </w:pPr>
                  <w:r>
                    <w:rPr>
                      <w:rFonts w:hint="eastAsia" w:cs="宋体"/>
                      <w:szCs w:val="21"/>
                    </w:rPr>
                    <w:t>昼间</w:t>
                  </w:r>
                </w:p>
              </w:tc>
              <w:tc>
                <w:tcPr>
                  <w:tcW w:w="575" w:type="pct"/>
                  <w:tcBorders>
                    <w:top w:val="single" w:color="auto" w:sz="4" w:space="0"/>
                    <w:left w:val="single" w:color="auto" w:sz="4" w:space="0"/>
                    <w:bottom w:val="single" w:color="auto" w:sz="4" w:space="0"/>
                    <w:right w:val="single" w:color="auto" w:sz="4" w:space="0"/>
                  </w:tcBorders>
                  <w:vAlign w:val="center"/>
                </w:tcPr>
                <w:p w14:paraId="173ACEDF">
                  <w:pPr>
                    <w:adjustRightInd w:val="0"/>
                    <w:snapToGrid w:val="0"/>
                    <w:jc w:val="center"/>
                    <w:rPr>
                      <w:szCs w:val="21"/>
                    </w:rPr>
                  </w:pPr>
                  <w:r>
                    <w:rPr>
                      <w:rFonts w:hint="eastAsia" w:cs="宋体"/>
                      <w:szCs w:val="21"/>
                    </w:rPr>
                    <w:t>昼间</w:t>
                  </w:r>
                </w:p>
              </w:tc>
              <w:tc>
                <w:tcPr>
                  <w:tcW w:w="575" w:type="pct"/>
                  <w:tcBorders>
                    <w:top w:val="single" w:color="auto" w:sz="4" w:space="0"/>
                    <w:left w:val="single" w:color="auto" w:sz="4" w:space="0"/>
                    <w:bottom w:val="single" w:color="auto" w:sz="4" w:space="0"/>
                    <w:right w:val="single" w:color="auto" w:sz="4" w:space="0"/>
                  </w:tcBorders>
                  <w:vAlign w:val="center"/>
                </w:tcPr>
                <w:p w14:paraId="461EFD54">
                  <w:pPr>
                    <w:adjustRightInd w:val="0"/>
                    <w:snapToGrid w:val="0"/>
                    <w:jc w:val="center"/>
                    <w:rPr>
                      <w:szCs w:val="21"/>
                    </w:rPr>
                  </w:pPr>
                  <w:r>
                    <w:rPr>
                      <w:rFonts w:hint="eastAsia" w:cs="宋体"/>
                      <w:szCs w:val="21"/>
                    </w:rPr>
                    <w:t>昼间</w:t>
                  </w:r>
                </w:p>
              </w:tc>
              <w:tc>
                <w:tcPr>
                  <w:tcW w:w="689" w:type="pct"/>
                  <w:tcBorders>
                    <w:top w:val="single" w:color="auto" w:sz="4" w:space="0"/>
                    <w:left w:val="single" w:color="auto" w:sz="4" w:space="0"/>
                    <w:bottom w:val="single" w:color="auto" w:sz="4" w:space="0"/>
                    <w:right w:val="single" w:color="auto" w:sz="4" w:space="0"/>
                  </w:tcBorders>
                  <w:vAlign w:val="center"/>
                </w:tcPr>
                <w:p w14:paraId="2DE961D3">
                  <w:pPr>
                    <w:adjustRightInd w:val="0"/>
                    <w:snapToGrid w:val="0"/>
                    <w:jc w:val="center"/>
                    <w:rPr>
                      <w:szCs w:val="21"/>
                    </w:rPr>
                  </w:pPr>
                  <w:r>
                    <w:rPr>
                      <w:rFonts w:hint="eastAsia" w:cs="宋体"/>
                      <w:szCs w:val="21"/>
                    </w:rPr>
                    <w:t>昼间</w:t>
                  </w:r>
                </w:p>
              </w:tc>
              <w:tc>
                <w:tcPr>
                  <w:tcW w:w="848" w:type="pct"/>
                  <w:vMerge w:val="restart"/>
                  <w:tcBorders>
                    <w:top w:val="single" w:color="auto" w:sz="4" w:space="0"/>
                    <w:left w:val="single" w:color="auto" w:sz="4" w:space="0"/>
                    <w:right w:val="single" w:color="auto" w:sz="4" w:space="0"/>
                  </w:tcBorders>
                  <w:vAlign w:val="center"/>
                </w:tcPr>
                <w:p w14:paraId="6D5A9B1D">
                  <w:pPr>
                    <w:adjustRightInd w:val="0"/>
                    <w:snapToGrid w:val="0"/>
                    <w:jc w:val="center"/>
                    <w:rPr>
                      <w:szCs w:val="21"/>
                    </w:rPr>
                  </w:pPr>
                  <w:r>
                    <w:rPr>
                      <w:rFonts w:hint="eastAsia" w:cs="宋体"/>
                      <w:szCs w:val="21"/>
                    </w:rPr>
                    <w:t>达标</w:t>
                  </w:r>
                </w:p>
              </w:tc>
            </w:tr>
            <w:tr w14:paraId="0E74C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97" w:hRule="atLeast"/>
                <w:jc w:val="center"/>
              </w:trPr>
              <w:tc>
                <w:tcPr>
                  <w:tcW w:w="1731" w:type="pct"/>
                  <w:tcBorders>
                    <w:top w:val="single" w:color="auto" w:sz="4" w:space="0"/>
                    <w:left w:val="single" w:color="auto" w:sz="4" w:space="0"/>
                    <w:bottom w:val="single" w:color="auto" w:sz="4" w:space="0"/>
                    <w:right w:val="single" w:color="auto" w:sz="4" w:space="0"/>
                  </w:tcBorders>
                  <w:vAlign w:val="center"/>
                </w:tcPr>
                <w:p w14:paraId="683B7970">
                  <w:pPr>
                    <w:adjustRightInd w:val="0"/>
                    <w:snapToGrid w:val="0"/>
                    <w:jc w:val="center"/>
                    <w:rPr>
                      <w:szCs w:val="21"/>
                    </w:rPr>
                  </w:pPr>
                  <w:r>
                    <w:rPr>
                      <w:rFonts w:hint="eastAsia" w:cs="宋体"/>
                      <w:szCs w:val="21"/>
                    </w:rPr>
                    <w:t>大童家 厂界南侧</w:t>
                  </w:r>
                </w:p>
              </w:tc>
              <w:tc>
                <w:tcPr>
                  <w:tcW w:w="575" w:type="pct"/>
                  <w:tcBorders>
                    <w:top w:val="single" w:color="auto" w:sz="4" w:space="0"/>
                    <w:left w:val="single" w:color="auto" w:sz="4" w:space="0"/>
                    <w:bottom w:val="single" w:color="auto" w:sz="4" w:space="0"/>
                    <w:right w:val="single" w:color="auto" w:sz="4" w:space="0"/>
                  </w:tcBorders>
                  <w:vAlign w:val="center"/>
                </w:tcPr>
                <w:p w14:paraId="4CAEAF6E">
                  <w:pPr>
                    <w:adjustRightInd w:val="0"/>
                    <w:snapToGrid w:val="0"/>
                    <w:jc w:val="center"/>
                    <w:rPr>
                      <w:sz w:val="21"/>
                      <w:szCs w:val="21"/>
                    </w:rPr>
                  </w:pPr>
                  <w:r>
                    <w:rPr>
                      <w:rFonts w:hint="eastAsia"/>
                      <w:sz w:val="21"/>
                      <w:szCs w:val="21"/>
                    </w:rPr>
                    <w:t>48.6</w:t>
                  </w:r>
                </w:p>
              </w:tc>
              <w:tc>
                <w:tcPr>
                  <w:tcW w:w="575" w:type="pct"/>
                  <w:tcBorders>
                    <w:top w:val="single" w:color="auto" w:sz="4" w:space="0"/>
                    <w:left w:val="single" w:color="auto" w:sz="4" w:space="0"/>
                    <w:bottom w:val="single" w:color="auto" w:sz="4" w:space="0"/>
                    <w:right w:val="single" w:color="auto" w:sz="4" w:space="0"/>
                  </w:tcBorders>
                  <w:vAlign w:val="center"/>
                </w:tcPr>
                <w:p w14:paraId="648CDE75">
                  <w:pPr>
                    <w:adjustRightInd w:val="0"/>
                    <w:snapToGrid w:val="0"/>
                    <w:jc w:val="center"/>
                    <w:rPr>
                      <w:sz w:val="21"/>
                      <w:szCs w:val="21"/>
                    </w:rPr>
                  </w:pPr>
                  <w:r>
                    <w:rPr>
                      <w:rFonts w:eastAsia="Arial"/>
                      <w:sz w:val="21"/>
                      <w:szCs w:val="21"/>
                    </w:rPr>
                    <w:t>28.7</w:t>
                  </w:r>
                </w:p>
              </w:tc>
              <w:tc>
                <w:tcPr>
                  <w:tcW w:w="575" w:type="pct"/>
                  <w:tcBorders>
                    <w:top w:val="single" w:color="auto" w:sz="4" w:space="0"/>
                    <w:left w:val="single" w:color="auto" w:sz="4" w:space="0"/>
                    <w:bottom w:val="single" w:color="auto" w:sz="4" w:space="0"/>
                    <w:right w:val="single" w:color="auto" w:sz="4" w:space="0"/>
                  </w:tcBorders>
                  <w:vAlign w:val="center"/>
                </w:tcPr>
                <w:p w14:paraId="0B3F23FF">
                  <w:pPr>
                    <w:adjustRightInd w:val="0"/>
                    <w:snapToGrid w:val="0"/>
                    <w:jc w:val="center"/>
                    <w:rPr>
                      <w:sz w:val="21"/>
                      <w:szCs w:val="21"/>
                    </w:rPr>
                  </w:pPr>
                  <w:r>
                    <w:rPr>
                      <w:rFonts w:hint="eastAsia"/>
                      <w:sz w:val="21"/>
                      <w:szCs w:val="21"/>
                    </w:rPr>
                    <w:t>48.64</w:t>
                  </w:r>
                </w:p>
              </w:tc>
              <w:tc>
                <w:tcPr>
                  <w:tcW w:w="689" w:type="pct"/>
                  <w:tcBorders>
                    <w:top w:val="single" w:color="auto" w:sz="4" w:space="0"/>
                    <w:left w:val="single" w:color="auto" w:sz="4" w:space="0"/>
                    <w:bottom w:val="single" w:color="auto" w:sz="4" w:space="0"/>
                    <w:right w:val="single" w:color="auto" w:sz="4" w:space="0"/>
                  </w:tcBorders>
                  <w:vAlign w:val="center"/>
                </w:tcPr>
                <w:p w14:paraId="105499EC">
                  <w:pPr>
                    <w:adjustRightInd w:val="0"/>
                    <w:snapToGrid w:val="0"/>
                    <w:jc w:val="center"/>
                    <w:rPr>
                      <w:szCs w:val="21"/>
                    </w:rPr>
                  </w:pPr>
                  <w:r>
                    <w:rPr>
                      <w:szCs w:val="21"/>
                    </w:rPr>
                    <w:t>6</w:t>
                  </w:r>
                  <w:r>
                    <w:rPr>
                      <w:rFonts w:hint="eastAsia"/>
                      <w:szCs w:val="21"/>
                    </w:rPr>
                    <w:t>0</w:t>
                  </w:r>
                </w:p>
              </w:tc>
              <w:tc>
                <w:tcPr>
                  <w:tcW w:w="848" w:type="pct"/>
                  <w:vMerge w:val="continue"/>
                  <w:tcBorders>
                    <w:left w:val="single" w:color="auto" w:sz="4" w:space="0"/>
                    <w:right w:val="single" w:color="auto" w:sz="4" w:space="0"/>
                  </w:tcBorders>
                  <w:vAlign w:val="center"/>
                </w:tcPr>
                <w:p w14:paraId="18A1B3A0">
                  <w:pPr>
                    <w:adjustRightInd w:val="0"/>
                    <w:snapToGrid w:val="0"/>
                    <w:jc w:val="center"/>
                    <w:rPr>
                      <w:szCs w:val="21"/>
                    </w:rPr>
                  </w:pPr>
                </w:p>
              </w:tc>
            </w:tr>
            <w:tr w14:paraId="32452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97" w:hRule="atLeast"/>
                <w:jc w:val="center"/>
              </w:trPr>
              <w:tc>
                <w:tcPr>
                  <w:tcW w:w="1731" w:type="pct"/>
                  <w:tcBorders>
                    <w:top w:val="single" w:color="auto" w:sz="4" w:space="0"/>
                    <w:left w:val="single" w:color="auto" w:sz="4" w:space="0"/>
                    <w:bottom w:val="single" w:color="auto" w:sz="4" w:space="0"/>
                    <w:right w:val="single" w:color="auto" w:sz="4" w:space="0"/>
                  </w:tcBorders>
                  <w:vAlign w:val="center"/>
                </w:tcPr>
                <w:p w14:paraId="2FFBF5B4">
                  <w:pPr>
                    <w:adjustRightInd w:val="0"/>
                    <w:snapToGrid w:val="0"/>
                    <w:jc w:val="center"/>
                    <w:rPr>
                      <w:rFonts w:cs="宋体"/>
                      <w:szCs w:val="21"/>
                    </w:rPr>
                  </w:pPr>
                  <w:r>
                    <w:rPr>
                      <w:rFonts w:hint="eastAsia" w:cs="宋体"/>
                      <w:szCs w:val="21"/>
                    </w:rPr>
                    <w:t>大童家 厂界东侧</w:t>
                  </w:r>
                </w:p>
              </w:tc>
              <w:tc>
                <w:tcPr>
                  <w:tcW w:w="575" w:type="pct"/>
                  <w:tcBorders>
                    <w:top w:val="single" w:color="auto" w:sz="4" w:space="0"/>
                    <w:left w:val="single" w:color="auto" w:sz="4" w:space="0"/>
                    <w:bottom w:val="single" w:color="auto" w:sz="4" w:space="0"/>
                    <w:right w:val="single" w:color="auto" w:sz="4" w:space="0"/>
                  </w:tcBorders>
                  <w:vAlign w:val="center"/>
                </w:tcPr>
                <w:p w14:paraId="700DBEF3">
                  <w:pPr>
                    <w:adjustRightInd w:val="0"/>
                    <w:snapToGrid w:val="0"/>
                    <w:jc w:val="center"/>
                    <w:rPr>
                      <w:sz w:val="21"/>
                      <w:szCs w:val="21"/>
                    </w:rPr>
                  </w:pPr>
                  <w:r>
                    <w:rPr>
                      <w:rFonts w:hint="eastAsia"/>
                      <w:sz w:val="21"/>
                      <w:szCs w:val="21"/>
                    </w:rPr>
                    <w:t>53</w:t>
                  </w:r>
                </w:p>
              </w:tc>
              <w:tc>
                <w:tcPr>
                  <w:tcW w:w="575" w:type="pct"/>
                  <w:tcBorders>
                    <w:top w:val="single" w:color="auto" w:sz="4" w:space="0"/>
                    <w:left w:val="single" w:color="auto" w:sz="4" w:space="0"/>
                    <w:bottom w:val="single" w:color="auto" w:sz="4" w:space="0"/>
                    <w:right w:val="single" w:color="auto" w:sz="4" w:space="0"/>
                  </w:tcBorders>
                  <w:vAlign w:val="center"/>
                </w:tcPr>
                <w:p w14:paraId="5A6351D5">
                  <w:pPr>
                    <w:adjustRightInd w:val="0"/>
                    <w:snapToGrid w:val="0"/>
                    <w:jc w:val="center"/>
                    <w:rPr>
                      <w:sz w:val="21"/>
                      <w:szCs w:val="21"/>
                    </w:rPr>
                  </w:pPr>
                  <w:r>
                    <w:rPr>
                      <w:sz w:val="21"/>
                      <w:szCs w:val="21"/>
                    </w:rPr>
                    <w:t>24.7</w:t>
                  </w:r>
                </w:p>
              </w:tc>
              <w:tc>
                <w:tcPr>
                  <w:tcW w:w="575" w:type="pct"/>
                  <w:tcBorders>
                    <w:top w:val="single" w:color="auto" w:sz="4" w:space="0"/>
                    <w:left w:val="single" w:color="auto" w:sz="4" w:space="0"/>
                    <w:bottom w:val="single" w:color="auto" w:sz="4" w:space="0"/>
                    <w:right w:val="single" w:color="auto" w:sz="4" w:space="0"/>
                  </w:tcBorders>
                  <w:vAlign w:val="center"/>
                </w:tcPr>
                <w:p w14:paraId="2F474567">
                  <w:pPr>
                    <w:adjustRightInd w:val="0"/>
                    <w:snapToGrid w:val="0"/>
                    <w:jc w:val="center"/>
                    <w:rPr>
                      <w:sz w:val="21"/>
                      <w:szCs w:val="21"/>
                    </w:rPr>
                  </w:pPr>
                  <w:r>
                    <w:rPr>
                      <w:rFonts w:hint="eastAsia"/>
                      <w:sz w:val="21"/>
                      <w:szCs w:val="21"/>
                    </w:rPr>
                    <w:t>53.01</w:t>
                  </w:r>
                </w:p>
              </w:tc>
              <w:tc>
                <w:tcPr>
                  <w:tcW w:w="689" w:type="pct"/>
                  <w:tcBorders>
                    <w:top w:val="single" w:color="auto" w:sz="4" w:space="0"/>
                    <w:left w:val="single" w:color="auto" w:sz="4" w:space="0"/>
                    <w:bottom w:val="single" w:color="auto" w:sz="4" w:space="0"/>
                    <w:right w:val="single" w:color="auto" w:sz="4" w:space="0"/>
                  </w:tcBorders>
                  <w:vAlign w:val="center"/>
                </w:tcPr>
                <w:p w14:paraId="5C3E3EE8">
                  <w:pPr>
                    <w:adjustRightInd w:val="0"/>
                    <w:snapToGrid w:val="0"/>
                    <w:jc w:val="center"/>
                    <w:rPr>
                      <w:szCs w:val="21"/>
                    </w:rPr>
                  </w:pPr>
                  <w:r>
                    <w:rPr>
                      <w:szCs w:val="21"/>
                    </w:rPr>
                    <w:t>6</w:t>
                  </w:r>
                  <w:r>
                    <w:rPr>
                      <w:rFonts w:hint="eastAsia"/>
                      <w:szCs w:val="21"/>
                    </w:rPr>
                    <w:t>0</w:t>
                  </w:r>
                </w:p>
              </w:tc>
              <w:tc>
                <w:tcPr>
                  <w:tcW w:w="848" w:type="pct"/>
                  <w:vMerge w:val="continue"/>
                  <w:tcBorders>
                    <w:left w:val="single" w:color="auto" w:sz="4" w:space="0"/>
                    <w:bottom w:val="single" w:color="auto" w:sz="4" w:space="0"/>
                    <w:right w:val="single" w:color="auto" w:sz="4" w:space="0"/>
                  </w:tcBorders>
                  <w:vAlign w:val="center"/>
                </w:tcPr>
                <w:p w14:paraId="5B0036DA">
                  <w:pPr>
                    <w:adjustRightInd w:val="0"/>
                    <w:snapToGrid w:val="0"/>
                    <w:jc w:val="center"/>
                    <w:rPr>
                      <w:szCs w:val="21"/>
                    </w:rPr>
                  </w:pPr>
                </w:p>
              </w:tc>
            </w:tr>
          </w:tbl>
          <w:p w14:paraId="228034E2">
            <w:pPr>
              <w:pStyle w:val="44"/>
              <w:spacing w:before="0" w:line="360" w:lineRule="auto"/>
              <w:ind w:firstLine="480" w:firstLineChars="200"/>
              <w:rPr>
                <w:rFonts w:ascii="Times New Roman" w:hAnsi="Times New Roman"/>
                <w:b/>
                <w:bCs/>
                <w:kern w:val="2"/>
                <w:sz w:val="24"/>
              </w:rPr>
            </w:pPr>
            <w:r>
              <w:rPr>
                <w:rFonts w:ascii="Times New Roman" w:hAnsi="Times New Roman"/>
                <w:kern w:val="2"/>
                <w:sz w:val="24"/>
              </w:rPr>
              <w:t>据预测结果可知，</w:t>
            </w:r>
            <w:r>
              <w:rPr>
                <w:rFonts w:hint="eastAsia" w:ascii="Times New Roman" w:hAnsi="Times New Roman"/>
                <w:kern w:val="2"/>
                <w:sz w:val="24"/>
              </w:rPr>
              <w:t>本项</w:t>
            </w:r>
            <w:r>
              <w:rPr>
                <w:rFonts w:ascii="Times New Roman" w:hAnsi="Times New Roman"/>
                <w:kern w:val="2"/>
                <w:sz w:val="24"/>
              </w:rPr>
              <w:t>目采取基座减震及墙体隔声和距离的自然衰减等措施后，项目四周厂界均满足《工业企业厂界环境噪声排放标准》（GB12348-2008）中</w:t>
            </w:r>
            <w:r>
              <w:rPr>
                <w:rFonts w:hint="eastAsia" w:ascii="Times New Roman" w:hAnsi="Times New Roman"/>
                <w:kern w:val="2"/>
                <w:sz w:val="24"/>
              </w:rPr>
              <w:t>2</w:t>
            </w:r>
            <w:r>
              <w:rPr>
                <w:rFonts w:ascii="Times New Roman" w:hAnsi="Times New Roman"/>
                <w:kern w:val="2"/>
                <w:sz w:val="24"/>
              </w:rPr>
              <w:t>类标准要求，</w:t>
            </w:r>
            <w:r>
              <w:rPr>
                <w:rFonts w:ascii="Times New Roman" w:hAnsi="Times New Roman"/>
                <w:sz w:val="24"/>
              </w:rPr>
              <w:t>敏感点声环境满足《声环境质量标准》（GB3096-2008）中2类标准。</w:t>
            </w:r>
            <w:r>
              <w:rPr>
                <w:rFonts w:hint="eastAsia" w:ascii="Times New Roman" w:hAnsi="Times New Roman"/>
                <w:kern w:val="2"/>
                <w:sz w:val="24"/>
              </w:rPr>
              <w:t>且根据对项目敏感点预测得出本项目对敏感点的影响较小，综上，本项目</w:t>
            </w:r>
            <w:r>
              <w:rPr>
                <w:rFonts w:ascii="Times New Roman" w:hAnsi="Times New Roman"/>
                <w:kern w:val="2"/>
                <w:sz w:val="24"/>
              </w:rPr>
              <w:t>不会对周围声环境及内部造成明显影响。</w:t>
            </w:r>
          </w:p>
          <w:p w14:paraId="2B797AE6">
            <w:pPr>
              <w:pStyle w:val="44"/>
              <w:spacing w:before="0" w:line="360" w:lineRule="auto"/>
              <w:ind w:firstLine="0"/>
              <w:rPr>
                <w:rFonts w:ascii="Times New Roman" w:hAnsi="Times New Roman"/>
                <w:b/>
                <w:bCs/>
                <w:color w:val="000000"/>
                <w:kern w:val="2"/>
                <w:sz w:val="24"/>
              </w:rPr>
            </w:pPr>
            <w:r>
              <w:rPr>
                <w:rFonts w:ascii="Times New Roman" w:hAnsi="Times New Roman"/>
                <w:b/>
                <w:bCs/>
                <w:color w:val="000000"/>
                <w:kern w:val="2"/>
                <w:sz w:val="24"/>
              </w:rPr>
              <w:t>3、噪声降噪具体措施</w:t>
            </w:r>
          </w:p>
          <w:p w14:paraId="6E6C9741">
            <w:pPr>
              <w:pStyle w:val="44"/>
              <w:spacing w:before="0" w:line="360" w:lineRule="auto"/>
              <w:ind w:firstLine="480" w:firstLineChars="200"/>
              <w:rPr>
                <w:rFonts w:ascii="Times New Roman" w:hAnsi="Times New Roman"/>
                <w:color w:val="000000"/>
                <w:kern w:val="2"/>
                <w:sz w:val="24"/>
              </w:rPr>
            </w:pPr>
            <w:r>
              <w:rPr>
                <w:rFonts w:ascii="Times New Roman" w:hAnsi="Times New Roman"/>
                <w:color w:val="000000"/>
                <w:kern w:val="2"/>
                <w:sz w:val="24"/>
              </w:rPr>
              <w:t>本项目生产设备在运行期间均会产生噪声，建设单位采取以下措施来减轻生产设备运行噪声的环境影响。</w:t>
            </w:r>
          </w:p>
          <w:p w14:paraId="56F38050">
            <w:pPr>
              <w:pStyle w:val="44"/>
              <w:spacing w:before="0" w:line="360" w:lineRule="auto"/>
              <w:ind w:firstLine="480" w:firstLineChars="200"/>
              <w:rPr>
                <w:rFonts w:ascii="Times New Roman" w:hAnsi="Times New Roman"/>
                <w:color w:val="000000"/>
                <w:kern w:val="2"/>
                <w:sz w:val="24"/>
              </w:rPr>
            </w:pPr>
            <w:r>
              <w:rPr>
                <w:rFonts w:ascii="Times New Roman" w:hAnsi="Times New Roman"/>
                <w:color w:val="000000"/>
                <w:kern w:val="2"/>
                <w:sz w:val="24"/>
              </w:rPr>
              <w:t>（1）选用低噪声设备或带隔声、消声的设备，从源头减少噪声的产生。</w:t>
            </w:r>
          </w:p>
          <w:p w14:paraId="568E65E3">
            <w:pPr>
              <w:pStyle w:val="44"/>
              <w:spacing w:before="0" w:line="360" w:lineRule="auto"/>
              <w:ind w:firstLine="480" w:firstLineChars="200"/>
              <w:rPr>
                <w:rFonts w:ascii="Times New Roman" w:hAnsi="Times New Roman"/>
                <w:color w:val="000000"/>
                <w:kern w:val="2"/>
                <w:sz w:val="24"/>
              </w:rPr>
            </w:pPr>
            <w:r>
              <w:rPr>
                <w:rFonts w:ascii="Times New Roman" w:hAnsi="Times New Roman"/>
                <w:color w:val="000000"/>
                <w:kern w:val="2"/>
                <w:sz w:val="24"/>
              </w:rPr>
              <w:t>（2）合理布局设备位置，使高强度的噪声设备远离项目边界及环境敏感点。</w:t>
            </w:r>
          </w:p>
          <w:p w14:paraId="2FE793BA">
            <w:pPr>
              <w:pStyle w:val="44"/>
              <w:spacing w:before="0" w:line="360" w:lineRule="auto"/>
              <w:ind w:firstLine="480" w:firstLineChars="200"/>
              <w:rPr>
                <w:rFonts w:ascii="Times New Roman" w:hAnsi="Times New Roman"/>
                <w:color w:val="000000"/>
                <w:kern w:val="2"/>
                <w:sz w:val="24"/>
              </w:rPr>
            </w:pPr>
            <w:r>
              <w:rPr>
                <w:rFonts w:ascii="Times New Roman" w:hAnsi="Times New Roman"/>
                <w:color w:val="000000"/>
                <w:kern w:val="2"/>
                <w:sz w:val="24"/>
              </w:rPr>
              <w:t>（3）设置较为隔声的生产车间。</w:t>
            </w:r>
          </w:p>
          <w:p w14:paraId="621B0D60">
            <w:pPr>
              <w:pStyle w:val="44"/>
              <w:spacing w:before="0" w:line="360" w:lineRule="auto"/>
              <w:ind w:firstLine="480" w:firstLineChars="200"/>
              <w:rPr>
                <w:rFonts w:ascii="Times New Roman" w:hAnsi="Times New Roman"/>
                <w:color w:val="000000"/>
                <w:kern w:val="2"/>
                <w:sz w:val="24"/>
              </w:rPr>
            </w:pPr>
            <w:r>
              <w:rPr>
                <w:rFonts w:ascii="Times New Roman" w:hAnsi="Times New Roman"/>
                <w:color w:val="000000"/>
                <w:kern w:val="2"/>
                <w:sz w:val="24"/>
              </w:rPr>
              <w:t>（4）对噪声值高的设备采取减振、消声、隔声等措施降低噪声值。</w:t>
            </w:r>
          </w:p>
          <w:p w14:paraId="42DD0EAA">
            <w:pPr>
              <w:pStyle w:val="44"/>
              <w:spacing w:before="0" w:line="360" w:lineRule="auto"/>
              <w:ind w:firstLine="480" w:firstLineChars="200"/>
              <w:rPr>
                <w:rFonts w:ascii="Times New Roman" w:hAnsi="Times New Roman"/>
                <w:color w:val="000000"/>
                <w:kern w:val="2"/>
                <w:sz w:val="24"/>
              </w:rPr>
            </w:pPr>
            <w:r>
              <w:rPr>
                <w:rFonts w:ascii="Times New Roman" w:hAnsi="Times New Roman"/>
                <w:color w:val="000000"/>
                <w:kern w:val="2"/>
                <w:sz w:val="24"/>
              </w:rPr>
              <w:t>（5）定期对生产设备进行保养维修，保证生产设备维持良好使用状态，并严格遵守生产设备的操作规范。</w:t>
            </w:r>
          </w:p>
          <w:p w14:paraId="35887416">
            <w:pPr>
              <w:pStyle w:val="44"/>
              <w:spacing w:before="0" w:line="360" w:lineRule="auto"/>
              <w:ind w:firstLine="0"/>
              <w:rPr>
                <w:rFonts w:ascii="Times New Roman" w:hAnsi="Times New Roman"/>
                <w:b/>
                <w:bCs/>
                <w:color w:val="000000"/>
                <w:kern w:val="2"/>
                <w:sz w:val="24"/>
              </w:rPr>
            </w:pPr>
            <w:r>
              <w:rPr>
                <w:rFonts w:ascii="Times New Roman" w:hAnsi="Times New Roman"/>
                <w:b/>
                <w:bCs/>
                <w:color w:val="000000"/>
                <w:kern w:val="2"/>
                <w:sz w:val="24"/>
              </w:rPr>
              <w:t>4、噪声监测计划</w:t>
            </w:r>
          </w:p>
          <w:p w14:paraId="2EC4DB45">
            <w:pPr>
              <w:pStyle w:val="44"/>
              <w:spacing w:before="0" w:line="360" w:lineRule="auto"/>
              <w:ind w:firstLine="480" w:firstLineChars="200"/>
              <w:rPr>
                <w:rFonts w:hint="eastAsia"/>
                <w:b/>
                <w:bCs/>
                <w:color w:val="000000"/>
                <w:sz w:val="24"/>
              </w:rPr>
            </w:pPr>
            <w:r>
              <w:rPr>
                <w:rFonts w:ascii="Times New Roman" w:hAnsi="Times New Roman"/>
                <w:color w:val="000000"/>
                <w:kern w:val="2"/>
                <w:sz w:val="24"/>
              </w:rPr>
              <w:t>根据《</w:t>
            </w:r>
            <w:r>
              <w:rPr>
                <w:rFonts w:hint="eastAsia" w:ascii="Times New Roman" w:hAnsi="Times New Roman"/>
                <w:color w:val="000000"/>
                <w:kern w:val="2"/>
                <w:sz w:val="24"/>
              </w:rPr>
              <w:t>排污许可证申请与核发技术规范 工业噪声</w:t>
            </w:r>
            <w:r>
              <w:rPr>
                <w:rFonts w:ascii="Times New Roman" w:hAnsi="Times New Roman"/>
                <w:color w:val="000000"/>
                <w:kern w:val="2"/>
                <w:sz w:val="24"/>
              </w:rPr>
              <w:t>》（HJ</w:t>
            </w:r>
            <w:r>
              <w:rPr>
                <w:rFonts w:hint="eastAsia" w:ascii="Times New Roman" w:hAnsi="Times New Roman"/>
                <w:color w:val="000000"/>
                <w:kern w:val="2"/>
                <w:sz w:val="24"/>
              </w:rPr>
              <w:t>1301</w:t>
            </w:r>
            <w:r>
              <w:rPr>
                <w:rFonts w:ascii="Times New Roman" w:hAnsi="Times New Roman"/>
                <w:color w:val="000000"/>
                <w:kern w:val="2"/>
                <w:sz w:val="24"/>
              </w:rPr>
              <w:t>-20</w:t>
            </w:r>
            <w:r>
              <w:rPr>
                <w:rFonts w:hint="eastAsia" w:ascii="Times New Roman" w:hAnsi="Times New Roman"/>
                <w:color w:val="000000"/>
                <w:kern w:val="2"/>
                <w:sz w:val="24"/>
              </w:rPr>
              <w:t>23</w:t>
            </w:r>
            <w:r>
              <w:rPr>
                <w:rFonts w:ascii="Times New Roman" w:hAnsi="Times New Roman"/>
                <w:color w:val="000000"/>
                <w:kern w:val="2"/>
                <w:sz w:val="24"/>
              </w:rPr>
              <w:t>），项目噪声监测计划如下所示。</w:t>
            </w:r>
          </w:p>
          <w:p w14:paraId="511CAAA0">
            <w:pPr>
              <w:jc w:val="center"/>
              <w:rPr>
                <w:b/>
                <w:bCs/>
                <w:color w:val="000000"/>
                <w:sz w:val="24"/>
              </w:rPr>
            </w:pPr>
            <w:r>
              <w:rPr>
                <w:b/>
                <w:bCs/>
                <w:color w:val="000000"/>
                <w:sz w:val="24"/>
              </w:rPr>
              <w:t>表4-1</w:t>
            </w:r>
            <w:r>
              <w:rPr>
                <w:rFonts w:hint="eastAsia"/>
                <w:b/>
                <w:bCs/>
                <w:color w:val="000000"/>
                <w:sz w:val="24"/>
                <w:lang w:val="en-US" w:eastAsia="zh-CN"/>
              </w:rPr>
              <w:t>2</w:t>
            </w:r>
            <w:r>
              <w:rPr>
                <w:b/>
                <w:bCs/>
                <w:color w:val="000000"/>
                <w:sz w:val="24"/>
              </w:rPr>
              <w:t xml:space="preserve">   噪声监测计划表</w:t>
            </w:r>
          </w:p>
          <w:tbl>
            <w:tblPr>
              <w:tblStyle w:val="23"/>
              <w:tblW w:w="83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68"/>
              <w:gridCol w:w="1738"/>
              <w:gridCol w:w="1104"/>
              <w:gridCol w:w="2328"/>
            </w:tblGrid>
            <w:tr w14:paraId="1825C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8" w:type="dxa"/>
                  <w:tcBorders>
                    <w:top w:val="single" w:color="auto" w:sz="4" w:space="0"/>
                    <w:left w:val="single" w:color="auto" w:sz="4" w:space="0"/>
                    <w:bottom w:val="single" w:color="auto" w:sz="4" w:space="0"/>
                    <w:right w:val="single" w:color="auto" w:sz="4" w:space="0"/>
                  </w:tcBorders>
                  <w:vAlign w:val="center"/>
                </w:tcPr>
                <w:p w14:paraId="53CA9DAE">
                  <w:pPr>
                    <w:pStyle w:val="45"/>
                    <w:spacing w:line="240" w:lineRule="auto"/>
                    <w:rPr>
                      <w:color w:val="000000"/>
                      <w:sz w:val="21"/>
                      <w:szCs w:val="21"/>
                    </w:rPr>
                  </w:pPr>
                  <w:r>
                    <w:rPr>
                      <w:color w:val="000000"/>
                      <w:sz w:val="21"/>
                      <w:szCs w:val="21"/>
                    </w:rPr>
                    <w:t>监测点位置</w:t>
                  </w:r>
                </w:p>
              </w:tc>
              <w:tc>
                <w:tcPr>
                  <w:tcW w:w="1738" w:type="dxa"/>
                  <w:tcBorders>
                    <w:top w:val="single" w:color="auto" w:sz="4" w:space="0"/>
                    <w:left w:val="nil"/>
                    <w:bottom w:val="single" w:color="auto" w:sz="4" w:space="0"/>
                    <w:right w:val="single" w:color="auto" w:sz="4" w:space="0"/>
                  </w:tcBorders>
                  <w:vAlign w:val="center"/>
                </w:tcPr>
                <w:p w14:paraId="1F100916">
                  <w:pPr>
                    <w:pStyle w:val="45"/>
                    <w:spacing w:line="240" w:lineRule="auto"/>
                    <w:rPr>
                      <w:color w:val="000000"/>
                      <w:sz w:val="21"/>
                      <w:szCs w:val="21"/>
                    </w:rPr>
                  </w:pPr>
                  <w:r>
                    <w:rPr>
                      <w:color w:val="000000"/>
                      <w:sz w:val="21"/>
                      <w:szCs w:val="21"/>
                    </w:rPr>
                    <w:t>监测指标</w:t>
                  </w:r>
                </w:p>
              </w:tc>
              <w:tc>
                <w:tcPr>
                  <w:tcW w:w="1104" w:type="dxa"/>
                  <w:tcBorders>
                    <w:top w:val="single" w:color="auto" w:sz="4" w:space="0"/>
                    <w:left w:val="nil"/>
                    <w:bottom w:val="single" w:color="auto" w:sz="4" w:space="0"/>
                    <w:right w:val="single" w:color="auto" w:sz="4" w:space="0"/>
                  </w:tcBorders>
                  <w:vAlign w:val="center"/>
                </w:tcPr>
                <w:p w14:paraId="4539418C">
                  <w:pPr>
                    <w:pStyle w:val="45"/>
                    <w:spacing w:line="240" w:lineRule="auto"/>
                    <w:rPr>
                      <w:color w:val="000000"/>
                      <w:sz w:val="21"/>
                      <w:szCs w:val="21"/>
                    </w:rPr>
                  </w:pPr>
                  <w:r>
                    <w:rPr>
                      <w:color w:val="000000"/>
                      <w:sz w:val="21"/>
                      <w:szCs w:val="21"/>
                    </w:rPr>
                    <w:t>监测频次</w:t>
                  </w:r>
                </w:p>
              </w:tc>
              <w:tc>
                <w:tcPr>
                  <w:tcW w:w="2328" w:type="dxa"/>
                  <w:tcBorders>
                    <w:top w:val="single" w:color="auto" w:sz="4" w:space="0"/>
                    <w:left w:val="nil"/>
                    <w:bottom w:val="single" w:color="auto" w:sz="4" w:space="0"/>
                    <w:right w:val="single" w:color="auto" w:sz="4" w:space="0"/>
                  </w:tcBorders>
                  <w:vAlign w:val="center"/>
                </w:tcPr>
                <w:p w14:paraId="4094664F">
                  <w:pPr>
                    <w:pStyle w:val="45"/>
                    <w:spacing w:line="240" w:lineRule="auto"/>
                    <w:rPr>
                      <w:color w:val="000000"/>
                      <w:sz w:val="21"/>
                      <w:szCs w:val="21"/>
                    </w:rPr>
                  </w:pPr>
                  <w:r>
                    <w:rPr>
                      <w:color w:val="000000"/>
                      <w:sz w:val="21"/>
                      <w:szCs w:val="21"/>
                    </w:rPr>
                    <w:t>监测天数</w:t>
                  </w:r>
                </w:p>
              </w:tc>
            </w:tr>
            <w:tr w14:paraId="38607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8" w:type="dxa"/>
                  <w:tcBorders>
                    <w:top w:val="single" w:color="auto" w:sz="4" w:space="0"/>
                    <w:left w:val="single" w:color="auto" w:sz="4" w:space="0"/>
                    <w:bottom w:val="single" w:color="auto" w:sz="4" w:space="0"/>
                    <w:right w:val="single" w:color="auto" w:sz="4" w:space="0"/>
                  </w:tcBorders>
                  <w:vAlign w:val="center"/>
                </w:tcPr>
                <w:p w14:paraId="7C111A08">
                  <w:pPr>
                    <w:pStyle w:val="45"/>
                    <w:spacing w:line="240" w:lineRule="auto"/>
                    <w:rPr>
                      <w:color w:val="000000"/>
                      <w:sz w:val="21"/>
                      <w:szCs w:val="21"/>
                    </w:rPr>
                  </w:pPr>
                  <w:r>
                    <w:rPr>
                      <w:color w:val="000000"/>
                      <w:sz w:val="21"/>
                      <w:szCs w:val="21"/>
                    </w:rPr>
                    <w:t>厂界四周各布设一个噪声监测点</w:t>
                  </w:r>
                </w:p>
              </w:tc>
              <w:tc>
                <w:tcPr>
                  <w:tcW w:w="1738" w:type="dxa"/>
                  <w:tcBorders>
                    <w:top w:val="single" w:color="auto" w:sz="4" w:space="0"/>
                    <w:left w:val="nil"/>
                    <w:bottom w:val="single" w:color="auto" w:sz="4" w:space="0"/>
                    <w:right w:val="single" w:color="auto" w:sz="4" w:space="0"/>
                  </w:tcBorders>
                  <w:vAlign w:val="center"/>
                </w:tcPr>
                <w:p w14:paraId="3720AD47">
                  <w:pPr>
                    <w:pStyle w:val="45"/>
                    <w:spacing w:line="240" w:lineRule="auto"/>
                    <w:rPr>
                      <w:color w:val="000000"/>
                      <w:sz w:val="21"/>
                      <w:szCs w:val="21"/>
                    </w:rPr>
                  </w:pPr>
                  <w:r>
                    <w:rPr>
                      <w:color w:val="000000"/>
                      <w:sz w:val="21"/>
                      <w:szCs w:val="21"/>
                    </w:rPr>
                    <w:t>连续等效A声级</w:t>
                  </w:r>
                </w:p>
              </w:tc>
              <w:tc>
                <w:tcPr>
                  <w:tcW w:w="1104" w:type="dxa"/>
                  <w:tcBorders>
                    <w:top w:val="single" w:color="auto" w:sz="4" w:space="0"/>
                    <w:left w:val="nil"/>
                    <w:bottom w:val="single" w:color="auto" w:sz="4" w:space="0"/>
                    <w:right w:val="single" w:color="auto" w:sz="4" w:space="0"/>
                  </w:tcBorders>
                  <w:vAlign w:val="center"/>
                </w:tcPr>
                <w:p w14:paraId="7BA446BE">
                  <w:pPr>
                    <w:pStyle w:val="45"/>
                    <w:spacing w:line="240" w:lineRule="auto"/>
                    <w:rPr>
                      <w:color w:val="000000"/>
                      <w:sz w:val="21"/>
                      <w:szCs w:val="21"/>
                    </w:rPr>
                  </w:pPr>
                  <w:r>
                    <w:rPr>
                      <w:color w:val="000000"/>
                      <w:sz w:val="21"/>
                      <w:szCs w:val="21"/>
                    </w:rPr>
                    <w:t>每季一次</w:t>
                  </w:r>
                </w:p>
              </w:tc>
              <w:tc>
                <w:tcPr>
                  <w:tcW w:w="2328" w:type="dxa"/>
                  <w:tcBorders>
                    <w:top w:val="single" w:color="auto" w:sz="4" w:space="0"/>
                    <w:left w:val="nil"/>
                    <w:bottom w:val="single" w:color="auto" w:sz="4" w:space="0"/>
                    <w:right w:val="single" w:color="auto" w:sz="4" w:space="0"/>
                  </w:tcBorders>
                  <w:vAlign w:val="center"/>
                </w:tcPr>
                <w:p w14:paraId="683AF1F0">
                  <w:pPr>
                    <w:pStyle w:val="45"/>
                    <w:spacing w:line="240" w:lineRule="auto"/>
                    <w:rPr>
                      <w:color w:val="000000"/>
                      <w:sz w:val="21"/>
                      <w:szCs w:val="21"/>
                    </w:rPr>
                  </w:pPr>
                  <w:r>
                    <w:rPr>
                      <w:color w:val="000000"/>
                      <w:sz w:val="21"/>
                      <w:szCs w:val="21"/>
                    </w:rPr>
                    <w:t>连续1天，昼夜各一次</w:t>
                  </w:r>
                </w:p>
              </w:tc>
            </w:tr>
          </w:tbl>
          <w:p w14:paraId="686AD184">
            <w:pPr>
              <w:pStyle w:val="44"/>
              <w:spacing w:before="0" w:line="360" w:lineRule="auto"/>
              <w:ind w:firstLine="0"/>
              <w:rPr>
                <w:rFonts w:ascii="Times New Roman" w:hAnsi="Times New Roman"/>
                <w:b/>
                <w:bCs/>
                <w:color w:val="000000"/>
                <w:kern w:val="2"/>
                <w:sz w:val="24"/>
              </w:rPr>
            </w:pPr>
            <w:r>
              <w:rPr>
                <w:rFonts w:ascii="Times New Roman" w:hAnsi="Times New Roman"/>
                <w:b/>
                <w:bCs/>
                <w:color w:val="000000"/>
                <w:kern w:val="2"/>
                <w:sz w:val="24"/>
              </w:rPr>
              <w:t>四、固体废物</w:t>
            </w:r>
          </w:p>
          <w:p w14:paraId="64F4B082">
            <w:pPr>
              <w:spacing w:line="360" w:lineRule="auto"/>
              <w:ind w:firstLine="480"/>
              <w:rPr>
                <w:color w:val="000000"/>
                <w:sz w:val="24"/>
                <w:highlight w:val="yellow"/>
              </w:rPr>
            </w:pPr>
            <w:r>
              <w:rPr>
                <w:rFonts w:hint="eastAsia"/>
                <w:color w:val="000000"/>
                <w:sz w:val="24"/>
              </w:rPr>
              <w:t>本项目</w:t>
            </w:r>
            <w:r>
              <w:rPr>
                <w:color w:val="000000"/>
                <w:sz w:val="24"/>
              </w:rPr>
              <w:t>产生的固体废物主要为</w:t>
            </w:r>
            <w:r>
              <w:rPr>
                <w:rFonts w:hint="eastAsia"/>
                <w:color w:val="000000"/>
                <w:sz w:val="24"/>
              </w:rPr>
              <w:t>粮食杂质、收集灰</w:t>
            </w:r>
            <w:r>
              <w:rPr>
                <w:color w:val="000000"/>
                <w:sz w:val="24"/>
              </w:rPr>
              <w:t>、生活垃圾等。</w:t>
            </w:r>
          </w:p>
          <w:p w14:paraId="1A245939">
            <w:pPr>
              <w:numPr>
                <w:ilvl w:val="0"/>
                <w:numId w:val="4"/>
              </w:numPr>
              <w:spacing w:line="360" w:lineRule="auto"/>
              <w:ind w:firstLine="480"/>
              <w:rPr>
                <w:color w:val="000000"/>
                <w:sz w:val="24"/>
              </w:rPr>
            </w:pPr>
            <w:r>
              <w:rPr>
                <w:rFonts w:hint="eastAsia"/>
                <w:color w:val="000000"/>
                <w:sz w:val="24"/>
              </w:rPr>
              <w:t>粮食杂质</w:t>
            </w:r>
            <w:r>
              <w:rPr>
                <w:color w:val="000000"/>
                <w:sz w:val="24"/>
              </w:rPr>
              <w:t>：</w:t>
            </w:r>
            <w:r>
              <w:rPr>
                <w:rFonts w:hint="eastAsia"/>
                <w:color w:val="000000"/>
                <w:sz w:val="24"/>
              </w:rPr>
              <w:t>根据企业提供，筛分工序产生粮食杂质约</w:t>
            </w:r>
            <w:r>
              <w:rPr>
                <w:color w:val="000000"/>
                <w:sz w:val="24"/>
              </w:rPr>
              <w:t>300t/a</w:t>
            </w:r>
            <w:r>
              <w:rPr>
                <w:rFonts w:hint="eastAsia"/>
                <w:color w:val="000000"/>
                <w:sz w:val="24"/>
              </w:rPr>
              <w:t>，集中收集，外售综合利用。</w:t>
            </w:r>
          </w:p>
          <w:p w14:paraId="35C59C5C">
            <w:pPr>
              <w:numPr>
                <w:ilvl w:val="0"/>
                <w:numId w:val="4"/>
              </w:numPr>
              <w:spacing w:line="360" w:lineRule="auto"/>
              <w:ind w:firstLine="480"/>
              <w:rPr>
                <w:color w:val="000000"/>
                <w:sz w:val="24"/>
              </w:rPr>
            </w:pPr>
            <w:r>
              <w:rPr>
                <w:rFonts w:hint="eastAsia"/>
                <w:color w:val="000000"/>
                <w:sz w:val="24"/>
              </w:rPr>
              <w:t>灰渣：生物质燃烧后会产生一定量的灰渣，产生量约1.1t/a，清理后由环卫部门统一清运处理</w:t>
            </w:r>
          </w:p>
          <w:p w14:paraId="7F7FAC0E">
            <w:pPr>
              <w:spacing w:line="360" w:lineRule="auto"/>
              <w:ind w:firstLine="480"/>
              <w:rPr>
                <w:color w:val="000000"/>
                <w:sz w:val="24"/>
              </w:rPr>
            </w:pPr>
            <w:r>
              <w:rPr>
                <w:color w:val="000000"/>
                <w:sz w:val="24"/>
              </w:rPr>
              <w:t>（</w:t>
            </w:r>
            <w:r>
              <w:rPr>
                <w:rFonts w:hint="eastAsia"/>
                <w:color w:val="000000"/>
                <w:sz w:val="24"/>
              </w:rPr>
              <w:t>3</w:t>
            </w:r>
            <w:r>
              <w:rPr>
                <w:color w:val="000000"/>
                <w:sz w:val="24"/>
              </w:rPr>
              <w:t>）</w:t>
            </w:r>
            <w:r>
              <w:rPr>
                <w:rFonts w:hint="eastAsia"/>
                <w:color w:val="000000"/>
                <w:sz w:val="24"/>
              </w:rPr>
              <w:t xml:space="preserve">收集灰：根据废气源强分析可知，本项目收集灰总量为49.713t/a，集中收集，统一清运处理。 </w:t>
            </w:r>
          </w:p>
          <w:p w14:paraId="5FF898CF">
            <w:pPr>
              <w:spacing w:line="360" w:lineRule="auto"/>
              <w:ind w:firstLine="480"/>
              <w:rPr>
                <w:color w:val="000000"/>
                <w:sz w:val="24"/>
              </w:rPr>
            </w:pPr>
            <w:r>
              <w:rPr>
                <w:color w:val="000000"/>
                <w:sz w:val="24"/>
              </w:rPr>
              <w:t>（</w:t>
            </w:r>
            <w:r>
              <w:rPr>
                <w:rFonts w:hint="eastAsia"/>
                <w:color w:val="000000"/>
                <w:sz w:val="24"/>
              </w:rPr>
              <w:t>4</w:t>
            </w:r>
            <w:r>
              <w:rPr>
                <w:color w:val="000000"/>
                <w:sz w:val="24"/>
              </w:rPr>
              <w:t>）生活垃圾：</w:t>
            </w:r>
            <w:r>
              <w:rPr>
                <w:rFonts w:hint="eastAsia"/>
                <w:color w:val="000000"/>
                <w:sz w:val="24"/>
              </w:rPr>
              <w:t>生活垃圾按每人</w:t>
            </w:r>
            <w:r>
              <w:rPr>
                <w:color w:val="000000"/>
                <w:sz w:val="24"/>
              </w:rPr>
              <w:t>0.5kg/d</w:t>
            </w:r>
            <w:r>
              <w:rPr>
                <w:rFonts w:hint="eastAsia"/>
                <w:color w:val="000000"/>
                <w:sz w:val="24"/>
              </w:rPr>
              <w:t>计，职工10人，则生活垃圾产生量为5</w:t>
            </w:r>
            <w:r>
              <w:rPr>
                <w:color w:val="000000"/>
                <w:sz w:val="24"/>
              </w:rPr>
              <w:t>kg/d</w:t>
            </w:r>
            <w:r>
              <w:rPr>
                <w:rFonts w:hint="eastAsia"/>
                <w:color w:val="000000"/>
                <w:sz w:val="24"/>
              </w:rPr>
              <w:t>（1.5</w:t>
            </w:r>
            <w:r>
              <w:rPr>
                <w:color w:val="000000"/>
                <w:sz w:val="24"/>
              </w:rPr>
              <w:t>t/a</w:t>
            </w:r>
            <w:r>
              <w:rPr>
                <w:rFonts w:hint="eastAsia"/>
                <w:color w:val="000000"/>
                <w:sz w:val="24"/>
              </w:rPr>
              <w:t>），场区内设有垃圾收集桶，生活垃圾经集中收集后由环卫部门统一清运。</w:t>
            </w:r>
          </w:p>
          <w:p w14:paraId="5F0B23A0">
            <w:pPr>
              <w:spacing w:line="360" w:lineRule="auto"/>
              <w:ind w:left="160" w:right="239" w:firstLine="480"/>
              <w:rPr>
                <w:color w:val="000000"/>
                <w:sz w:val="24"/>
                <w:lang w:bidi="zh-CN"/>
              </w:rPr>
            </w:pPr>
            <w:r>
              <w:rPr>
                <w:color w:val="000000"/>
                <w:sz w:val="24"/>
                <w:lang w:bidi="zh-CN"/>
              </w:rPr>
              <w:t>项目运营期固体废物产生情况见表</w:t>
            </w:r>
            <w:r>
              <w:rPr>
                <w:rFonts w:hint="eastAsia"/>
                <w:color w:val="000000"/>
                <w:sz w:val="24"/>
                <w:lang w:bidi="zh-CN"/>
              </w:rPr>
              <w:t>4-13</w:t>
            </w:r>
            <w:r>
              <w:rPr>
                <w:color w:val="000000"/>
                <w:sz w:val="24"/>
                <w:lang w:bidi="zh-CN"/>
              </w:rPr>
              <w:t>。</w:t>
            </w:r>
          </w:p>
          <w:p w14:paraId="49629694">
            <w:pPr>
              <w:jc w:val="center"/>
              <w:rPr>
                <w:b/>
                <w:bCs/>
                <w:color w:val="000000"/>
                <w:sz w:val="24"/>
              </w:rPr>
            </w:pPr>
            <w:r>
              <w:rPr>
                <w:b/>
                <w:bCs/>
                <w:color w:val="000000"/>
                <w:sz w:val="24"/>
              </w:rPr>
              <w:t>表</w:t>
            </w:r>
            <w:r>
              <w:rPr>
                <w:rFonts w:hint="eastAsia"/>
                <w:b/>
                <w:bCs/>
                <w:color w:val="000000"/>
                <w:sz w:val="24"/>
              </w:rPr>
              <w:t>4-1</w:t>
            </w:r>
            <w:r>
              <w:rPr>
                <w:rFonts w:hint="eastAsia"/>
                <w:b/>
                <w:bCs/>
                <w:color w:val="000000"/>
                <w:sz w:val="24"/>
                <w:lang w:val="en-US" w:eastAsia="zh-CN"/>
              </w:rPr>
              <w:t>3</w:t>
            </w:r>
            <w:r>
              <w:rPr>
                <w:b/>
                <w:bCs/>
                <w:color w:val="000000"/>
                <w:sz w:val="24"/>
              </w:rPr>
              <w:t xml:space="preserve">  </w:t>
            </w:r>
            <w:r>
              <w:rPr>
                <w:rFonts w:hint="eastAsia"/>
                <w:b/>
                <w:bCs/>
                <w:color w:val="000000"/>
                <w:sz w:val="24"/>
              </w:rPr>
              <w:t>本项目</w:t>
            </w:r>
            <w:r>
              <w:rPr>
                <w:b/>
                <w:bCs/>
                <w:color w:val="000000"/>
                <w:sz w:val="24"/>
              </w:rPr>
              <w:t>固废产生情况汇总表  单位：t/a</w:t>
            </w:r>
          </w:p>
          <w:tbl>
            <w:tblPr>
              <w:tblStyle w:val="23"/>
              <w:tblW w:w="84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47"/>
              <w:gridCol w:w="583"/>
              <w:gridCol w:w="777"/>
              <w:gridCol w:w="699"/>
              <w:gridCol w:w="511"/>
              <w:gridCol w:w="888"/>
              <w:gridCol w:w="588"/>
              <w:gridCol w:w="600"/>
              <w:gridCol w:w="1103"/>
              <w:gridCol w:w="559"/>
              <w:gridCol w:w="1759"/>
            </w:tblGrid>
            <w:tr w14:paraId="4A3DD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47" w:type="dxa"/>
                  <w:vAlign w:val="center"/>
                </w:tcPr>
                <w:p w14:paraId="6637835B">
                  <w:pPr>
                    <w:autoSpaceDE w:val="0"/>
                    <w:autoSpaceDN w:val="0"/>
                    <w:jc w:val="center"/>
                    <w:rPr>
                      <w:color w:val="000000"/>
                      <w:szCs w:val="21"/>
                    </w:rPr>
                  </w:pPr>
                  <w:r>
                    <w:rPr>
                      <w:color w:val="000000"/>
                      <w:szCs w:val="21"/>
                    </w:rPr>
                    <w:t>序号</w:t>
                  </w:r>
                </w:p>
              </w:tc>
              <w:tc>
                <w:tcPr>
                  <w:tcW w:w="583" w:type="dxa"/>
                  <w:vAlign w:val="center"/>
                </w:tcPr>
                <w:p w14:paraId="7AB720DB">
                  <w:pPr>
                    <w:autoSpaceDE w:val="0"/>
                    <w:autoSpaceDN w:val="0"/>
                    <w:jc w:val="center"/>
                    <w:rPr>
                      <w:color w:val="000000"/>
                      <w:szCs w:val="21"/>
                    </w:rPr>
                  </w:pPr>
                  <w:r>
                    <w:rPr>
                      <w:color w:val="000000"/>
                      <w:szCs w:val="21"/>
                    </w:rPr>
                    <w:t>固废名称</w:t>
                  </w:r>
                </w:p>
              </w:tc>
              <w:tc>
                <w:tcPr>
                  <w:tcW w:w="777" w:type="dxa"/>
                  <w:vAlign w:val="center"/>
                </w:tcPr>
                <w:p w14:paraId="5E7479DA">
                  <w:pPr>
                    <w:autoSpaceDE w:val="0"/>
                    <w:autoSpaceDN w:val="0"/>
                    <w:jc w:val="center"/>
                    <w:rPr>
                      <w:color w:val="000000"/>
                      <w:szCs w:val="21"/>
                    </w:rPr>
                  </w:pPr>
                  <w:r>
                    <w:rPr>
                      <w:color w:val="000000"/>
                      <w:szCs w:val="21"/>
                    </w:rPr>
                    <w:t>产生工序</w:t>
                  </w:r>
                </w:p>
              </w:tc>
              <w:tc>
                <w:tcPr>
                  <w:tcW w:w="699" w:type="dxa"/>
                  <w:vAlign w:val="center"/>
                </w:tcPr>
                <w:p w14:paraId="3573899F">
                  <w:pPr>
                    <w:autoSpaceDE w:val="0"/>
                    <w:autoSpaceDN w:val="0"/>
                    <w:jc w:val="center"/>
                    <w:rPr>
                      <w:color w:val="000000"/>
                      <w:szCs w:val="21"/>
                    </w:rPr>
                  </w:pPr>
                  <w:r>
                    <w:rPr>
                      <w:color w:val="000000"/>
                      <w:szCs w:val="21"/>
                    </w:rPr>
                    <w:t>属性</w:t>
                  </w:r>
                </w:p>
              </w:tc>
              <w:tc>
                <w:tcPr>
                  <w:tcW w:w="511" w:type="dxa"/>
                  <w:vAlign w:val="center"/>
                </w:tcPr>
                <w:p w14:paraId="2C73620B">
                  <w:pPr>
                    <w:autoSpaceDE w:val="0"/>
                    <w:autoSpaceDN w:val="0"/>
                    <w:jc w:val="center"/>
                    <w:rPr>
                      <w:color w:val="000000"/>
                      <w:szCs w:val="21"/>
                    </w:rPr>
                  </w:pPr>
                  <w:r>
                    <w:rPr>
                      <w:color w:val="000000"/>
                      <w:szCs w:val="21"/>
                    </w:rPr>
                    <w:t>形态</w:t>
                  </w:r>
                </w:p>
              </w:tc>
              <w:tc>
                <w:tcPr>
                  <w:tcW w:w="888" w:type="dxa"/>
                  <w:vAlign w:val="center"/>
                </w:tcPr>
                <w:p w14:paraId="61850C32">
                  <w:pPr>
                    <w:autoSpaceDE w:val="0"/>
                    <w:autoSpaceDN w:val="0"/>
                    <w:jc w:val="center"/>
                    <w:rPr>
                      <w:color w:val="000000"/>
                      <w:szCs w:val="21"/>
                    </w:rPr>
                  </w:pPr>
                  <w:r>
                    <w:rPr>
                      <w:color w:val="000000"/>
                      <w:szCs w:val="21"/>
                    </w:rPr>
                    <w:t>主要成分</w:t>
                  </w:r>
                </w:p>
              </w:tc>
              <w:tc>
                <w:tcPr>
                  <w:tcW w:w="588" w:type="dxa"/>
                  <w:vAlign w:val="center"/>
                </w:tcPr>
                <w:p w14:paraId="4831CFF3">
                  <w:pPr>
                    <w:autoSpaceDE w:val="0"/>
                    <w:autoSpaceDN w:val="0"/>
                    <w:jc w:val="center"/>
                    <w:rPr>
                      <w:color w:val="000000"/>
                      <w:szCs w:val="21"/>
                    </w:rPr>
                  </w:pPr>
                  <w:r>
                    <w:rPr>
                      <w:color w:val="000000"/>
                      <w:szCs w:val="21"/>
                    </w:rPr>
                    <w:t>产生量</w:t>
                  </w:r>
                </w:p>
              </w:tc>
              <w:tc>
                <w:tcPr>
                  <w:tcW w:w="600" w:type="dxa"/>
                  <w:vAlign w:val="center"/>
                </w:tcPr>
                <w:p w14:paraId="3A038BCC">
                  <w:pPr>
                    <w:autoSpaceDE w:val="0"/>
                    <w:autoSpaceDN w:val="0"/>
                    <w:jc w:val="center"/>
                    <w:rPr>
                      <w:color w:val="000000"/>
                      <w:szCs w:val="21"/>
                    </w:rPr>
                  </w:pPr>
                  <w:r>
                    <w:rPr>
                      <w:color w:val="000000"/>
                      <w:szCs w:val="21"/>
                    </w:rPr>
                    <w:t>废物类别</w:t>
                  </w:r>
                </w:p>
              </w:tc>
              <w:tc>
                <w:tcPr>
                  <w:tcW w:w="1103" w:type="dxa"/>
                  <w:vAlign w:val="center"/>
                </w:tcPr>
                <w:p w14:paraId="3516E7E1">
                  <w:pPr>
                    <w:autoSpaceDE w:val="0"/>
                    <w:autoSpaceDN w:val="0"/>
                    <w:jc w:val="center"/>
                    <w:rPr>
                      <w:color w:val="000000"/>
                      <w:szCs w:val="21"/>
                    </w:rPr>
                  </w:pPr>
                  <w:r>
                    <w:rPr>
                      <w:color w:val="000000"/>
                      <w:szCs w:val="21"/>
                    </w:rPr>
                    <w:t>废物代码</w:t>
                  </w:r>
                </w:p>
              </w:tc>
              <w:tc>
                <w:tcPr>
                  <w:tcW w:w="559" w:type="dxa"/>
                  <w:vAlign w:val="center"/>
                </w:tcPr>
                <w:p w14:paraId="4ACA6340">
                  <w:pPr>
                    <w:autoSpaceDE w:val="0"/>
                    <w:autoSpaceDN w:val="0"/>
                    <w:jc w:val="center"/>
                    <w:rPr>
                      <w:color w:val="000000"/>
                      <w:szCs w:val="21"/>
                    </w:rPr>
                  </w:pPr>
                  <w:r>
                    <w:rPr>
                      <w:color w:val="000000"/>
                      <w:szCs w:val="21"/>
                    </w:rPr>
                    <w:t>危险特性</w:t>
                  </w:r>
                </w:p>
              </w:tc>
              <w:tc>
                <w:tcPr>
                  <w:tcW w:w="1759" w:type="dxa"/>
                  <w:vAlign w:val="center"/>
                </w:tcPr>
                <w:p w14:paraId="514E7726">
                  <w:pPr>
                    <w:autoSpaceDE w:val="0"/>
                    <w:autoSpaceDN w:val="0"/>
                    <w:jc w:val="center"/>
                    <w:rPr>
                      <w:color w:val="000000"/>
                      <w:szCs w:val="21"/>
                    </w:rPr>
                  </w:pPr>
                  <w:r>
                    <w:rPr>
                      <w:color w:val="000000"/>
                      <w:szCs w:val="21"/>
                    </w:rPr>
                    <w:t>利用处置方式</w:t>
                  </w:r>
                </w:p>
              </w:tc>
            </w:tr>
            <w:tr w14:paraId="406682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47" w:type="dxa"/>
                  <w:vAlign w:val="center"/>
                </w:tcPr>
                <w:p w14:paraId="40AF65F5">
                  <w:pPr>
                    <w:autoSpaceDE w:val="0"/>
                    <w:autoSpaceDN w:val="0"/>
                    <w:jc w:val="center"/>
                    <w:rPr>
                      <w:color w:val="000000"/>
                      <w:szCs w:val="21"/>
                    </w:rPr>
                  </w:pPr>
                  <w:r>
                    <w:rPr>
                      <w:color w:val="000000"/>
                      <w:szCs w:val="21"/>
                    </w:rPr>
                    <w:t>1</w:t>
                  </w:r>
                </w:p>
              </w:tc>
              <w:tc>
                <w:tcPr>
                  <w:tcW w:w="583" w:type="dxa"/>
                  <w:vAlign w:val="center"/>
                </w:tcPr>
                <w:p w14:paraId="23E734CF">
                  <w:pPr>
                    <w:autoSpaceDE w:val="0"/>
                    <w:autoSpaceDN w:val="0"/>
                    <w:jc w:val="center"/>
                    <w:rPr>
                      <w:color w:val="000000"/>
                      <w:szCs w:val="21"/>
                    </w:rPr>
                  </w:pPr>
                  <w:r>
                    <w:rPr>
                      <w:rFonts w:hint="eastAsia"/>
                      <w:color w:val="000000"/>
                      <w:szCs w:val="21"/>
                    </w:rPr>
                    <w:t>粮食杂质</w:t>
                  </w:r>
                </w:p>
              </w:tc>
              <w:tc>
                <w:tcPr>
                  <w:tcW w:w="777" w:type="dxa"/>
                  <w:vAlign w:val="center"/>
                </w:tcPr>
                <w:p w14:paraId="77E1A3A4">
                  <w:pPr>
                    <w:autoSpaceDE w:val="0"/>
                    <w:autoSpaceDN w:val="0"/>
                    <w:jc w:val="center"/>
                    <w:rPr>
                      <w:color w:val="000000"/>
                      <w:szCs w:val="21"/>
                    </w:rPr>
                  </w:pPr>
                  <w:r>
                    <w:rPr>
                      <w:rFonts w:hint="eastAsia"/>
                      <w:color w:val="000000"/>
                      <w:szCs w:val="21"/>
                    </w:rPr>
                    <w:t>筛分</w:t>
                  </w:r>
                </w:p>
              </w:tc>
              <w:tc>
                <w:tcPr>
                  <w:tcW w:w="699" w:type="dxa"/>
                  <w:vAlign w:val="center"/>
                </w:tcPr>
                <w:p w14:paraId="264FBE7E">
                  <w:pPr>
                    <w:autoSpaceDE w:val="0"/>
                    <w:autoSpaceDN w:val="0"/>
                    <w:jc w:val="center"/>
                    <w:rPr>
                      <w:color w:val="000000"/>
                      <w:szCs w:val="21"/>
                    </w:rPr>
                  </w:pPr>
                  <w:r>
                    <w:rPr>
                      <w:color w:val="000000"/>
                      <w:szCs w:val="21"/>
                    </w:rPr>
                    <w:t>一般固废</w:t>
                  </w:r>
                </w:p>
              </w:tc>
              <w:tc>
                <w:tcPr>
                  <w:tcW w:w="511" w:type="dxa"/>
                  <w:vAlign w:val="center"/>
                </w:tcPr>
                <w:p w14:paraId="5C4BC19C">
                  <w:pPr>
                    <w:autoSpaceDE w:val="0"/>
                    <w:autoSpaceDN w:val="0"/>
                    <w:jc w:val="center"/>
                    <w:rPr>
                      <w:color w:val="000000"/>
                      <w:szCs w:val="21"/>
                    </w:rPr>
                  </w:pPr>
                  <w:r>
                    <w:rPr>
                      <w:color w:val="000000"/>
                      <w:szCs w:val="21"/>
                    </w:rPr>
                    <w:t>固态</w:t>
                  </w:r>
                </w:p>
              </w:tc>
              <w:tc>
                <w:tcPr>
                  <w:tcW w:w="888" w:type="dxa"/>
                  <w:vAlign w:val="center"/>
                </w:tcPr>
                <w:p w14:paraId="614F75B5">
                  <w:pPr>
                    <w:autoSpaceDE w:val="0"/>
                    <w:autoSpaceDN w:val="0"/>
                    <w:jc w:val="center"/>
                    <w:rPr>
                      <w:color w:val="000000"/>
                      <w:szCs w:val="21"/>
                    </w:rPr>
                  </w:pPr>
                  <w:r>
                    <w:rPr>
                      <w:rFonts w:hint="eastAsia"/>
                      <w:color w:val="000000"/>
                      <w:szCs w:val="21"/>
                    </w:rPr>
                    <w:t>粮食、石子</w:t>
                  </w:r>
                  <w:r>
                    <w:rPr>
                      <w:color w:val="000000"/>
                      <w:szCs w:val="21"/>
                    </w:rPr>
                    <w:t>等</w:t>
                  </w:r>
                </w:p>
              </w:tc>
              <w:tc>
                <w:tcPr>
                  <w:tcW w:w="588" w:type="dxa"/>
                  <w:vAlign w:val="center"/>
                </w:tcPr>
                <w:p w14:paraId="40637A25">
                  <w:pPr>
                    <w:autoSpaceDE w:val="0"/>
                    <w:autoSpaceDN w:val="0"/>
                    <w:jc w:val="center"/>
                    <w:rPr>
                      <w:color w:val="000000"/>
                      <w:szCs w:val="21"/>
                    </w:rPr>
                  </w:pPr>
                  <w:r>
                    <w:rPr>
                      <w:rFonts w:hint="eastAsia"/>
                      <w:color w:val="000000"/>
                      <w:szCs w:val="21"/>
                    </w:rPr>
                    <w:t>300</w:t>
                  </w:r>
                </w:p>
              </w:tc>
              <w:tc>
                <w:tcPr>
                  <w:tcW w:w="600" w:type="dxa"/>
                  <w:vAlign w:val="center"/>
                </w:tcPr>
                <w:p w14:paraId="4351ABAB">
                  <w:pPr>
                    <w:autoSpaceDE w:val="0"/>
                    <w:autoSpaceDN w:val="0"/>
                    <w:jc w:val="center"/>
                    <w:rPr>
                      <w:color w:val="000000"/>
                      <w:szCs w:val="21"/>
                    </w:rPr>
                  </w:pPr>
                  <w:r>
                    <w:rPr>
                      <w:color w:val="000000"/>
                      <w:szCs w:val="21"/>
                    </w:rPr>
                    <w:t>/</w:t>
                  </w:r>
                </w:p>
              </w:tc>
              <w:tc>
                <w:tcPr>
                  <w:tcW w:w="1103" w:type="dxa"/>
                  <w:vAlign w:val="center"/>
                </w:tcPr>
                <w:p w14:paraId="2F338AE0">
                  <w:pPr>
                    <w:autoSpaceDE w:val="0"/>
                    <w:autoSpaceDN w:val="0"/>
                    <w:jc w:val="center"/>
                    <w:rPr>
                      <w:color w:val="000000"/>
                      <w:szCs w:val="21"/>
                    </w:rPr>
                  </w:pPr>
                  <w:r>
                    <w:rPr>
                      <w:rFonts w:hint="eastAsia"/>
                      <w:color w:val="000000"/>
                      <w:szCs w:val="21"/>
                    </w:rPr>
                    <w:t>900-999-S59</w:t>
                  </w:r>
                </w:p>
              </w:tc>
              <w:tc>
                <w:tcPr>
                  <w:tcW w:w="559" w:type="dxa"/>
                  <w:vAlign w:val="center"/>
                </w:tcPr>
                <w:p w14:paraId="67637F5A">
                  <w:pPr>
                    <w:autoSpaceDE w:val="0"/>
                    <w:autoSpaceDN w:val="0"/>
                    <w:jc w:val="center"/>
                    <w:rPr>
                      <w:color w:val="000000"/>
                      <w:szCs w:val="21"/>
                    </w:rPr>
                  </w:pPr>
                  <w:r>
                    <w:rPr>
                      <w:color w:val="000000"/>
                      <w:szCs w:val="21"/>
                    </w:rPr>
                    <w:t>/</w:t>
                  </w:r>
                </w:p>
              </w:tc>
              <w:tc>
                <w:tcPr>
                  <w:tcW w:w="1759" w:type="dxa"/>
                  <w:vAlign w:val="center"/>
                </w:tcPr>
                <w:p w14:paraId="6F198093">
                  <w:pPr>
                    <w:autoSpaceDE w:val="0"/>
                    <w:autoSpaceDN w:val="0"/>
                    <w:jc w:val="center"/>
                    <w:rPr>
                      <w:color w:val="000000"/>
                      <w:szCs w:val="21"/>
                    </w:rPr>
                  </w:pPr>
                  <w:r>
                    <w:rPr>
                      <w:color w:val="000000"/>
                      <w:szCs w:val="21"/>
                    </w:rPr>
                    <w:t>集中收集后外售</w:t>
                  </w:r>
                </w:p>
              </w:tc>
            </w:tr>
            <w:tr w14:paraId="4C4DB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47" w:type="dxa"/>
                  <w:vAlign w:val="center"/>
                </w:tcPr>
                <w:p w14:paraId="37A1002A">
                  <w:pPr>
                    <w:autoSpaceDE w:val="0"/>
                    <w:autoSpaceDN w:val="0"/>
                    <w:jc w:val="center"/>
                    <w:rPr>
                      <w:color w:val="000000"/>
                      <w:szCs w:val="21"/>
                    </w:rPr>
                  </w:pPr>
                  <w:r>
                    <w:rPr>
                      <w:color w:val="000000"/>
                      <w:szCs w:val="21"/>
                    </w:rPr>
                    <w:t>2</w:t>
                  </w:r>
                </w:p>
              </w:tc>
              <w:tc>
                <w:tcPr>
                  <w:tcW w:w="583" w:type="dxa"/>
                  <w:vAlign w:val="center"/>
                </w:tcPr>
                <w:p w14:paraId="36901656">
                  <w:pPr>
                    <w:autoSpaceDE w:val="0"/>
                    <w:autoSpaceDN w:val="0"/>
                    <w:jc w:val="center"/>
                    <w:rPr>
                      <w:color w:val="000000"/>
                      <w:szCs w:val="21"/>
                    </w:rPr>
                  </w:pPr>
                  <w:r>
                    <w:rPr>
                      <w:rFonts w:hint="eastAsia"/>
                      <w:color w:val="000000"/>
                      <w:szCs w:val="21"/>
                    </w:rPr>
                    <w:t>灰渣</w:t>
                  </w:r>
                </w:p>
              </w:tc>
              <w:tc>
                <w:tcPr>
                  <w:tcW w:w="777" w:type="dxa"/>
                  <w:vAlign w:val="center"/>
                </w:tcPr>
                <w:p w14:paraId="50B5BB3B">
                  <w:pPr>
                    <w:autoSpaceDE w:val="0"/>
                    <w:autoSpaceDN w:val="0"/>
                    <w:jc w:val="center"/>
                    <w:rPr>
                      <w:color w:val="000000"/>
                      <w:szCs w:val="21"/>
                    </w:rPr>
                  </w:pPr>
                  <w:r>
                    <w:rPr>
                      <w:rFonts w:hint="eastAsia"/>
                      <w:color w:val="000000"/>
                      <w:szCs w:val="21"/>
                    </w:rPr>
                    <w:t>锅炉燃烧</w:t>
                  </w:r>
                </w:p>
              </w:tc>
              <w:tc>
                <w:tcPr>
                  <w:tcW w:w="699" w:type="dxa"/>
                  <w:vAlign w:val="center"/>
                </w:tcPr>
                <w:p w14:paraId="66DCA60A">
                  <w:pPr>
                    <w:autoSpaceDE w:val="0"/>
                    <w:autoSpaceDN w:val="0"/>
                    <w:jc w:val="center"/>
                    <w:rPr>
                      <w:color w:val="000000"/>
                      <w:szCs w:val="21"/>
                    </w:rPr>
                  </w:pPr>
                  <w:r>
                    <w:rPr>
                      <w:rFonts w:hint="eastAsia"/>
                      <w:color w:val="000000"/>
                      <w:szCs w:val="21"/>
                    </w:rPr>
                    <w:t>一般固废</w:t>
                  </w:r>
                </w:p>
              </w:tc>
              <w:tc>
                <w:tcPr>
                  <w:tcW w:w="511" w:type="dxa"/>
                  <w:vAlign w:val="center"/>
                </w:tcPr>
                <w:p w14:paraId="39DAC525">
                  <w:pPr>
                    <w:autoSpaceDE w:val="0"/>
                    <w:autoSpaceDN w:val="0"/>
                    <w:jc w:val="center"/>
                    <w:rPr>
                      <w:color w:val="000000"/>
                      <w:szCs w:val="21"/>
                    </w:rPr>
                  </w:pPr>
                  <w:r>
                    <w:rPr>
                      <w:color w:val="000000"/>
                      <w:szCs w:val="21"/>
                    </w:rPr>
                    <w:t>固态</w:t>
                  </w:r>
                </w:p>
              </w:tc>
              <w:tc>
                <w:tcPr>
                  <w:tcW w:w="888" w:type="dxa"/>
                  <w:vAlign w:val="center"/>
                </w:tcPr>
                <w:p w14:paraId="18C9EB6B">
                  <w:pPr>
                    <w:autoSpaceDE w:val="0"/>
                    <w:autoSpaceDN w:val="0"/>
                    <w:jc w:val="center"/>
                    <w:rPr>
                      <w:color w:val="000000"/>
                      <w:szCs w:val="21"/>
                    </w:rPr>
                  </w:pPr>
                  <w:r>
                    <w:rPr>
                      <w:rFonts w:hint="eastAsia"/>
                      <w:color w:val="000000"/>
                      <w:szCs w:val="21"/>
                    </w:rPr>
                    <w:t>灰渣</w:t>
                  </w:r>
                </w:p>
              </w:tc>
              <w:tc>
                <w:tcPr>
                  <w:tcW w:w="588" w:type="dxa"/>
                  <w:vAlign w:val="center"/>
                </w:tcPr>
                <w:p w14:paraId="15592C95">
                  <w:pPr>
                    <w:autoSpaceDE w:val="0"/>
                    <w:autoSpaceDN w:val="0"/>
                    <w:jc w:val="center"/>
                    <w:rPr>
                      <w:color w:val="000000"/>
                      <w:szCs w:val="21"/>
                    </w:rPr>
                  </w:pPr>
                  <w:r>
                    <w:rPr>
                      <w:rFonts w:hint="eastAsia"/>
                      <w:color w:val="000000"/>
                      <w:szCs w:val="21"/>
                    </w:rPr>
                    <w:t>1.1</w:t>
                  </w:r>
                </w:p>
              </w:tc>
              <w:tc>
                <w:tcPr>
                  <w:tcW w:w="600" w:type="dxa"/>
                  <w:vAlign w:val="center"/>
                </w:tcPr>
                <w:p w14:paraId="19101943">
                  <w:pPr>
                    <w:autoSpaceDE w:val="0"/>
                    <w:autoSpaceDN w:val="0"/>
                    <w:jc w:val="center"/>
                    <w:rPr>
                      <w:color w:val="000000"/>
                      <w:szCs w:val="21"/>
                    </w:rPr>
                  </w:pPr>
                  <w:r>
                    <w:rPr>
                      <w:rFonts w:hint="eastAsia"/>
                      <w:color w:val="000000"/>
                      <w:szCs w:val="21"/>
                    </w:rPr>
                    <w:t>/</w:t>
                  </w:r>
                </w:p>
              </w:tc>
              <w:tc>
                <w:tcPr>
                  <w:tcW w:w="1103" w:type="dxa"/>
                  <w:vAlign w:val="center"/>
                </w:tcPr>
                <w:p w14:paraId="19A5DD9C">
                  <w:pPr>
                    <w:autoSpaceDE w:val="0"/>
                    <w:autoSpaceDN w:val="0"/>
                    <w:jc w:val="center"/>
                    <w:rPr>
                      <w:color w:val="000000"/>
                      <w:szCs w:val="21"/>
                    </w:rPr>
                  </w:pPr>
                  <w:r>
                    <w:rPr>
                      <w:rFonts w:hint="eastAsia"/>
                      <w:color w:val="000000"/>
                      <w:szCs w:val="21"/>
                    </w:rPr>
                    <w:t>/</w:t>
                  </w:r>
                </w:p>
              </w:tc>
              <w:tc>
                <w:tcPr>
                  <w:tcW w:w="559" w:type="dxa"/>
                  <w:vAlign w:val="center"/>
                </w:tcPr>
                <w:p w14:paraId="0B335AFA">
                  <w:pPr>
                    <w:autoSpaceDE w:val="0"/>
                    <w:autoSpaceDN w:val="0"/>
                    <w:jc w:val="center"/>
                    <w:rPr>
                      <w:color w:val="000000"/>
                      <w:szCs w:val="21"/>
                    </w:rPr>
                  </w:pPr>
                  <w:r>
                    <w:rPr>
                      <w:rFonts w:hint="eastAsia"/>
                      <w:color w:val="000000"/>
                      <w:szCs w:val="21"/>
                    </w:rPr>
                    <w:t>/</w:t>
                  </w:r>
                </w:p>
              </w:tc>
              <w:tc>
                <w:tcPr>
                  <w:tcW w:w="1759" w:type="dxa"/>
                  <w:vAlign w:val="center"/>
                </w:tcPr>
                <w:p w14:paraId="4C35F03A">
                  <w:pPr>
                    <w:autoSpaceDE w:val="0"/>
                    <w:autoSpaceDN w:val="0"/>
                    <w:jc w:val="center"/>
                    <w:rPr>
                      <w:color w:val="000000"/>
                      <w:szCs w:val="21"/>
                    </w:rPr>
                  </w:pPr>
                  <w:r>
                    <w:rPr>
                      <w:color w:val="000000"/>
                      <w:szCs w:val="21"/>
                    </w:rPr>
                    <w:t>委托环卫部门处置</w:t>
                  </w:r>
                </w:p>
              </w:tc>
            </w:tr>
            <w:tr w14:paraId="5D829B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47" w:type="dxa"/>
                  <w:vAlign w:val="center"/>
                </w:tcPr>
                <w:p w14:paraId="67C9E18C">
                  <w:pPr>
                    <w:autoSpaceDE w:val="0"/>
                    <w:autoSpaceDN w:val="0"/>
                    <w:jc w:val="center"/>
                    <w:rPr>
                      <w:color w:val="000000"/>
                      <w:szCs w:val="21"/>
                    </w:rPr>
                  </w:pPr>
                  <w:r>
                    <w:rPr>
                      <w:rFonts w:hint="eastAsia"/>
                      <w:color w:val="000000"/>
                      <w:szCs w:val="21"/>
                    </w:rPr>
                    <w:t>3</w:t>
                  </w:r>
                </w:p>
              </w:tc>
              <w:tc>
                <w:tcPr>
                  <w:tcW w:w="583" w:type="dxa"/>
                  <w:vAlign w:val="center"/>
                </w:tcPr>
                <w:p w14:paraId="4F3590D1">
                  <w:pPr>
                    <w:autoSpaceDE w:val="0"/>
                    <w:autoSpaceDN w:val="0"/>
                    <w:jc w:val="center"/>
                    <w:rPr>
                      <w:color w:val="000000"/>
                      <w:szCs w:val="21"/>
                    </w:rPr>
                  </w:pPr>
                  <w:r>
                    <w:rPr>
                      <w:rFonts w:hint="eastAsia"/>
                      <w:color w:val="000000"/>
                      <w:szCs w:val="21"/>
                    </w:rPr>
                    <w:t>收集灰</w:t>
                  </w:r>
                </w:p>
              </w:tc>
              <w:tc>
                <w:tcPr>
                  <w:tcW w:w="777" w:type="dxa"/>
                  <w:vAlign w:val="center"/>
                </w:tcPr>
                <w:p w14:paraId="2789119C">
                  <w:pPr>
                    <w:autoSpaceDE w:val="0"/>
                    <w:autoSpaceDN w:val="0"/>
                    <w:jc w:val="center"/>
                    <w:rPr>
                      <w:color w:val="000000"/>
                      <w:szCs w:val="21"/>
                    </w:rPr>
                  </w:pPr>
                  <w:r>
                    <w:rPr>
                      <w:rFonts w:hint="eastAsia"/>
                      <w:color w:val="000000"/>
                      <w:szCs w:val="21"/>
                    </w:rPr>
                    <w:t>废气处理</w:t>
                  </w:r>
                </w:p>
              </w:tc>
              <w:tc>
                <w:tcPr>
                  <w:tcW w:w="699" w:type="dxa"/>
                  <w:vAlign w:val="center"/>
                </w:tcPr>
                <w:p w14:paraId="23122E40">
                  <w:pPr>
                    <w:autoSpaceDE w:val="0"/>
                    <w:autoSpaceDN w:val="0"/>
                    <w:jc w:val="center"/>
                    <w:rPr>
                      <w:color w:val="000000"/>
                      <w:szCs w:val="21"/>
                    </w:rPr>
                  </w:pPr>
                  <w:r>
                    <w:rPr>
                      <w:color w:val="000000"/>
                      <w:szCs w:val="21"/>
                    </w:rPr>
                    <w:t>一般固废</w:t>
                  </w:r>
                </w:p>
              </w:tc>
              <w:tc>
                <w:tcPr>
                  <w:tcW w:w="511" w:type="dxa"/>
                  <w:vAlign w:val="center"/>
                </w:tcPr>
                <w:p w14:paraId="309A15F2">
                  <w:pPr>
                    <w:autoSpaceDE w:val="0"/>
                    <w:autoSpaceDN w:val="0"/>
                    <w:jc w:val="center"/>
                    <w:rPr>
                      <w:color w:val="000000"/>
                      <w:szCs w:val="21"/>
                    </w:rPr>
                  </w:pPr>
                  <w:r>
                    <w:rPr>
                      <w:color w:val="000000"/>
                      <w:szCs w:val="21"/>
                    </w:rPr>
                    <w:t>固态</w:t>
                  </w:r>
                </w:p>
              </w:tc>
              <w:tc>
                <w:tcPr>
                  <w:tcW w:w="888" w:type="dxa"/>
                  <w:vAlign w:val="center"/>
                </w:tcPr>
                <w:p w14:paraId="69C3CA2D">
                  <w:pPr>
                    <w:autoSpaceDE w:val="0"/>
                    <w:autoSpaceDN w:val="0"/>
                    <w:jc w:val="center"/>
                    <w:rPr>
                      <w:color w:val="000000"/>
                      <w:szCs w:val="21"/>
                    </w:rPr>
                  </w:pPr>
                  <w:r>
                    <w:rPr>
                      <w:rFonts w:hint="eastAsia"/>
                      <w:color w:val="000000"/>
                      <w:szCs w:val="21"/>
                    </w:rPr>
                    <w:t>灰尘</w:t>
                  </w:r>
                  <w:r>
                    <w:rPr>
                      <w:color w:val="000000"/>
                      <w:szCs w:val="21"/>
                    </w:rPr>
                    <w:t>等</w:t>
                  </w:r>
                </w:p>
              </w:tc>
              <w:tc>
                <w:tcPr>
                  <w:tcW w:w="588" w:type="dxa"/>
                  <w:vAlign w:val="center"/>
                </w:tcPr>
                <w:p w14:paraId="5EF29501">
                  <w:pPr>
                    <w:autoSpaceDE w:val="0"/>
                    <w:autoSpaceDN w:val="0"/>
                    <w:jc w:val="center"/>
                    <w:rPr>
                      <w:color w:val="000000"/>
                      <w:szCs w:val="21"/>
                    </w:rPr>
                  </w:pPr>
                  <w:r>
                    <w:rPr>
                      <w:rFonts w:hint="eastAsia"/>
                      <w:color w:val="000000"/>
                      <w:szCs w:val="21"/>
                    </w:rPr>
                    <w:t>49.713</w:t>
                  </w:r>
                </w:p>
              </w:tc>
              <w:tc>
                <w:tcPr>
                  <w:tcW w:w="600" w:type="dxa"/>
                  <w:vAlign w:val="center"/>
                </w:tcPr>
                <w:p w14:paraId="4B4FEF8C">
                  <w:pPr>
                    <w:autoSpaceDE w:val="0"/>
                    <w:autoSpaceDN w:val="0"/>
                    <w:jc w:val="center"/>
                    <w:rPr>
                      <w:color w:val="000000"/>
                      <w:szCs w:val="21"/>
                    </w:rPr>
                  </w:pPr>
                  <w:r>
                    <w:rPr>
                      <w:color w:val="000000"/>
                      <w:szCs w:val="21"/>
                    </w:rPr>
                    <w:t>/</w:t>
                  </w:r>
                </w:p>
              </w:tc>
              <w:tc>
                <w:tcPr>
                  <w:tcW w:w="1103" w:type="dxa"/>
                  <w:vAlign w:val="center"/>
                </w:tcPr>
                <w:p w14:paraId="0EA5F555">
                  <w:pPr>
                    <w:autoSpaceDE w:val="0"/>
                    <w:autoSpaceDN w:val="0"/>
                    <w:jc w:val="center"/>
                    <w:rPr>
                      <w:color w:val="000000"/>
                      <w:szCs w:val="21"/>
                    </w:rPr>
                  </w:pPr>
                  <w:r>
                    <w:rPr>
                      <w:rFonts w:hint="eastAsia"/>
                      <w:color w:val="000000"/>
                      <w:szCs w:val="21"/>
                    </w:rPr>
                    <w:t>900-999-S59</w:t>
                  </w:r>
                </w:p>
              </w:tc>
              <w:tc>
                <w:tcPr>
                  <w:tcW w:w="559" w:type="dxa"/>
                  <w:vAlign w:val="center"/>
                </w:tcPr>
                <w:p w14:paraId="7248FE67">
                  <w:pPr>
                    <w:autoSpaceDE w:val="0"/>
                    <w:autoSpaceDN w:val="0"/>
                    <w:jc w:val="center"/>
                    <w:rPr>
                      <w:color w:val="000000"/>
                      <w:szCs w:val="21"/>
                    </w:rPr>
                  </w:pPr>
                  <w:r>
                    <w:rPr>
                      <w:color w:val="000000"/>
                      <w:szCs w:val="21"/>
                    </w:rPr>
                    <w:t>/</w:t>
                  </w:r>
                </w:p>
              </w:tc>
              <w:tc>
                <w:tcPr>
                  <w:tcW w:w="1759" w:type="dxa"/>
                  <w:vAlign w:val="center"/>
                </w:tcPr>
                <w:p w14:paraId="0BB832A4">
                  <w:pPr>
                    <w:autoSpaceDE w:val="0"/>
                    <w:autoSpaceDN w:val="0"/>
                    <w:jc w:val="center"/>
                    <w:rPr>
                      <w:color w:val="000000"/>
                      <w:szCs w:val="21"/>
                    </w:rPr>
                  </w:pPr>
                  <w:r>
                    <w:rPr>
                      <w:color w:val="000000"/>
                      <w:szCs w:val="21"/>
                    </w:rPr>
                    <w:t>集中收集后</w:t>
                  </w:r>
                  <w:r>
                    <w:rPr>
                      <w:rFonts w:hint="eastAsia"/>
                      <w:color w:val="000000"/>
                      <w:szCs w:val="21"/>
                    </w:rPr>
                    <w:t>清运处理</w:t>
                  </w:r>
                </w:p>
              </w:tc>
            </w:tr>
            <w:tr w14:paraId="56C6B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347" w:type="dxa"/>
                  <w:vAlign w:val="center"/>
                </w:tcPr>
                <w:p w14:paraId="5DA0A776">
                  <w:pPr>
                    <w:autoSpaceDE w:val="0"/>
                    <w:autoSpaceDN w:val="0"/>
                    <w:jc w:val="center"/>
                    <w:rPr>
                      <w:color w:val="000000"/>
                      <w:szCs w:val="21"/>
                    </w:rPr>
                  </w:pPr>
                  <w:r>
                    <w:rPr>
                      <w:rFonts w:hint="eastAsia"/>
                      <w:color w:val="000000"/>
                      <w:szCs w:val="21"/>
                    </w:rPr>
                    <w:t>3</w:t>
                  </w:r>
                </w:p>
              </w:tc>
              <w:tc>
                <w:tcPr>
                  <w:tcW w:w="583" w:type="dxa"/>
                  <w:vAlign w:val="center"/>
                </w:tcPr>
                <w:p w14:paraId="77453F04">
                  <w:pPr>
                    <w:autoSpaceDE w:val="0"/>
                    <w:autoSpaceDN w:val="0"/>
                    <w:jc w:val="center"/>
                    <w:rPr>
                      <w:color w:val="000000"/>
                      <w:szCs w:val="21"/>
                    </w:rPr>
                  </w:pPr>
                  <w:r>
                    <w:rPr>
                      <w:color w:val="000000"/>
                      <w:szCs w:val="21"/>
                    </w:rPr>
                    <w:t>生活垃圾</w:t>
                  </w:r>
                </w:p>
              </w:tc>
              <w:tc>
                <w:tcPr>
                  <w:tcW w:w="777" w:type="dxa"/>
                  <w:vAlign w:val="center"/>
                </w:tcPr>
                <w:p w14:paraId="368F84E6">
                  <w:pPr>
                    <w:autoSpaceDE w:val="0"/>
                    <w:autoSpaceDN w:val="0"/>
                    <w:jc w:val="center"/>
                    <w:rPr>
                      <w:color w:val="000000"/>
                      <w:szCs w:val="21"/>
                    </w:rPr>
                  </w:pPr>
                  <w:r>
                    <w:rPr>
                      <w:color w:val="000000"/>
                      <w:szCs w:val="21"/>
                    </w:rPr>
                    <w:t>办公生活</w:t>
                  </w:r>
                </w:p>
              </w:tc>
              <w:tc>
                <w:tcPr>
                  <w:tcW w:w="699" w:type="dxa"/>
                  <w:vAlign w:val="center"/>
                </w:tcPr>
                <w:p w14:paraId="3AEA3C8E">
                  <w:pPr>
                    <w:autoSpaceDE w:val="0"/>
                    <w:autoSpaceDN w:val="0"/>
                    <w:jc w:val="center"/>
                    <w:rPr>
                      <w:color w:val="000000"/>
                      <w:szCs w:val="21"/>
                    </w:rPr>
                  </w:pPr>
                  <w:r>
                    <w:rPr>
                      <w:color w:val="000000"/>
                      <w:szCs w:val="21"/>
                    </w:rPr>
                    <w:t>/</w:t>
                  </w:r>
                </w:p>
              </w:tc>
              <w:tc>
                <w:tcPr>
                  <w:tcW w:w="511" w:type="dxa"/>
                  <w:vAlign w:val="center"/>
                </w:tcPr>
                <w:p w14:paraId="4721D4A0">
                  <w:pPr>
                    <w:autoSpaceDE w:val="0"/>
                    <w:autoSpaceDN w:val="0"/>
                    <w:jc w:val="center"/>
                    <w:rPr>
                      <w:color w:val="000000"/>
                      <w:szCs w:val="21"/>
                    </w:rPr>
                  </w:pPr>
                  <w:r>
                    <w:rPr>
                      <w:color w:val="000000"/>
                      <w:szCs w:val="21"/>
                    </w:rPr>
                    <w:t>固态</w:t>
                  </w:r>
                </w:p>
              </w:tc>
              <w:tc>
                <w:tcPr>
                  <w:tcW w:w="888" w:type="dxa"/>
                  <w:vAlign w:val="center"/>
                </w:tcPr>
                <w:p w14:paraId="77E6CB13">
                  <w:pPr>
                    <w:autoSpaceDE w:val="0"/>
                    <w:autoSpaceDN w:val="0"/>
                    <w:jc w:val="center"/>
                    <w:rPr>
                      <w:color w:val="000000"/>
                      <w:szCs w:val="21"/>
                    </w:rPr>
                  </w:pPr>
                  <w:r>
                    <w:rPr>
                      <w:color w:val="000000"/>
                      <w:szCs w:val="21"/>
                    </w:rPr>
                    <w:t>果皮、纸屑</w:t>
                  </w:r>
                </w:p>
              </w:tc>
              <w:tc>
                <w:tcPr>
                  <w:tcW w:w="588" w:type="dxa"/>
                  <w:vAlign w:val="center"/>
                </w:tcPr>
                <w:p w14:paraId="6C0986A5">
                  <w:pPr>
                    <w:autoSpaceDE w:val="0"/>
                    <w:autoSpaceDN w:val="0"/>
                    <w:jc w:val="center"/>
                    <w:rPr>
                      <w:color w:val="000000"/>
                      <w:szCs w:val="21"/>
                    </w:rPr>
                  </w:pPr>
                  <w:r>
                    <w:rPr>
                      <w:rFonts w:hint="eastAsia"/>
                      <w:color w:val="000000"/>
                      <w:szCs w:val="21"/>
                    </w:rPr>
                    <w:t>1.5</w:t>
                  </w:r>
                </w:p>
              </w:tc>
              <w:tc>
                <w:tcPr>
                  <w:tcW w:w="600" w:type="dxa"/>
                  <w:vAlign w:val="center"/>
                </w:tcPr>
                <w:p w14:paraId="447F53C3">
                  <w:pPr>
                    <w:autoSpaceDE w:val="0"/>
                    <w:autoSpaceDN w:val="0"/>
                    <w:jc w:val="center"/>
                    <w:rPr>
                      <w:color w:val="000000"/>
                      <w:szCs w:val="21"/>
                    </w:rPr>
                  </w:pPr>
                  <w:r>
                    <w:rPr>
                      <w:color w:val="000000"/>
                      <w:szCs w:val="21"/>
                    </w:rPr>
                    <w:t>/</w:t>
                  </w:r>
                </w:p>
              </w:tc>
              <w:tc>
                <w:tcPr>
                  <w:tcW w:w="1103" w:type="dxa"/>
                  <w:vAlign w:val="center"/>
                </w:tcPr>
                <w:p w14:paraId="63BD485D">
                  <w:pPr>
                    <w:autoSpaceDE w:val="0"/>
                    <w:autoSpaceDN w:val="0"/>
                    <w:jc w:val="center"/>
                    <w:rPr>
                      <w:color w:val="000000"/>
                      <w:szCs w:val="21"/>
                    </w:rPr>
                  </w:pPr>
                  <w:r>
                    <w:rPr>
                      <w:rFonts w:hint="eastAsia"/>
                      <w:color w:val="000000"/>
                      <w:szCs w:val="21"/>
                    </w:rPr>
                    <w:t>900-099-S64</w:t>
                  </w:r>
                </w:p>
              </w:tc>
              <w:tc>
                <w:tcPr>
                  <w:tcW w:w="559" w:type="dxa"/>
                  <w:vAlign w:val="center"/>
                </w:tcPr>
                <w:p w14:paraId="6F8E0088">
                  <w:pPr>
                    <w:autoSpaceDE w:val="0"/>
                    <w:autoSpaceDN w:val="0"/>
                    <w:jc w:val="center"/>
                    <w:rPr>
                      <w:color w:val="000000"/>
                      <w:szCs w:val="21"/>
                    </w:rPr>
                  </w:pPr>
                  <w:r>
                    <w:rPr>
                      <w:color w:val="000000"/>
                      <w:szCs w:val="21"/>
                    </w:rPr>
                    <w:t>/</w:t>
                  </w:r>
                </w:p>
              </w:tc>
              <w:tc>
                <w:tcPr>
                  <w:tcW w:w="1759" w:type="dxa"/>
                  <w:vAlign w:val="center"/>
                </w:tcPr>
                <w:p w14:paraId="35B75F10">
                  <w:pPr>
                    <w:autoSpaceDE w:val="0"/>
                    <w:autoSpaceDN w:val="0"/>
                    <w:jc w:val="center"/>
                    <w:rPr>
                      <w:color w:val="000000"/>
                      <w:szCs w:val="21"/>
                    </w:rPr>
                  </w:pPr>
                  <w:r>
                    <w:rPr>
                      <w:color w:val="000000"/>
                      <w:szCs w:val="21"/>
                    </w:rPr>
                    <w:t>委托环卫部门处置</w:t>
                  </w:r>
                </w:p>
              </w:tc>
            </w:tr>
          </w:tbl>
          <w:p w14:paraId="1FED2BF3">
            <w:pPr>
              <w:pStyle w:val="44"/>
              <w:spacing w:before="0" w:line="360" w:lineRule="auto"/>
              <w:ind w:firstLine="480" w:firstLineChars="200"/>
              <w:rPr>
                <w:rFonts w:ascii="Times New Roman" w:hAnsi="Times New Roman"/>
                <w:color w:val="000000"/>
                <w:kern w:val="2"/>
                <w:sz w:val="24"/>
              </w:rPr>
            </w:pPr>
            <w:r>
              <w:rPr>
                <w:rFonts w:ascii="Times New Roman" w:hAnsi="Times New Roman"/>
                <w:color w:val="000000"/>
                <w:kern w:val="2"/>
                <w:sz w:val="24"/>
              </w:rPr>
              <w:t>环境管理要求：</w:t>
            </w:r>
          </w:p>
          <w:p w14:paraId="68BBC6A4">
            <w:pPr>
              <w:pStyle w:val="44"/>
              <w:widowControl/>
              <w:wordWrap w:val="0"/>
              <w:spacing w:before="0" w:line="360" w:lineRule="auto"/>
              <w:ind w:firstLine="480" w:firstLineChars="200"/>
              <w:rPr>
                <w:rFonts w:ascii="Times New Roman" w:hAnsi="Times New Roman"/>
                <w:color w:val="000000"/>
                <w:kern w:val="2"/>
                <w:sz w:val="24"/>
                <w:lang w:bidi="ar"/>
              </w:rPr>
            </w:pPr>
            <w:r>
              <w:rPr>
                <w:rFonts w:ascii="Times New Roman" w:hAnsi="Times New Roman"/>
                <w:color w:val="000000"/>
                <w:kern w:val="2"/>
                <w:sz w:val="24"/>
                <w:lang w:bidi="ar"/>
              </w:rPr>
              <w:t>项目一般固体废物存放一般固废暂存间，暂存场地的设置应符合《一般工业固体废物贮存和填埋污染控制标准》（GB18599-2020）中的规定。</w:t>
            </w:r>
          </w:p>
          <w:p w14:paraId="06C078B8">
            <w:pPr>
              <w:pStyle w:val="44"/>
              <w:widowControl/>
              <w:wordWrap w:val="0"/>
              <w:spacing w:before="0" w:line="360" w:lineRule="auto"/>
              <w:ind w:firstLineChars="200"/>
              <w:rPr>
                <w:rFonts w:ascii="Times New Roman" w:hAnsi="Times New Roman"/>
                <w:b/>
                <w:bCs/>
                <w:color w:val="000000"/>
                <w:kern w:val="2"/>
                <w:sz w:val="24"/>
                <w:lang w:bidi="ar"/>
              </w:rPr>
            </w:pPr>
            <w:r>
              <w:rPr>
                <w:rFonts w:ascii="Times New Roman" w:hAnsi="Times New Roman"/>
                <w:b/>
                <w:bCs/>
                <w:color w:val="000000"/>
                <w:kern w:val="2"/>
                <w:sz w:val="24"/>
                <w:lang w:bidi="ar"/>
              </w:rPr>
              <w:t>一般固废暂存间设置要求做到以下几点：</w:t>
            </w:r>
          </w:p>
          <w:p w14:paraId="20E3D6FB">
            <w:pPr>
              <w:pStyle w:val="44"/>
              <w:spacing w:before="0" w:line="360" w:lineRule="auto"/>
              <w:ind w:firstLine="480" w:firstLineChars="200"/>
              <w:rPr>
                <w:rFonts w:ascii="Times New Roman" w:hAnsi="Times New Roman"/>
                <w:color w:val="000000"/>
                <w:kern w:val="2"/>
                <w:sz w:val="24"/>
                <w:lang w:bidi="ar"/>
              </w:rPr>
            </w:pPr>
            <w:r>
              <w:rPr>
                <w:rFonts w:ascii="Times New Roman" w:hAnsi="Times New Roman"/>
                <w:color w:val="000000"/>
                <w:kern w:val="2"/>
                <w:sz w:val="24"/>
                <w:lang w:bidi="ar"/>
              </w:rPr>
              <w:t>（1）贮存场、填埋场的环境保护图形标志应符合《一般工业固体废物贮存和填埋污染控制标准》（GB18599-2020）的规定，并应定期检查和维护。</w:t>
            </w:r>
          </w:p>
          <w:p w14:paraId="5FBB0E22">
            <w:pPr>
              <w:pStyle w:val="44"/>
              <w:spacing w:before="0" w:line="360" w:lineRule="auto"/>
              <w:ind w:firstLine="480" w:firstLineChars="200"/>
              <w:rPr>
                <w:rFonts w:ascii="Times New Roman" w:hAnsi="Times New Roman"/>
                <w:color w:val="000000"/>
                <w:kern w:val="2"/>
                <w:sz w:val="24"/>
                <w:lang w:bidi="ar"/>
              </w:rPr>
            </w:pPr>
            <w:r>
              <w:rPr>
                <w:rFonts w:ascii="Times New Roman" w:hAnsi="Times New Roman"/>
                <w:color w:val="000000"/>
                <w:kern w:val="2"/>
                <w:sz w:val="24"/>
                <w:lang w:bidi="ar"/>
              </w:rPr>
              <w:t>（2）不相容的一般工业固体废物应设置不同的分区进行贮存和填埋作业。</w:t>
            </w:r>
          </w:p>
          <w:p w14:paraId="261A1BF9">
            <w:pPr>
              <w:pStyle w:val="44"/>
              <w:spacing w:before="0" w:line="360" w:lineRule="auto"/>
              <w:ind w:firstLine="480" w:firstLineChars="200"/>
              <w:rPr>
                <w:rFonts w:ascii="Times New Roman" w:hAnsi="Times New Roman"/>
                <w:color w:val="000000"/>
                <w:sz w:val="24"/>
                <w:lang w:bidi="ar"/>
              </w:rPr>
            </w:pPr>
            <w:r>
              <w:rPr>
                <w:rFonts w:ascii="Times New Roman" w:hAnsi="Times New Roman"/>
                <w:color w:val="000000"/>
                <w:kern w:val="2"/>
                <w:sz w:val="24"/>
                <w:lang w:bidi="ar"/>
              </w:rPr>
              <w:t>（3）</w:t>
            </w:r>
            <w:r>
              <w:rPr>
                <w:rFonts w:ascii="Times New Roman" w:hAnsi="Times New Roman"/>
                <w:color w:val="000000"/>
                <w:sz w:val="24"/>
                <w:lang w:bidi="ar"/>
              </w:rPr>
              <w:t>危险废物和生活垃圾不得进入一般工业固体废物贮存场及填埋场。</w:t>
            </w:r>
          </w:p>
          <w:p w14:paraId="52AFEF54">
            <w:pPr>
              <w:pStyle w:val="44"/>
              <w:spacing w:before="0" w:line="360" w:lineRule="auto"/>
              <w:ind w:firstLine="480" w:firstLineChars="200"/>
              <w:rPr>
                <w:rFonts w:ascii="Times New Roman" w:hAnsi="Times New Roman"/>
                <w:color w:val="000000"/>
                <w:kern w:val="2"/>
                <w:sz w:val="24"/>
              </w:rPr>
            </w:pPr>
            <w:r>
              <w:rPr>
                <w:rFonts w:ascii="Times New Roman" w:hAnsi="Times New Roman"/>
                <w:color w:val="000000"/>
                <w:kern w:val="2"/>
                <w:sz w:val="24"/>
              </w:rPr>
              <w:t>（4）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14:paraId="427D5B7B">
            <w:pPr>
              <w:pStyle w:val="44"/>
              <w:spacing w:before="0" w:line="360" w:lineRule="auto"/>
              <w:ind w:firstLine="480" w:firstLineChars="200"/>
              <w:rPr>
                <w:rFonts w:ascii="Times New Roman" w:hAnsi="Times New Roman"/>
                <w:color w:val="000000"/>
                <w:kern w:val="2"/>
                <w:sz w:val="24"/>
              </w:rPr>
            </w:pPr>
            <w:r>
              <w:rPr>
                <w:rFonts w:ascii="Times New Roman" w:hAnsi="Times New Roman"/>
                <w:color w:val="000000"/>
                <w:kern w:val="2"/>
                <w:sz w:val="24"/>
              </w:rPr>
              <w:t>（5）产生工业固体废物的单位委托他人运输、利用、处置工业固体废物的，应当对受托方的主体资格和技术能力进行核实，依法签订书面合同，在合同中约定污染防治要求。</w:t>
            </w:r>
          </w:p>
          <w:p w14:paraId="5E2B6216">
            <w:pPr>
              <w:pStyle w:val="44"/>
              <w:spacing w:before="0" w:line="360" w:lineRule="auto"/>
              <w:ind w:firstLine="480" w:firstLineChars="200"/>
              <w:rPr>
                <w:rFonts w:ascii="Times New Roman" w:hAnsi="Times New Roman"/>
                <w:color w:val="000000"/>
                <w:kern w:val="2"/>
                <w:sz w:val="24"/>
              </w:rPr>
            </w:pPr>
            <w:r>
              <w:rPr>
                <w:rFonts w:ascii="Times New Roman" w:hAnsi="Times New Roman"/>
                <w:color w:val="000000"/>
                <w:kern w:val="2"/>
                <w:sz w:val="24"/>
              </w:rPr>
              <w:t>受托方运输、利用、处置工业固体废物，应当依照有关法律法规的规定和合同约定履行污染防治要求，并将运输、利用、处置情况告知产生工业固体废物的单位。</w:t>
            </w:r>
          </w:p>
          <w:p w14:paraId="415ECF1E">
            <w:pPr>
              <w:pStyle w:val="44"/>
              <w:widowControl/>
              <w:wordWrap w:val="0"/>
              <w:spacing w:line="360" w:lineRule="auto"/>
              <w:ind w:firstLine="480" w:firstLineChars="200"/>
              <w:rPr>
                <w:rFonts w:ascii="Times New Roman" w:hAnsi="Times New Roman"/>
                <w:color w:val="000000"/>
                <w:kern w:val="2"/>
                <w:sz w:val="24"/>
                <w:lang w:bidi="ar"/>
              </w:rPr>
            </w:pPr>
            <w:r>
              <w:rPr>
                <w:rFonts w:ascii="Times New Roman" w:hAnsi="Times New Roman"/>
                <w:color w:val="000000"/>
                <w:kern w:val="2"/>
                <w:sz w:val="24"/>
                <w:lang w:bidi="ar"/>
              </w:rPr>
              <w:t>（6）产生工业固体废物的单位应当取得排污许可证。排污许可的具体办法和实施步骤由国务院规定。</w:t>
            </w:r>
          </w:p>
          <w:p w14:paraId="6D3C85AA">
            <w:pPr>
              <w:pStyle w:val="44"/>
              <w:widowControl/>
              <w:wordWrap w:val="0"/>
              <w:spacing w:line="360" w:lineRule="auto"/>
              <w:ind w:firstLine="480" w:firstLineChars="200"/>
              <w:rPr>
                <w:rFonts w:ascii="Times New Roman" w:hAnsi="Times New Roman"/>
                <w:color w:val="000000"/>
                <w:kern w:val="2"/>
                <w:sz w:val="24"/>
                <w:lang w:bidi="ar"/>
              </w:rPr>
            </w:pPr>
            <w:r>
              <w:rPr>
                <w:rFonts w:ascii="Times New Roman" w:hAnsi="Times New Roman"/>
                <w:color w:val="000000"/>
                <w:kern w:val="2"/>
                <w:sz w:val="24"/>
                <w:lang w:bidi="ar"/>
              </w:rPr>
              <w:t>产生工业固体废物的单位应当向所在地生态环境主管部门提供工业固体废物的种类、数量、流向、贮存、利用、处置等有关资料，以及减少工业固体废物产生、促进综合利用的具体措施，并执行排污许可管理制度的相关规定。</w:t>
            </w:r>
          </w:p>
          <w:p w14:paraId="45E0CDCF">
            <w:pPr>
              <w:widowControl/>
              <w:wordWrap w:val="0"/>
              <w:spacing w:line="360" w:lineRule="auto"/>
              <w:ind w:firstLine="480" w:firstLineChars="200"/>
              <w:rPr>
                <w:color w:val="000000"/>
                <w:kern w:val="0"/>
                <w:sz w:val="24"/>
                <w:lang w:bidi="ar"/>
              </w:rPr>
            </w:pPr>
            <w:r>
              <w:rPr>
                <w:color w:val="000000"/>
                <w:kern w:val="0"/>
                <w:sz w:val="24"/>
                <w:lang w:bidi="ar"/>
              </w:rPr>
              <w:t>（7）产生工业固体废物的单位应当根据经济、技术条件对工业固体废物加以利用；对暂时不利用或者不能利用的，应当按照国务院生态环境等主管部门的规定建设贮存设施、场所，安全分类存放，或者采取无害化处置措施。贮存工业固体废物应当采取符合国家环境保护标准的防护措施。</w:t>
            </w:r>
          </w:p>
          <w:p w14:paraId="5C444C33">
            <w:pPr>
              <w:widowControl/>
              <w:wordWrap w:val="0"/>
              <w:spacing w:line="360" w:lineRule="auto"/>
              <w:ind w:firstLine="480" w:firstLineChars="200"/>
              <w:rPr>
                <w:color w:val="000000"/>
                <w:kern w:val="0"/>
                <w:sz w:val="24"/>
              </w:rPr>
            </w:pPr>
            <w:r>
              <w:rPr>
                <w:color w:val="000000"/>
                <w:kern w:val="0"/>
                <w:sz w:val="24"/>
                <w:lang w:bidi="ar"/>
              </w:rPr>
              <w:t>建设工业固体废物贮存、处置的设施、场所，应当符合国家环境保护标准。项目固体废物处置符合</w:t>
            </w:r>
            <w:r>
              <w:rPr>
                <w:color w:val="000000"/>
                <w:sz w:val="24"/>
              </w:rPr>
              <w:t>《一般工业固体废物贮存和填埋污染控制标准》（GB18599-2020）中</w:t>
            </w:r>
            <w:r>
              <w:rPr>
                <w:color w:val="000000"/>
                <w:kern w:val="0"/>
                <w:sz w:val="24"/>
                <w:lang w:bidi="ar"/>
              </w:rPr>
              <w:t>要求，</w:t>
            </w:r>
            <w:r>
              <w:rPr>
                <w:color w:val="000000"/>
                <w:kern w:val="0"/>
                <w:sz w:val="24"/>
              </w:rPr>
              <w:t>各固体废物均能得到妥善解决，对周围环境影响较小。</w:t>
            </w:r>
          </w:p>
          <w:p w14:paraId="432C1DBD">
            <w:pPr>
              <w:pStyle w:val="44"/>
              <w:spacing w:before="0" w:line="360" w:lineRule="auto"/>
              <w:ind w:firstLine="0"/>
              <w:rPr>
                <w:rFonts w:ascii="Times New Roman" w:hAnsi="Times New Roman"/>
                <w:b/>
                <w:bCs/>
                <w:color w:val="000000"/>
                <w:kern w:val="2"/>
                <w:sz w:val="24"/>
              </w:rPr>
            </w:pPr>
            <w:r>
              <w:rPr>
                <w:rFonts w:ascii="Times New Roman" w:hAnsi="Times New Roman"/>
                <w:b/>
                <w:bCs/>
                <w:color w:val="000000"/>
                <w:kern w:val="2"/>
                <w:sz w:val="24"/>
              </w:rPr>
              <w:t>5、地下水、土壤</w:t>
            </w:r>
          </w:p>
          <w:p w14:paraId="0E7DB401">
            <w:pPr>
              <w:pStyle w:val="44"/>
              <w:spacing w:before="0" w:line="360" w:lineRule="auto"/>
              <w:ind w:firstLine="480" w:firstLineChars="200"/>
              <w:rPr>
                <w:rFonts w:ascii="Times New Roman" w:hAnsi="Times New Roman"/>
                <w:color w:val="000000"/>
                <w:kern w:val="2"/>
                <w:sz w:val="24"/>
              </w:rPr>
            </w:pPr>
            <w:r>
              <w:rPr>
                <w:rFonts w:ascii="Times New Roman" w:hAnsi="Times New Roman"/>
                <w:color w:val="000000"/>
                <w:kern w:val="2"/>
                <w:sz w:val="24"/>
              </w:rPr>
              <w:t>厂区内</w:t>
            </w:r>
            <w:r>
              <w:rPr>
                <w:rFonts w:hint="eastAsia" w:ascii="Times New Roman" w:hAnsi="Times New Roman"/>
                <w:color w:val="000000"/>
                <w:kern w:val="2"/>
                <w:sz w:val="24"/>
              </w:rPr>
              <w:t>化粪池</w:t>
            </w:r>
            <w:r>
              <w:rPr>
                <w:rFonts w:ascii="Times New Roman" w:hAnsi="Times New Roman"/>
                <w:color w:val="000000"/>
                <w:kern w:val="2"/>
                <w:sz w:val="24"/>
              </w:rPr>
              <w:t>等处若防渗措施不到位，会有废水下渗污染地下水、土壤。</w:t>
            </w:r>
          </w:p>
          <w:p w14:paraId="076F43C3">
            <w:pPr>
              <w:pStyle w:val="44"/>
              <w:spacing w:before="0" w:line="360" w:lineRule="auto"/>
              <w:ind w:firstLine="480" w:firstLineChars="200"/>
              <w:rPr>
                <w:rFonts w:ascii="Times New Roman" w:hAnsi="Times New Roman"/>
                <w:color w:val="000000"/>
                <w:kern w:val="2"/>
                <w:sz w:val="24"/>
              </w:rPr>
            </w:pPr>
            <w:r>
              <w:rPr>
                <w:rFonts w:ascii="Times New Roman" w:hAnsi="Times New Roman"/>
                <w:color w:val="000000"/>
                <w:kern w:val="2"/>
                <w:sz w:val="24"/>
              </w:rPr>
              <w:t>项目在建设过程中，将</w:t>
            </w:r>
            <w:r>
              <w:rPr>
                <w:rFonts w:hint="eastAsia" w:ascii="Times New Roman" w:hAnsi="Times New Roman"/>
                <w:color w:val="000000"/>
                <w:kern w:val="2"/>
                <w:sz w:val="24"/>
              </w:rPr>
              <w:t>生产车间化粪池</w:t>
            </w:r>
            <w:r>
              <w:rPr>
                <w:rFonts w:ascii="Times New Roman" w:hAnsi="Times New Roman"/>
                <w:color w:val="000000"/>
                <w:kern w:val="2"/>
                <w:sz w:val="24"/>
              </w:rPr>
              <w:t>等区域划分为重点防渗区。防渗层需满足等效黏土防水层Mb≥6.0m，K≤1.0×10</w:t>
            </w:r>
            <w:r>
              <w:rPr>
                <w:rFonts w:ascii="Times New Roman" w:hAnsi="Times New Roman"/>
                <w:color w:val="000000"/>
                <w:kern w:val="2"/>
                <w:sz w:val="24"/>
                <w:vertAlign w:val="superscript"/>
              </w:rPr>
              <w:t>-7</w:t>
            </w:r>
            <w:r>
              <w:rPr>
                <w:rFonts w:ascii="Times New Roman" w:hAnsi="Times New Roman"/>
                <w:color w:val="000000"/>
                <w:kern w:val="2"/>
                <w:sz w:val="24"/>
              </w:rPr>
              <w:t>cm/s；或参照《危险废物填埋场污染控制标准》（GB18598-202</w:t>
            </w:r>
            <w:r>
              <w:rPr>
                <w:rFonts w:hint="eastAsia" w:ascii="Times New Roman" w:hAnsi="Times New Roman"/>
                <w:color w:val="000000"/>
                <w:kern w:val="2"/>
                <w:sz w:val="24"/>
              </w:rPr>
              <w:t>3</w:t>
            </w:r>
            <w:r>
              <w:rPr>
                <w:rFonts w:ascii="Times New Roman" w:hAnsi="Times New Roman"/>
                <w:color w:val="000000"/>
                <w:kern w:val="2"/>
                <w:sz w:val="24"/>
              </w:rPr>
              <w:t>）中对防渗层的要求为“人工合成材料衬层可以采用高密度聚乙烯（HDPE），其渗透系数不大于10</w:t>
            </w:r>
            <w:r>
              <w:rPr>
                <w:rFonts w:ascii="Times New Roman" w:hAnsi="Times New Roman"/>
                <w:color w:val="000000"/>
                <w:kern w:val="2"/>
                <w:sz w:val="24"/>
                <w:vertAlign w:val="superscript"/>
              </w:rPr>
              <w:t>-10</w:t>
            </w:r>
            <w:r>
              <w:rPr>
                <w:rFonts w:ascii="Times New Roman" w:hAnsi="Times New Roman"/>
                <w:color w:val="000000"/>
                <w:kern w:val="2"/>
                <w:sz w:val="24"/>
              </w:rPr>
              <w:t>cm/s，厚度不小于1.5mm。”建议防渗层的设置必须达到“双人工衬层，且人工衬层的材料渗透系数不大于10</w:t>
            </w:r>
            <w:r>
              <w:rPr>
                <w:rFonts w:ascii="Times New Roman" w:hAnsi="Times New Roman"/>
                <w:color w:val="000000"/>
                <w:kern w:val="2"/>
                <w:sz w:val="24"/>
                <w:vertAlign w:val="superscript"/>
              </w:rPr>
              <w:t>-10</w:t>
            </w:r>
            <w:r>
              <w:rPr>
                <w:rFonts w:ascii="Times New Roman" w:hAnsi="Times New Roman"/>
                <w:color w:val="000000"/>
                <w:kern w:val="2"/>
                <w:sz w:val="24"/>
              </w:rPr>
              <w:t>cm/s”的要求。</w:t>
            </w:r>
          </w:p>
          <w:p w14:paraId="5287488F">
            <w:pPr>
              <w:pStyle w:val="44"/>
              <w:spacing w:before="0" w:line="360" w:lineRule="auto"/>
              <w:ind w:firstLine="480" w:firstLineChars="200"/>
              <w:rPr>
                <w:rFonts w:ascii="Times New Roman" w:hAnsi="Times New Roman"/>
                <w:color w:val="000000"/>
                <w:kern w:val="2"/>
                <w:sz w:val="24"/>
              </w:rPr>
            </w:pPr>
            <w:r>
              <w:rPr>
                <w:rFonts w:ascii="Times New Roman" w:hAnsi="Times New Roman"/>
                <w:color w:val="000000"/>
                <w:kern w:val="2"/>
                <w:sz w:val="24"/>
              </w:rPr>
              <w:t>生产区等区域划分为一般防渗区，防渗层需满足等效黏土防水层Mb≥1.5m，K≤1.0×10</w:t>
            </w:r>
            <w:r>
              <w:rPr>
                <w:rFonts w:ascii="Times New Roman" w:hAnsi="Times New Roman"/>
                <w:color w:val="000000"/>
                <w:kern w:val="2"/>
                <w:sz w:val="24"/>
                <w:vertAlign w:val="superscript"/>
              </w:rPr>
              <w:t>-7</w:t>
            </w:r>
            <w:r>
              <w:rPr>
                <w:rFonts w:ascii="Times New Roman" w:hAnsi="Times New Roman"/>
                <w:color w:val="000000"/>
                <w:kern w:val="2"/>
                <w:sz w:val="24"/>
              </w:rPr>
              <w:t>cm/s。</w:t>
            </w:r>
          </w:p>
          <w:p w14:paraId="2AF7830C">
            <w:pPr>
              <w:pStyle w:val="44"/>
              <w:spacing w:before="0" w:line="360" w:lineRule="auto"/>
              <w:ind w:firstLine="480" w:firstLineChars="200"/>
              <w:rPr>
                <w:rFonts w:hint="eastAsia"/>
                <w:b/>
                <w:bCs/>
                <w:color w:val="000000"/>
                <w:sz w:val="24"/>
              </w:rPr>
            </w:pPr>
            <w:r>
              <w:rPr>
                <w:rFonts w:ascii="Times New Roman" w:hAnsi="Times New Roman"/>
                <w:color w:val="000000"/>
                <w:kern w:val="2"/>
                <w:sz w:val="24"/>
              </w:rPr>
              <w:t>根据以上分区情况，对本项目场区防渗分区见下表。</w:t>
            </w:r>
          </w:p>
          <w:p w14:paraId="746B28D1">
            <w:pPr>
              <w:jc w:val="center"/>
              <w:rPr>
                <w:b/>
                <w:bCs/>
                <w:color w:val="000000"/>
                <w:sz w:val="24"/>
              </w:rPr>
            </w:pPr>
            <w:r>
              <w:rPr>
                <w:b/>
                <w:bCs/>
                <w:color w:val="000000"/>
                <w:sz w:val="24"/>
              </w:rPr>
              <w:t>表4-1</w:t>
            </w:r>
            <w:r>
              <w:rPr>
                <w:rFonts w:hint="eastAsia"/>
                <w:b/>
                <w:bCs/>
                <w:color w:val="000000"/>
                <w:sz w:val="24"/>
                <w:lang w:val="en-US" w:eastAsia="zh-CN"/>
              </w:rPr>
              <w:t>4</w:t>
            </w:r>
            <w:r>
              <w:rPr>
                <w:b/>
                <w:bCs/>
                <w:color w:val="000000"/>
                <w:sz w:val="24"/>
              </w:rPr>
              <w:t xml:space="preserve">  地下水污染防渗分区参照表</w:t>
            </w:r>
          </w:p>
          <w:tbl>
            <w:tblPr>
              <w:tblStyle w:val="23"/>
              <w:tblW w:w="83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6"/>
              <w:gridCol w:w="1075"/>
              <w:gridCol w:w="953"/>
              <w:gridCol w:w="775"/>
              <w:gridCol w:w="4449"/>
            </w:tblGrid>
            <w:tr w14:paraId="62B9F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086" w:type="dxa"/>
                  <w:tcBorders>
                    <w:top w:val="single" w:color="auto" w:sz="4" w:space="0"/>
                    <w:left w:val="single" w:color="auto" w:sz="4" w:space="0"/>
                    <w:bottom w:val="single" w:color="auto" w:sz="4" w:space="0"/>
                    <w:right w:val="single" w:color="auto" w:sz="4" w:space="0"/>
                  </w:tcBorders>
                  <w:vAlign w:val="center"/>
                </w:tcPr>
                <w:p w14:paraId="4E09C260">
                  <w:pPr>
                    <w:pStyle w:val="46"/>
                    <w:spacing w:line="240" w:lineRule="auto"/>
                    <w:ind w:firstLine="0" w:firstLineChars="0"/>
                    <w:jc w:val="center"/>
                    <w:rPr>
                      <w:color w:val="000000"/>
                      <w:szCs w:val="21"/>
                    </w:rPr>
                  </w:pPr>
                  <w:r>
                    <w:rPr>
                      <w:color w:val="000000"/>
                      <w:szCs w:val="21"/>
                    </w:rPr>
                    <w:t>场区内建构筑物</w:t>
                  </w:r>
                </w:p>
              </w:tc>
              <w:tc>
                <w:tcPr>
                  <w:tcW w:w="1075" w:type="dxa"/>
                  <w:tcBorders>
                    <w:top w:val="single" w:color="auto" w:sz="4" w:space="0"/>
                    <w:left w:val="nil"/>
                    <w:bottom w:val="single" w:color="auto" w:sz="4" w:space="0"/>
                    <w:right w:val="single" w:color="auto" w:sz="4" w:space="0"/>
                  </w:tcBorders>
                  <w:vAlign w:val="center"/>
                </w:tcPr>
                <w:p w14:paraId="6772BECE">
                  <w:pPr>
                    <w:pStyle w:val="46"/>
                    <w:spacing w:line="240" w:lineRule="auto"/>
                    <w:ind w:firstLine="0" w:firstLineChars="0"/>
                    <w:jc w:val="center"/>
                    <w:rPr>
                      <w:color w:val="000000"/>
                      <w:szCs w:val="21"/>
                    </w:rPr>
                  </w:pPr>
                  <w:r>
                    <w:rPr>
                      <w:color w:val="000000"/>
                      <w:szCs w:val="21"/>
                    </w:rPr>
                    <w:t>污染控制难易程度</w:t>
                  </w:r>
                </w:p>
              </w:tc>
              <w:tc>
                <w:tcPr>
                  <w:tcW w:w="953" w:type="dxa"/>
                  <w:tcBorders>
                    <w:top w:val="single" w:color="auto" w:sz="4" w:space="0"/>
                    <w:left w:val="nil"/>
                    <w:bottom w:val="single" w:color="auto" w:sz="4" w:space="0"/>
                    <w:right w:val="single" w:color="auto" w:sz="4" w:space="0"/>
                  </w:tcBorders>
                  <w:vAlign w:val="center"/>
                </w:tcPr>
                <w:p w14:paraId="380ECE30">
                  <w:pPr>
                    <w:pStyle w:val="46"/>
                    <w:spacing w:line="240" w:lineRule="auto"/>
                    <w:ind w:firstLine="0" w:firstLineChars="0"/>
                    <w:jc w:val="center"/>
                    <w:rPr>
                      <w:color w:val="000000"/>
                      <w:szCs w:val="21"/>
                    </w:rPr>
                  </w:pPr>
                  <w:r>
                    <w:rPr>
                      <w:color w:val="000000"/>
                      <w:szCs w:val="21"/>
                    </w:rPr>
                    <w:t>污染物类型</w:t>
                  </w:r>
                </w:p>
              </w:tc>
              <w:tc>
                <w:tcPr>
                  <w:tcW w:w="775" w:type="dxa"/>
                  <w:tcBorders>
                    <w:top w:val="single" w:color="auto" w:sz="4" w:space="0"/>
                    <w:left w:val="nil"/>
                    <w:bottom w:val="single" w:color="auto" w:sz="4" w:space="0"/>
                    <w:right w:val="single" w:color="auto" w:sz="4" w:space="0"/>
                  </w:tcBorders>
                  <w:vAlign w:val="center"/>
                </w:tcPr>
                <w:p w14:paraId="2B08C9C0">
                  <w:pPr>
                    <w:pStyle w:val="46"/>
                    <w:spacing w:line="240" w:lineRule="auto"/>
                    <w:ind w:firstLine="0" w:firstLineChars="0"/>
                    <w:jc w:val="center"/>
                    <w:rPr>
                      <w:color w:val="000000"/>
                      <w:szCs w:val="21"/>
                    </w:rPr>
                  </w:pPr>
                  <w:r>
                    <w:rPr>
                      <w:color w:val="000000"/>
                      <w:szCs w:val="21"/>
                    </w:rPr>
                    <w:t>防渗分区</w:t>
                  </w:r>
                </w:p>
              </w:tc>
              <w:tc>
                <w:tcPr>
                  <w:tcW w:w="4449" w:type="dxa"/>
                  <w:tcBorders>
                    <w:top w:val="single" w:color="auto" w:sz="4" w:space="0"/>
                    <w:left w:val="nil"/>
                    <w:bottom w:val="single" w:color="auto" w:sz="4" w:space="0"/>
                    <w:right w:val="single" w:color="auto" w:sz="4" w:space="0"/>
                  </w:tcBorders>
                  <w:vAlign w:val="center"/>
                </w:tcPr>
                <w:p w14:paraId="0B309B14">
                  <w:pPr>
                    <w:pStyle w:val="46"/>
                    <w:spacing w:line="240" w:lineRule="auto"/>
                    <w:ind w:firstLine="0" w:firstLineChars="0"/>
                    <w:jc w:val="center"/>
                    <w:rPr>
                      <w:color w:val="000000"/>
                      <w:szCs w:val="21"/>
                    </w:rPr>
                  </w:pPr>
                  <w:r>
                    <w:rPr>
                      <w:color w:val="000000"/>
                      <w:szCs w:val="21"/>
                    </w:rPr>
                    <w:t>防渗技术要求</w:t>
                  </w:r>
                </w:p>
              </w:tc>
            </w:tr>
            <w:tr w14:paraId="05717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1086" w:type="dxa"/>
                  <w:tcBorders>
                    <w:top w:val="single" w:color="auto" w:sz="4" w:space="0"/>
                    <w:left w:val="single" w:color="auto" w:sz="4" w:space="0"/>
                    <w:bottom w:val="single" w:color="auto" w:sz="4" w:space="0"/>
                    <w:right w:val="single" w:color="auto" w:sz="4" w:space="0"/>
                  </w:tcBorders>
                  <w:vAlign w:val="center"/>
                </w:tcPr>
                <w:p w14:paraId="1343BA52">
                  <w:pPr>
                    <w:pStyle w:val="46"/>
                    <w:spacing w:line="240" w:lineRule="auto"/>
                    <w:ind w:firstLine="0" w:firstLineChars="0"/>
                    <w:jc w:val="center"/>
                    <w:rPr>
                      <w:color w:val="000000"/>
                      <w:szCs w:val="21"/>
                    </w:rPr>
                  </w:pPr>
                  <w:r>
                    <w:rPr>
                      <w:rFonts w:hint="eastAsia"/>
                      <w:color w:val="000000"/>
                      <w:szCs w:val="21"/>
                    </w:rPr>
                    <w:t>化粪池</w:t>
                  </w:r>
                </w:p>
              </w:tc>
              <w:tc>
                <w:tcPr>
                  <w:tcW w:w="1075" w:type="dxa"/>
                  <w:tcBorders>
                    <w:top w:val="single" w:color="auto" w:sz="4" w:space="0"/>
                    <w:left w:val="nil"/>
                    <w:bottom w:val="single" w:color="auto" w:sz="4" w:space="0"/>
                    <w:right w:val="single" w:color="auto" w:sz="4" w:space="0"/>
                  </w:tcBorders>
                  <w:vAlign w:val="center"/>
                </w:tcPr>
                <w:p w14:paraId="284FA0CD">
                  <w:pPr>
                    <w:pStyle w:val="46"/>
                    <w:spacing w:line="240" w:lineRule="auto"/>
                    <w:ind w:firstLine="0" w:firstLineChars="0"/>
                    <w:jc w:val="center"/>
                    <w:rPr>
                      <w:color w:val="000000"/>
                      <w:szCs w:val="21"/>
                    </w:rPr>
                  </w:pPr>
                  <w:r>
                    <w:rPr>
                      <w:color w:val="000000"/>
                      <w:szCs w:val="21"/>
                    </w:rPr>
                    <w:t>难</w:t>
                  </w:r>
                </w:p>
              </w:tc>
              <w:tc>
                <w:tcPr>
                  <w:tcW w:w="953" w:type="dxa"/>
                  <w:tcBorders>
                    <w:top w:val="single" w:color="auto" w:sz="4" w:space="0"/>
                    <w:left w:val="nil"/>
                    <w:bottom w:val="single" w:color="auto" w:sz="4" w:space="0"/>
                    <w:right w:val="single" w:color="auto" w:sz="4" w:space="0"/>
                  </w:tcBorders>
                  <w:vAlign w:val="center"/>
                </w:tcPr>
                <w:p w14:paraId="11D8971E">
                  <w:pPr>
                    <w:pStyle w:val="46"/>
                    <w:spacing w:line="240" w:lineRule="auto"/>
                    <w:ind w:firstLine="0" w:firstLineChars="0"/>
                    <w:jc w:val="center"/>
                    <w:rPr>
                      <w:color w:val="000000"/>
                      <w:szCs w:val="21"/>
                    </w:rPr>
                  </w:pPr>
                  <w:r>
                    <w:rPr>
                      <w:color w:val="000000"/>
                      <w:szCs w:val="21"/>
                    </w:rPr>
                    <w:t>其他类型</w:t>
                  </w:r>
                </w:p>
              </w:tc>
              <w:tc>
                <w:tcPr>
                  <w:tcW w:w="775" w:type="dxa"/>
                  <w:tcBorders>
                    <w:top w:val="single" w:color="auto" w:sz="4" w:space="0"/>
                    <w:left w:val="nil"/>
                    <w:bottom w:val="single" w:color="auto" w:sz="4" w:space="0"/>
                    <w:right w:val="single" w:color="auto" w:sz="4" w:space="0"/>
                  </w:tcBorders>
                  <w:vAlign w:val="center"/>
                </w:tcPr>
                <w:p w14:paraId="3D2A07AE">
                  <w:pPr>
                    <w:pStyle w:val="46"/>
                    <w:spacing w:line="240" w:lineRule="auto"/>
                    <w:ind w:firstLine="0" w:firstLineChars="0"/>
                    <w:jc w:val="center"/>
                    <w:rPr>
                      <w:color w:val="000000"/>
                      <w:szCs w:val="21"/>
                    </w:rPr>
                  </w:pPr>
                  <w:r>
                    <w:rPr>
                      <w:color w:val="000000"/>
                      <w:szCs w:val="21"/>
                    </w:rPr>
                    <w:t>重点防渗区</w:t>
                  </w:r>
                </w:p>
              </w:tc>
              <w:tc>
                <w:tcPr>
                  <w:tcW w:w="4449" w:type="dxa"/>
                  <w:tcBorders>
                    <w:top w:val="single" w:color="auto" w:sz="4" w:space="0"/>
                    <w:left w:val="nil"/>
                    <w:bottom w:val="single" w:color="auto" w:sz="4" w:space="0"/>
                    <w:right w:val="single" w:color="auto" w:sz="4" w:space="0"/>
                  </w:tcBorders>
                  <w:vAlign w:val="center"/>
                </w:tcPr>
                <w:p w14:paraId="10757761">
                  <w:pPr>
                    <w:pStyle w:val="46"/>
                    <w:spacing w:line="240" w:lineRule="auto"/>
                    <w:ind w:firstLine="0" w:firstLineChars="0"/>
                    <w:jc w:val="center"/>
                    <w:rPr>
                      <w:color w:val="000000"/>
                      <w:szCs w:val="21"/>
                    </w:rPr>
                  </w:pPr>
                  <w:r>
                    <w:rPr>
                      <w:color w:val="000000"/>
                      <w:szCs w:val="21"/>
                    </w:rPr>
                    <w:t>基础必须防渗，防渗层为至少1米厚粘土层（渗透系数≤10</w:t>
                  </w:r>
                  <w:r>
                    <w:rPr>
                      <w:color w:val="000000"/>
                      <w:szCs w:val="21"/>
                      <w:vertAlign w:val="superscript"/>
                    </w:rPr>
                    <w:t>-7</w:t>
                  </w:r>
                  <w:r>
                    <w:rPr>
                      <w:color w:val="000000"/>
                      <w:szCs w:val="21"/>
                    </w:rPr>
                    <w:t>cm/s），或2mm厚高密度聚乙烯，或至少2mm厚的其它人工材料，渗透系数≤10</w:t>
                  </w:r>
                  <w:r>
                    <w:rPr>
                      <w:color w:val="000000"/>
                      <w:szCs w:val="21"/>
                      <w:vertAlign w:val="superscript"/>
                    </w:rPr>
                    <w:t>-10</w:t>
                  </w:r>
                  <w:r>
                    <w:rPr>
                      <w:color w:val="000000"/>
                      <w:szCs w:val="21"/>
                    </w:rPr>
                    <w:t>cm/s</w:t>
                  </w:r>
                </w:p>
              </w:tc>
            </w:tr>
            <w:tr w14:paraId="6EDE4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1086" w:type="dxa"/>
                  <w:tcBorders>
                    <w:top w:val="single" w:color="auto" w:sz="4" w:space="0"/>
                    <w:left w:val="single" w:color="auto" w:sz="4" w:space="0"/>
                    <w:bottom w:val="single" w:color="auto" w:sz="4" w:space="0"/>
                    <w:right w:val="single" w:color="auto" w:sz="4" w:space="0"/>
                  </w:tcBorders>
                  <w:vAlign w:val="center"/>
                </w:tcPr>
                <w:p w14:paraId="6DEAAF10">
                  <w:pPr>
                    <w:pStyle w:val="46"/>
                    <w:spacing w:line="240" w:lineRule="auto"/>
                    <w:ind w:firstLine="0" w:firstLineChars="0"/>
                    <w:jc w:val="center"/>
                    <w:rPr>
                      <w:color w:val="000000"/>
                      <w:szCs w:val="21"/>
                    </w:rPr>
                  </w:pPr>
                  <w:r>
                    <w:rPr>
                      <w:color w:val="000000"/>
                      <w:szCs w:val="21"/>
                    </w:rPr>
                    <w:t>生产</w:t>
                  </w:r>
                  <w:r>
                    <w:rPr>
                      <w:rFonts w:hint="eastAsia"/>
                      <w:color w:val="000000"/>
                      <w:szCs w:val="21"/>
                    </w:rPr>
                    <w:t>车间其他区域</w:t>
                  </w:r>
                </w:p>
              </w:tc>
              <w:tc>
                <w:tcPr>
                  <w:tcW w:w="1075" w:type="dxa"/>
                  <w:tcBorders>
                    <w:top w:val="single" w:color="auto" w:sz="4" w:space="0"/>
                    <w:left w:val="nil"/>
                    <w:bottom w:val="single" w:color="auto" w:sz="4" w:space="0"/>
                    <w:right w:val="single" w:color="auto" w:sz="4" w:space="0"/>
                  </w:tcBorders>
                  <w:vAlign w:val="center"/>
                </w:tcPr>
                <w:p w14:paraId="5F4AEA07">
                  <w:pPr>
                    <w:pStyle w:val="46"/>
                    <w:spacing w:line="240" w:lineRule="auto"/>
                    <w:ind w:firstLine="0" w:firstLineChars="0"/>
                    <w:jc w:val="center"/>
                    <w:rPr>
                      <w:color w:val="000000"/>
                      <w:szCs w:val="21"/>
                    </w:rPr>
                  </w:pPr>
                  <w:r>
                    <w:rPr>
                      <w:color w:val="000000"/>
                      <w:szCs w:val="21"/>
                    </w:rPr>
                    <w:t>难</w:t>
                  </w:r>
                </w:p>
              </w:tc>
              <w:tc>
                <w:tcPr>
                  <w:tcW w:w="953" w:type="dxa"/>
                  <w:tcBorders>
                    <w:top w:val="single" w:color="auto" w:sz="4" w:space="0"/>
                    <w:left w:val="nil"/>
                    <w:bottom w:val="single" w:color="auto" w:sz="4" w:space="0"/>
                    <w:right w:val="single" w:color="auto" w:sz="4" w:space="0"/>
                  </w:tcBorders>
                  <w:vAlign w:val="center"/>
                </w:tcPr>
                <w:p w14:paraId="5800FA10">
                  <w:pPr>
                    <w:pStyle w:val="46"/>
                    <w:spacing w:line="240" w:lineRule="auto"/>
                    <w:ind w:firstLine="0" w:firstLineChars="0"/>
                    <w:jc w:val="center"/>
                    <w:rPr>
                      <w:color w:val="000000"/>
                      <w:szCs w:val="21"/>
                    </w:rPr>
                  </w:pPr>
                  <w:r>
                    <w:rPr>
                      <w:color w:val="000000"/>
                      <w:szCs w:val="21"/>
                    </w:rPr>
                    <w:t>其他类型</w:t>
                  </w:r>
                </w:p>
              </w:tc>
              <w:tc>
                <w:tcPr>
                  <w:tcW w:w="775" w:type="dxa"/>
                  <w:tcBorders>
                    <w:top w:val="single" w:color="auto" w:sz="4" w:space="0"/>
                    <w:left w:val="nil"/>
                    <w:bottom w:val="single" w:color="auto" w:sz="4" w:space="0"/>
                    <w:right w:val="single" w:color="auto" w:sz="4" w:space="0"/>
                  </w:tcBorders>
                  <w:vAlign w:val="center"/>
                </w:tcPr>
                <w:p w14:paraId="38862AC1">
                  <w:pPr>
                    <w:pStyle w:val="46"/>
                    <w:spacing w:line="240" w:lineRule="auto"/>
                    <w:ind w:firstLine="0" w:firstLineChars="0"/>
                    <w:jc w:val="center"/>
                    <w:rPr>
                      <w:color w:val="000000"/>
                      <w:szCs w:val="21"/>
                    </w:rPr>
                  </w:pPr>
                  <w:r>
                    <w:rPr>
                      <w:color w:val="000000"/>
                      <w:szCs w:val="21"/>
                    </w:rPr>
                    <w:t>一般防渗区</w:t>
                  </w:r>
                </w:p>
              </w:tc>
              <w:tc>
                <w:tcPr>
                  <w:tcW w:w="4449" w:type="dxa"/>
                  <w:tcBorders>
                    <w:top w:val="nil"/>
                    <w:left w:val="nil"/>
                    <w:bottom w:val="single" w:color="auto" w:sz="4" w:space="0"/>
                    <w:right w:val="single" w:color="auto" w:sz="4" w:space="0"/>
                  </w:tcBorders>
                  <w:vAlign w:val="center"/>
                </w:tcPr>
                <w:p w14:paraId="0E22FA05">
                  <w:pPr>
                    <w:pStyle w:val="46"/>
                    <w:spacing w:line="240" w:lineRule="auto"/>
                    <w:ind w:firstLine="0" w:firstLineChars="0"/>
                    <w:jc w:val="center"/>
                    <w:rPr>
                      <w:color w:val="000000"/>
                      <w:szCs w:val="21"/>
                    </w:rPr>
                  </w:pPr>
                  <w:r>
                    <w:rPr>
                      <w:color w:val="000000"/>
                      <w:szCs w:val="21"/>
                    </w:rPr>
                    <w:t>应采用天然或人工材料构筑防渗层，防渗层的厚度应相当于渗透系数1.0×10</w:t>
                  </w:r>
                  <w:r>
                    <w:rPr>
                      <w:color w:val="000000"/>
                      <w:szCs w:val="21"/>
                      <w:vertAlign w:val="superscript"/>
                    </w:rPr>
                    <w:t>-7</w:t>
                  </w:r>
                  <w:r>
                    <w:rPr>
                      <w:color w:val="000000"/>
                      <w:szCs w:val="21"/>
                    </w:rPr>
                    <w:t>cm/s和厚度1.5m的粘土层的防渗性能</w:t>
                  </w:r>
                </w:p>
              </w:tc>
            </w:tr>
          </w:tbl>
          <w:p w14:paraId="6017FFC9">
            <w:pPr>
              <w:pStyle w:val="44"/>
              <w:spacing w:before="0" w:line="360" w:lineRule="auto"/>
              <w:ind w:firstLine="0"/>
              <w:rPr>
                <w:rFonts w:ascii="Times New Roman" w:hAnsi="Times New Roman"/>
                <w:b/>
                <w:bCs/>
                <w:color w:val="000000"/>
                <w:kern w:val="2"/>
                <w:sz w:val="24"/>
              </w:rPr>
            </w:pPr>
            <w:r>
              <w:rPr>
                <w:rFonts w:ascii="Times New Roman" w:hAnsi="Times New Roman"/>
                <w:b/>
                <w:bCs/>
                <w:color w:val="000000"/>
                <w:kern w:val="2"/>
                <w:sz w:val="24"/>
              </w:rPr>
              <w:t>6、环境风险评价</w:t>
            </w:r>
          </w:p>
          <w:p w14:paraId="13BCBDBB">
            <w:pPr>
              <w:adjustRightInd w:val="0"/>
              <w:snapToGrid w:val="0"/>
              <w:spacing w:line="360" w:lineRule="auto"/>
              <w:ind w:firstLine="480" w:firstLineChars="200"/>
              <w:rPr>
                <w:color w:val="000000"/>
                <w:kern w:val="0"/>
                <w:sz w:val="24"/>
              </w:rPr>
            </w:pPr>
            <w:r>
              <w:rPr>
                <w:color w:val="000000"/>
                <w:kern w:val="0"/>
                <w:sz w:val="24"/>
              </w:rPr>
              <w:t>（1）风险调查</w:t>
            </w:r>
          </w:p>
          <w:p w14:paraId="4AC75E23">
            <w:pPr>
              <w:adjustRightInd w:val="0"/>
              <w:snapToGrid w:val="0"/>
              <w:spacing w:line="360" w:lineRule="auto"/>
              <w:ind w:firstLine="480" w:firstLineChars="200"/>
              <w:rPr>
                <w:color w:val="000000"/>
                <w:kern w:val="0"/>
                <w:sz w:val="24"/>
              </w:rPr>
            </w:pPr>
            <w:r>
              <w:rPr>
                <w:color w:val="000000"/>
                <w:kern w:val="0"/>
                <w:sz w:val="24"/>
              </w:rPr>
              <w:t>① 物质风险性调查</w:t>
            </w:r>
          </w:p>
          <w:p w14:paraId="5D734F30">
            <w:pPr>
              <w:adjustRightInd w:val="0"/>
              <w:snapToGrid w:val="0"/>
              <w:spacing w:line="360" w:lineRule="auto"/>
              <w:ind w:firstLine="480" w:firstLineChars="200"/>
              <w:rPr>
                <w:color w:val="000000"/>
                <w:kern w:val="0"/>
                <w:sz w:val="24"/>
              </w:rPr>
            </w:pPr>
            <w:r>
              <w:rPr>
                <w:color w:val="000000"/>
                <w:sz w:val="24"/>
              </w:rPr>
              <w:t>根据HJ 169-2018分析建设项目生产、使用、储存过程中涉及的有毒有害、易燃易爆物质，参见附录B确定危险物质的临界量。根据附录B项目涉及风险物质</w:t>
            </w:r>
            <w:r>
              <w:rPr>
                <w:rFonts w:hint="eastAsia"/>
                <w:color w:val="000000"/>
                <w:sz w:val="24"/>
              </w:rPr>
              <w:t>，本项目不涉及风险物质，Q=0</w:t>
            </w:r>
            <w:r>
              <w:rPr>
                <w:color w:val="000000"/>
                <w:sz w:val="24"/>
              </w:rPr>
              <w:t>。</w:t>
            </w:r>
          </w:p>
          <w:p w14:paraId="2BB1C28D">
            <w:pPr>
              <w:adjustRightInd w:val="0"/>
              <w:snapToGrid w:val="0"/>
              <w:spacing w:line="360" w:lineRule="auto"/>
              <w:ind w:firstLine="480" w:firstLineChars="200"/>
              <w:rPr>
                <w:color w:val="000000"/>
                <w:kern w:val="0"/>
                <w:sz w:val="24"/>
              </w:rPr>
            </w:pPr>
            <w:r>
              <w:rPr>
                <w:color w:val="000000"/>
                <w:kern w:val="0"/>
                <w:sz w:val="24"/>
              </w:rPr>
              <w:t>② 生产工艺危险性调查</w:t>
            </w:r>
          </w:p>
          <w:p w14:paraId="5D815417">
            <w:pPr>
              <w:adjustRightInd w:val="0"/>
              <w:snapToGrid w:val="0"/>
              <w:spacing w:line="360" w:lineRule="auto"/>
              <w:ind w:firstLine="480" w:firstLineChars="200"/>
              <w:rPr>
                <w:color w:val="000000"/>
                <w:kern w:val="0"/>
                <w:sz w:val="24"/>
              </w:rPr>
            </w:pPr>
            <w:r>
              <w:rPr>
                <w:color w:val="000000"/>
                <w:kern w:val="0"/>
                <w:sz w:val="24"/>
              </w:rPr>
              <w:t>本项目</w:t>
            </w:r>
            <w:r>
              <w:rPr>
                <w:rFonts w:hint="eastAsia"/>
                <w:color w:val="000000"/>
                <w:kern w:val="0"/>
                <w:sz w:val="24"/>
              </w:rPr>
              <w:t>生产过程</w:t>
            </w:r>
            <w:r>
              <w:rPr>
                <w:color w:val="000000"/>
                <w:kern w:val="0"/>
                <w:sz w:val="24"/>
              </w:rPr>
              <w:t>涉及高温工艺过程</w:t>
            </w:r>
            <w:r>
              <w:rPr>
                <w:rFonts w:hint="eastAsia"/>
                <w:color w:val="000000"/>
                <w:kern w:val="0"/>
                <w:sz w:val="24"/>
              </w:rPr>
              <w:t>但</w:t>
            </w:r>
            <w:r>
              <w:rPr>
                <w:color w:val="000000"/>
                <w:kern w:val="0"/>
                <w:sz w:val="24"/>
              </w:rPr>
              <w:t>不涉及危险物质的使用及贮存，无《建设项目环境风险评价技术导则》（HJ 169-2018）附录C，表C.1中列明的工艺过程。故本项目生产工艺不存在重大危险性。</w:t>
            </w:r>
          </w:p>
          <w:p w14:paraId="4583F163">
            <w:pPr>
              <w:adjustRightInd w:val="0"/>
              <w:snapToGrid w:val="0"/>
              <w:spacing w:line="360" w:lineRule="auto"/>
              <w:ind w:firstLine="480" w:firstLineChars="200"/>
              <w:rPr>
                <w:color w:val="000000"/>
                <w:kern w:val="0"/>
                <w:sz w:val="24"/>
              </w:rPr>
            </w:pPr>
            <w:r>
              <w:rPr>
                <w:color w:val="000000"/>
                <w:kern w:val="0"/>
                <w:sz w:val="24"/>
              </w:rPr>
              <w:t>（</w:t>
            </w:r>
            <w:r>
              <w:rPr>
                <w:rFonts w:hint="eastAsia"/>
                <w:color w:val="000000"/>
                <w:kern w:val="0"/>
                <w:sz w:val="24"/>
              </w:rPr>
              <w:t>2</w:t>
            </w:r>
            <w:r>
              <w:rPr>
                <w:color w:val="000000"/>
                <w:kern w:val="0"/>
                <w:sz w:val="24"/>
              </w:rPr>
              <w:t>）环境风险识别</w:t>
            </w:r>
          </w:p>
          <w:p w14:paraId="71D0468B">
            <w:pPr>
              <w:spacing w:line="360" w:lineRule="auto"/>
              <w:ind w:firstLine="480"/>
              <w:rPr>
                <w:color w:val="000000"/>
                <w:sz w:val="24"/>
              </w:rPr>
            </w:pPr>
            <w:r>
              <w:rPr>
                <w:color w:val="000000"/>
                <w:sz w:val="24"/>
              </w:rPr>
              <w:t>根据《建设项目环境风险评价导则》（HJ169-2018），风险识别内容主要如下：</w:t>
            </w:r>
          </w:p>
          <w:p w14:paraId="5E2F2BB2">
            <w:pPr>
              <w:adjustRightInd w:val="0"/>
              <w:snapToGrid w:val="0"/>
              <w:spacing w:line="360" w:lineRule="auto"/>
              <w:ind w:firstLine="480"/>
              <w:rPr>
                <w:color w:val="000000"/>
                <w:kern w:val="0"/>
                <w:sz w:val="24"/>
              </w:rPr>
            </w:pPr>
            <w:r>
              <w:rPr>
                <w:rFonts w:hint="eastAsia"/>
                <w:color w:val="000000"/>
                <w:kern w:val="0"/>
                <w:sz w:val="24"/>
              </w:rPr>
              <w:t>本项目生产车间粉尘产生量较大，粉尘易吸收并积聚热量，在热传导、热辐射的作用下，形成高于环境空气温度的混合产物，在相对密闭的空间里，有明火或强烈的振动与摩擦时会发生爆炸，存在粉尘爆炸风险。本项目使用的原料属于可燃物，在生产过程若遇明火可能引发火灾，事故处理过程中引发的污染物主要包括燃烧时产生的烟气、扑灭火灾产生的消防废水若得到不及时有效处理，可能会对大气环境、水环境和人群健康产生影响。</w:t>
            </w:r>
          </w:p>
          <w:p w14:paraId="52AC2667">
            <w:pPr>
              <w:adjustRightInd w:val="0"/>
              <w:snapToGrid w:val="0"/>
              <w:spacing w:line="360" w:lineRule="auto"/>
              <w:ind w:firstLine="480"/>
              <w:rPr>
                <w:color w:val="000000"/>
                <w:kern w:val="0"/>
                <w:sz w:val="24"/>
                <w:lang w:val="zh-CN"/>
              </w:rPr>
            </w:pPr>
            <w:r>
              <w:rPr>
                <w:rFonts w:hint="eastAsia"/>
                <w:color w:val="000000"/>
                <w:kern w:val="0"/>
                <w:sz w:val="24"/>
              </w:rPr>
              <w:t>企业应采取如下风险防范措施：总平面布置应充分考虑布局的安全性，生产区与区外道路应保持畅通，以便于安全疏散和消防车辆通行，同时在厂内设置完善的消防设施。加强生产管理，确保除尘设备正常运行并加强车间通风，定期设备维护维修，保证各管道</w:t>
            </w:r>
            <w:r>
              <w:rPr>
                <w:rFonts w:hint="eastAsia"/>
                <w:color w:val="000000"/>
                <w:kern w:val="0"/>
                <w:sz w:val="24"/>
                <w:lang w:eastAsia="zh-CN"/>
              </w:rPr>
              <w:t>、</w:t>
            </w:r>
            <w:r>
              <w:rPr>
                <w:rFonts w:hint="eastAsia"/>
                <w:color w:val="000000"/>
                <w:kern w:val="0"/>
                <w:sz w:val="24"/>
              </w:rPr>
              <w:t>法兰、阀门等连接完好。原料、产品设置专门的仓并定期检查，不得露天堆放，储存于阴凉通风仓库中，远离火种、热源，与易燃物分开存放；划定禁火区，在明显地点设置警示标志，输配电线、灯具、火灾事故照明和疏散指示标志均应符合安全要求。</w:t>
            </w:r>
          </w:p>
          <w:p w14:paraId="314A15FC">
            <w:pPr>
              <w:adjustRightInd w:val="0"/>
              <w:snapToGrid w:val="0"/>
              <w:spacing w:line="360" w:lineRule="auto"/>
              <w:ind w:firstLine="480"/>
              <w:rPr>
                <w:color w:val="000000"/>
                <w:kern w:val="0"/>
                <w:sz w:val="24"/>
                <w:lang w:val="zh-CN"/>
              </w:rPr>
            </w:pPr>
            <w:r>
              <w:rPr>
                <w:color w:val="000000"/>
                <w:kern w:val="0"/>
                <w:sz w:val="24"/>
                <w:lang w:val="zh-CN"/>
              </w:rPr>
              <w:t>（</w:t>
            </w:r>
            <w:r>
              <w:rPr>
                <w:rFonts w:hint="eastAsia"/>
                <w:color w:val="000000"/>
                <w:kern w:val="0"/>
                <w:sz w:val="24"/>
              </w:rPr>
              <w:t>3</w:t>
            </w:r>
            <w:r>
              <w:rPr>
                <w:color w:val="000000"/>
                <w:kern w:val="0"/>
                <w:sz w:val="24"/>
                <w:lang w:val="zh-CN"/>
              </w:rPr>
              <w:t>）风险评价结论</w:t>
            </w:r>
          </w:p>
          <w:p w14:paraId="023A32DA">
            <w:pPr>
              <w:pStyle w:val="12"/>
              <w:spacing w:line="360" w:lineRule="auto"/>
              <w:ind w:left="0" w:leftChars="0" w:firstLine="480"/>
              <w:rPr>
                <w:color w:val="000000"/>
                <w:sz w:val="24"/>
                <w:lang w:val="zh-CN"/>
              </w:rPr>
            </w:pPr>
            <w:r>
              <w:rPr>
                <w:color w:val="000000"/>
                <w:sz w:val="24"/>
                <w:lang w:val="zh-CN"/>
              </w:rPr>
              <w:t>经以上分析可知，本项目运营期的环境风险在采取相应防范措施的基础上可将风险事故造成的危害降至最低，从环境风险角度分析，本项目实施可行。</w:t>
            </w:r>
          </w:p>
          <w:p w14:paraId="0DBD818E">
            <w:pPr>
              <w:pStyle w:val="44"/>
              <w:adjustRightInd/>
              <w:spacing w:before="0" w:line="360" w:lineRule="auto"/>
              <w:ind w:firstLine="0"/>
              <w:rPr>
                <w:rFonts w:ascii="Times New Roman" w:hAnsi="Times New Roman"/>
                <w:b/>
                <w:bCs/>
                <w:kern w:val="2"/>
                <w:sz w:val="24"/>
              </w:rPr>
            </w:pPr>
            <w:r>
              <w:rPr>
                <w:rFonts w:ascii="Times New Roman" w:hAnsi="Times New Roman"/>
                <w:b/>
                <w:bCs/>
                <w:kern w:val="2"/>
                <w:sz w:val="24"/>
              </w:rPr>
              <w:t>七、生态</w:t>
            </w:r>
          </w:p>
          <w:p w14:paraId="3A1FEC72">
            <w:pPr>
              <w:pStyle w:val="44"/>
              <w:adjustRightInd/>
              <w:spacing w:before="0" w:line="360" w:lineRule="auto"/>
              <w:ind w:firstLine="440" w:firstLineChars="200"/>
              <w:rPr>
                <w:rFonts w:ascii="Times New Roman" w:hAnsi="Times New Roman"/>
                <w:b/>
                <w:bCs/>
                <w:kern w:val="2"/>
                <w:sz w:val="24"/>
              </w:rPr>
            </w:pPr>
            <w:r>
              <w:rPr>
                <w:rFonts w:ascii="Times New Roman" w:hAnsi="Times New Roman"/>
                <w:bCs/>
                <w:spacing w:val="-10"/>
                <w:sz w:val="24"/>
              </w:rPr>
              <w:t>本项目不涉及新增用地且用地范围内不含有生态环境保护目标，故不对该部分内容进行分析</w:t>
            </w:r>
            <w:r>
              <w:rPr>
                <w:rFonts w:hint="eastAsia" w:ascii="Times New Roman" w:hAnsi="Times New Roman"/>
                <w:bCs/>
                <w:spacing w:val="-10"/>
                <w:sz w:val="24"/>
              </w:rPr>
              <w:t>。</w:t>
            </w:r>
          </w:p>
          <w:p w14:paraId="59339B1C">
            <w:pPr>
              <w:spacing w:line="360" w:lineRule="auto"/>
              <w:rPr>
                <w:rFonts w:ascii="Times New Roman" w:hAnsi="Times New Roman"/>
                <w:sz w:val="24"/>
              </w:rPr>
            </w:pPr>
            <w:r>
              <w:rPr>
                <w:b/>
                <w:bCs/>
                <w:sz w:val="24"/>
              </w:rPr>
              <w:t>八、电磁辐射</w:t>
            </w:r>
          </w:p>
          <w:p w14:paraId="6E4F277F">
            <w:pPr>
              <w:pStyle w:val="44"/>
              <w:adjustRightInd/>
              <w:spacing w:before="0" w:line="360" w:lineRule="auto"/>
              <w:ind w:firstLine="480" w:firstLineChars="200"/>
              <w:rPr>
                <w:rFonts w:ascii="Times New Roman" w:hAnsi="Times New Roman"/>
                <w:sz w:val="24"/>
              </w:rPr>
            </w:pPr>
            <w:r>
              <w:rPr>
                <w:rFonts w:ascii="Times New Roman" w:hAnsi="Times New Roman"/>
                <w:sz w:val="24"/>
              </w:rPr>
              <w:t>本项目不涉及电磁辐射，故不对该部分内容进行分析。</w:t>
            </w:r>
          </w:p>
          <w:p w14:paraId="621E9A45">
            <w:pPr>
              <w:pStyle w:val="44"/>
              <w:adjustRightInd/>
              <w:spacing w:before="0" w:line="360" w:lineRule="auto"/>
              <w:ind w:firstLine="480" w:firstLineChars="200"/>
              <w:rPr>
                <w:rFonts w:ascii="Times New Roman" w:hAnsi="Times New Roman"/>
                <w:sz w:val="24"/>
              </w:rPr>
            </w:pPr>
          </w:p>
          <w:p w14:paraId="66AE1D55">
            <w:pPr>
              <w:pStyle w:val="44"/>
              <w:adjustRightInd/>
              <w:spacing w:before="0" w:line="360" w:lineRule="auto"/>
              <w:ind w:firstLine="480" w:firstLineChars="200"/>
              <w:rPr>
                <w:rFonts w:ascii="Times New Roman" w:hAnsi="Times New Roman"/>
                <w:sz w:val="24"/>
              </w:rPr>
            </w:pPr>
          </w:p>
          <w:p w14:paraId="0418F9D2">
            <w:pPr>
              <w:pStyle w:val="44"/>
              <w:adjustRightInd/>
              <w:spacing w:before="0" w:line="360" w:lineRule="auto"/>
              <w:ind w:firstLine="480" w:firstLineChars="200"/>
              <w:rPr>
                <w:rFonts w:ascii="Times New Roman" w:hAnsi="Times New Roman"/>
                <w:sz w:val="24"/>
              </w:rPr>
            </w:pPr>
          </w:p>
          <w:p w14:paraId="6FD46C11">
            <w:pPr>
              <w:pStyle w:val="44"/>
              <w:adjustRightInd/>
              <w:spacing w:before="0" w:line="360" w:lineRule="auto"/>
              <w:ind w:firstLine="480" w:firstLineChars="200"/>
              <w:rPr>
                <w:rFonts w:ascii="Times New Roman" w:hAnsi="Times New Roman"/>
                <w:sz w:val="24"/>
              </w:rPr>
            </w:pPr>
          </w:p>
          <w:p w14:paraId="31057A72">
            <w:pPr>
              <w:pStyle w:val="44"/>
              <w:adjustRightInd/>
              <w:spacing w:before="0" w:line="360" w:lineRule="auto"/>
              <w:ind w:firstLine="480" w:firstLineChars="200"/>
              <w:rPr>
                <w:rFonts w:ascii="Times New Roman" w:hAnsi="Times New Roman"/>
                <w:sz w:val="24"/>
              </w:rPr>
            </w:pPr>
          </w:p>
          <w:p w14:paraId="1FAFF282">
            <w:pPr>
              <w:pStyle w:val="44"/>
              <w:adjustRightInd/>
              <w:spacing w:before="0" w:line="360" w:lineRule="auto"/>
              <w:ind w:firstLine="480" w:firstLineChars="200"/>
              <w:rPr>
                <w:rFonts w:ascii="Times New Roman" w:hAnsi="Times New Roman"/>
                <w:sz w:val="24"/>
              </w:rPr>
            </w:pPr>
          </w:p>
          <w:p w14:paraId="1A03A40F">
            <w:pPr>
              <w:pStyle w:val="44"/>
              <w:adjustRightInd/>
              <w:spacing w:before="0" w:line="360" w:lineRule="auto"/>
              <w:ind w:firstLine="480" w:firstLineChars="200"/>
              <w:rPr>
                <w:rFonts w:ascii="Times New Roman" w:hAnsi="Times New Roman"/>
                <w:sz w:val="24"/>
              </w:rPr>
            </w:pPr>
          </w:p>
          <w:p w14:paraId="216C375A">
            <w:pPr>
              <w:pStyle w:val="44"/>
              <w:adjustRightInd/>
              <w:spacing w:before="0" w:line="360" w:lineRule="auto"/>
              <w:ind w:firstLine="480" w:firstLineChars="200"/>
              <w:rPr>
                <w:rFonts w:ascii="Times New Roman" w:hAnsi="Times New Roman"/>
                <w:sz w:val="24"/>
              </w:rPr>
            </w:pPr>
          </w:p>
          <w:p w14:paraId="21C1A9EA">
            <w:pPr>
              <w:pStyle w:val="44"/>
              <w:adjustRightInd/>
              <w:spacing w:before="0" w:line="360" w:lineRule="auto"/>
              <w:ind w:firstLine="480" w:firstLineChars="200"/>
              <w:rPr>
                <w:rFonts w:ascii="Times New Roman" w:hAnsi="Times New Roman"/>
                <w:sz w:val="24"/>
              </w:rPr>
            </w:pPr>
          </w:p>
          <w:p w14:paraId="3A470115">
            <w:pPr>
              <w:pStyle w:val="44"/>
              <w:adjustRightInd/>
              <w:spacing w:before="0" w:line="360" w:lineRule="auto"/>
              <w:ind w:firstLine="480" w:firstLineChars="200"/>
              <w:rPr>
                <w:rFonts w:ascii="Times New Roman" w:hAnsi="Times New Roman"/>
                <w:sz w:val="24"/>
              </w:rPr>
            </w:pPr>
          </w:p>
          <w:p w14:paraId="5C992013">
            <w:pPr>
              <w:pStyle w:val="44"/>
              <w:adjustRightInd/>
              <w:spacing w:before="0" w:line="360" w:lineRule="auto"/>
              <w:ind w:firstLine="480" w:firstLineChars="200"/>
              <w:rPr>
                <w:rFonts w:ascii="Times New Roman" w:hAnsi="Times New Roman"/>
                <w:sz w:val="24"/>
              </w:rPr>
            </w:pPr>
          </w:p>
          <w:p w14:paraId="35012756">
            <w:pPr>
              <w:pStyle w:val="44"/>
              <w:adjustRightInd/>
              <w:spacing w:before="0" w:line="360" w:lineRule="auto"/>
              <w:ind w:firstLine="480" w:firstLineChars="200"/>
              <w:rPr>
                <w:rFonts w:ascii="Times New Roman" w:hAnsi="Times New Roman"/>
                <w:sz w:val="24"/>
              </w:rPr>
            </w:pPr>
          </w:p>
          <w:p w14:paraId="7FA0E4CA">
            <w:pPr>
              <w:pStyle w:val="44"/>
              <w:adjustRightInd/>
              <w:spacing w:before="0" w:line="360" w:lineRule="auto"/>
              <w:ind w:firstLine="480" w:firstLineChars="200"/>
              <w:rPr>
                <w:rFonts w:ascii="Times New Roman" w:hAnsi="Times New Roman"/>
                <w:sz w:val="24"/>
              </w:rPr>
            </w:pPr>
          </w:p>
          <w:p w14:paraId="138B8AD9">
            <w:pPr>
              <w:pStyle w:val="44"/>
              <w:adjustRightInd/>
              <w:spacing w:before="0" w:line="360" w:lineRule="auto"/>
              <w:ind w:left="0" w:leftChars="0" w:firstLine="0" w:firstLineChars="0"/>
              <w:rPr>
                <w:rFonts w:ascii="Times New Roman" w:hAnsi="Times New Roman"/>
                <w:sz w:val="24"/>
              </w:rPr>
            </w:pPr>
          </w:p>
        </w:tc>
      </w:tr>
    </w:tbl>
    <w:p w14:paraId="59EC18CD">
      <w:pPr>
        <w:pStyle w:val="28"/>
        <w:sectPr>
          <w:pgSz w:w="11907" w:h="16840"/>
          <w:pgMar w:top="1791" w:right="1429" w:bottom="1791" w:left="1429" w:header="851" w:footer="851" w:gutter="0"/>
          <w:cols w:space="720" w:num="1"/>
          <w:docGrid w:linePitch="312" w:charSpace="0"/>
        </w:sectPr>
      </w:pPr>
    </w:p>
    <w:p w14:paraId="518047EA">
      <w:pPr>
        <w:pStyle w:val="20"/>
        <w:spacing w:before="0" w:beforeAutospacing="0" w:after="0" w:afterAutospacing="0"/>
        <w:jc w:val="center"/>
        <w:outlineLvl w:val="0"/>
        <w:rPr>
          <w:rFonts w:ascii="Times New Roman" w:hAnsi="Times New Roman"/>
          <w:b/>
          <w:bCs/>
          <w:snapToGrid w:val="0"/>
          <w:color w:val="000000"/>
          <w:sz w:val="30"/>
          <w:szCs w:val="30"/>
        </w:rPr>
      </w:pPr>
      <w:r>
        <w:rPr>
          <w:rFonts w:hint="eastAsia" w:ascii="Times New Roman" w:hAnsi="Times New Roman"/>
          <w:b/>
          <w:bCs/>
          <w:snapToGrid w:val="0"/>
          <w:color w:val="000000"/>
          <w:sz w:val="30"/>
          <w:szCs w:val="30"/>
        </w:rPr>
        <w:t>五、</w:t>
      </w:r>
      <w:bookmarkStart w:id="9" w:name="_Hlk54167917"/>
      <w:r>
        <w:rPr>
          <w:rFonts w:hint="eastAsia" w:ascii="Times New Roman" w:hAnsi="Times New Roman"/>
          <w:b/>
          <w:bCs/>
          <w:snapToGrid w:val="0"/>
          <w:color w:val="000000"/>
          <w:sz w:val="30"/>
          <w:szCs w:val="30"/>
        </w:rPr>
        <w:t>环境保护措施监督检查清单</w:t>
      </w:r>
      <w:bookmarkEnd w:id="9"/>
    </w:p>
    <w:tbl>
      <w:tblPr>
        <w:tblStyle w:val="23"/>
        <w:tblW w:w="94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320"/>
        <w:gridCol w:w="960"/>
        <w:gridCol w:w="1620"/>
        <w:gridCol w:w="2604"/>
        <w:gridCol w:w="2140"/>
      </w:tblGrid>
      <w:tr w14:paraId="56B34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25" w:type="dxa"/>
            <w:vAlign w:val="center"/>
          </w:tcPr>
          <w:p w14:paraId="4153B4DF">
            <w:pPr>
              <w:pStyle w:val="8"/>
              <w:spacing w:before="0" w:after="0" w:line="240" w:lineRule="auto"/>
              <w:ind w:right="0"/>
              <w:jc w:val="center"/>
              <w:rPr>
                <w:b/>
                <w:color w:val="000000"/>
                <w:sz w:val="24"/>
                <w:szCs w:val="24"/>
              </w:rPr>
            </w:pPr>
            <w:r>
              <w:rPr>
                <w:b/>
                <w:color w:val="000000"/>
                <w:sz w:val="24"/>
                <w:szCs w:val="24"/>
              </w:rPr>
              <w:t>内容要素</w:t>
            </w:r>
          </w:p>
        </w:tc>
        <w:tc>
          <w:tcPr>
            <w:tcW w:w="1320" w:type="dxa"/>
            <w:vAlign w:val="center"/>
          </w:tcPr>
          <w:p w14:paraId="434EB92F">
            <w:pPr>
              <w:pStyle w:val="8"/>
              <w:spacing w:before="0" w:after="0" w:line="240" w:lineRule="auto"/>
              <w:ind w:right="0"/>
              <w:jc w:val="center"/>
              <w:rPr>
                <w:b/>
                <w:color w:val="000000"/>
                <w:sz w:val="24"/>
                <w:szCs w:val="24"/>
              </w:rPr>
            </w:pPr>
            <w:r>
              <w:rPr>
                <w:b/>
                <w:color w:val="000000"/>
                <w:sz w:val="24"/>
                <w:szCs w:val="24"/>
              </w:rPr>
              <w:t>排放口（编号、名称）/污染源</w:t>
            </w:r>
          </w:p>
        </w:tc>
        <w:tc>
          <w:tcPr>
            <w:tcW w:w="2580" w:type="dxa"/>
            <w:gridSpan w:val="2"/>
            <w:vAlign w:val="center"/>
          </w:tcPr>
          <w:p w14:paraId="3E2328AD">
            <w:pPr>
              <w:pStyle w:val="8"/>
              <w:spacing w:before="0" w:after="0" w:line="240" w:lineRule="auto"/>
              <w:ind w:right="0"/>
              <w:jc w:val="center"/>
              <w:rPr>
                <w:b/>
                <w:color w:val="000000"/>
                <w:sz w:val="24"/>
                <w:szCs w:val="24"/>
              </w:rPr>
            </w:pPr>
            <w:r>
              <w:rPr>
                <w:b/>
                <w:color w:val="000000"/>
                <w:sz w:val="24"/>
                <w:szCs w:val="24"/>
              </w:rPr>
              <w:t>污染物项目</w:t>
            </w:r>
          </w:p>
        </w:tc>
        <w:tc>
          <w:tcPr>
            <w:tcW w:w="2604" w:type="dxa"/>
            <w:vAlign w:val="center"/>
          </w:tcPr>
          <w:p w14:paraId="65DC3E33">
            <w:pPr>
              <w:pStyle w:val="8"/>
              <w:spacing w:before="0" w:after="0" w:line="240" w:lineRule="auto"/>
              <w:ind w:right="0"/>
              <w:jc w:val="center"/>
              <w:rPr>
                <w:b/>
                <w:color w:val="000000"/>
                <w:sz w:val="24"/>
                <w:szCs w:val="24"/>
              </w:rPr>
            </w:pPr>
            <w:r>
              <w:rPr>
                <w:b/>
                <w:color w:val="000000"/>
                <w:sz w:val="24"/>
                <w:szCs w:val="24"/>
              </w:rPr>
              <w:t>环境保护措施</w:t>
            </w:r>
          </w:p>
        </w:tc>
        <w:tc>
          <w:tcPr>
            <w:tcW w:w="2140" w:type="dxa"/>
            <w:vAlign w:val="center"/>
          </w:tcPr>
          <w:p w14:paraId="4D4B240F">
            <w:pPr>
              <w:pStyle w:val="8"/>
              <w:spacing w:before="0" w:after="0" w:line="240" w:lineRule="auto"/>
              <w:ind w:right="0"/>
              <w:jc w:val="center"/>
              <w:rPr>
                <w:b/>
                <w:color w:val="000000"/>
                <w:sz w:val="24"/>
                <w:szCs w:val="24"/>
              </w:rPr>
            </w:pPr>
            <w:r>
              <w:rPr>
                <w:b/>
                <w:color w:val="000000"/>
                <w:sz w:val="24"/>
                <w:szCs w:val="24"/>
              </w:rPr>
              <w:t>执行标准</w:t>
            </w:r>
          </w:p>
        </w:tc>
      </w:tr>
      <w:tr w14:paraId="1B102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825" w:type="dxa"/>
            <w:vMerge w:val="restart"/>
            <w:vAlign w:val="center"/>
          </w:tcPr>
          <w:p w14:paraId="366F586E">
            <w:pPr>
              <w:jc w:val="center"/>
              <w:rPr>
                <w:bCs/>
                <w:color w:val="000000"/>
                <w:sz w:val="24"/>
              </w:rPr>
            </w:pPr>
            <w:r>
              <w:rPr>
                <w:bCs/>
                <w:color w:val="000000"/>
                <w:sz w:val="24"/>
              </w:rPr>
              <w:t>大气污染</w:t>
            </w:r>
          </w:p>
          <w:p w14:paraId="68A04734">
            <w:pPr>
              <w:jc w:val="center"/>
              <w:rPr>
                <w:bCs/>
                <w:color w:val="000000"/>
                <w:sz w:val="24"/>
              </w:rPr>
            </w:pPr>
            <w:r>
              <w:rPr>
                <w:bCs/>
                <w:color w:val="000000"/>
                <w:sz w:val="24"/>
              </w:rPr>
              <w:t>物</w:t>
            </w:r>
          </w:p>
        </w:tc>
        <w:tc>
          <w:tcPr>
            <w:tcW w:w="1320" w:type="dxa"/>
            <w:vAlign w:val="center"/>
          </w:tcPr>
          <w:p w14:paraId="67D88E86">
            <w:pPr>
              <w:pStyle w:val="32"/>
              <w:rPr>
                <w:color w:val="000000"/>
                <w:kern w:val="24"/>
                <w:sz w:val="24"/>
                <w:szCs w:val="24"/>
              </w:rPr>
            </w:pPr>
            <w:r>
              <w:rPr>
                <w:rFonts w:hint="eastAsia"/>
                <w:color w:val="000000"/>
                <w:kern w:val="24"/>
                <w:sz w:val="24"/>
                <w:szCs w:val="24"/>
              </w:rPr>
              <w:t>筛分粉尘</w:t>
            </w:r>
          </w:p>
        </w:tc>
        <w:tc>
          <w:tcPr>
            <w:tcW w:w="2580" w:type="dxa"/>
            <w:gridSpan w:val="2"/>
            <w:vAlign w:val="center"/>
          </w:tcPr>
          <w:p w14:paraId="79E09573">
            <w:pPr>
              <w:autoSpaceDE w:val="0"/>
              <w:autoSpaceDN w:val="0"/>
              <w:jc w:val="center"/>
              <w:rPr>
                <w:color w:val="000000"/>
                <w:sz w:val="24"/>
              </w:rPr>
            </w:pPr>
            <w:r>
              <w:rPr>
                <w:rFonts w:hint="eastAsia"/>
                <w:color w:val="000000"/>
                <w:sz w:val="24"/>
              </w:rPr>
              <w:t>颗粒物</w:t>
            </w:r>
          </w:p>
        </w:tc>
        <w:tc>
          <w:tcPr>
            <w:tcW w:w="2604" w:type="dxa"/>
            <w:vAlign w:val="center"/>
          </w:tcPr>
          <w:p w14:paraId="37D256C3">
            <w:pPr>
              <w:autoSpaceDE w:val="0"/>
              <w:autoSpaceDN w:val="0"/>
              <w:jc w:val="center"/>
              <w:rPr>
                <w:color w:val="000000"/>
                <w:sz w:val="24"/>
              </w:rPr>
            </w:pPr>
            <w:r>
              <w:rPr>
                <w:rFonts w:hint="eastAsia"/>
                <w:color w:val="000000"/>
                <w:sz w:val="24"/>
              </w:rPr>
              <w:t>密闭收集+脉冲除尘器（TA001）+</w:t>
            </w:r>
            <w:r>
              <w:rPr>
                <w:color w:val="000000"/>
                <w:sz w:val="24"/>
              </w:rPr>
              <w:t>15m高排气筒（DA00</w:t>
            </w:r>
            <w:r>
              <w:rPr>
                <w:rFonts w:hint="eastAsia"/>
                <w:color w:val="000000"/>
                <w:sz w:val="24"/>
              </w:rPr>
              <w:t>1</w:t>
            </w:r>
            <w:r>
              <w:rPr>
                <w:color w:val="000000"/>
                <w:sz w:val="24"/>
              </w:rPr>
              <w:t>）</w:t>
            </w:r>
          </w:p>
        </w:tc>
        <w:tc>
          <w:tcPr>
            <w:tcW w:w="2140" w:type="dxa"/>
            <w:vMerge w:val="restart"/>
            <w:vAlign w:val="center"/>
          </w:tcPr>
          <w:p w14:paraId="1B574598">
            <w:pPr>
              <w:pStyle w:val="2"/>
              <w:keepNext w:val="0"/>
              <w:overflowPunct/>
              <w:spacing w:before="0" w:after="0" w:line="240" w:lineRule="auto"/>
              <w:ind w:left="0" w:firstLine="0"/>
              <w:jc w:val="center"/>
              <w:rPr>
                <w:rFonts w:eastAsia="宋体"/>
                <w:b w:val="0"/>
                <w:sz w:val="24"/>
                <w:szCs w:val="24"/>
              </w:rPr>
            </w:pPr>
            <w:r>
              <w:rPr>
                <w:rFonts w:eastAsia="宋体"/>
                <w:b w:val="0"/>
                <w:sz w:val="24"/>
                <w:szCs w:val="24"/>
              </w:rPr>
              <w:t>《大气污染物综合排放标准》（GB16297-1996）表2中二级标准及无组织监控浓度限值</w:t>
            </w:r>
            <w:r>
              <w:rPr>
                <w:rFonts w:hint="eastAsia" w:eastAsia="宋体"/>
                <w:b w:val="0"/>
                <w:sz w:val="24"/>
                <w:szCs w:val="24"/>
              </w:rPr>
              <w:t>；</w:t>
            </w:r>
          </w:p>
          <w:p w14:paraId="7E158805">
            <w:pPr>
              <w:pStyle w:val="2"/>
              <w:keepNext w:val="0"/>
              <w:overflowPunct/>
              <w:spacing w:before="0" w:after="0" w:line="240" w:lineRule="auto"/>
              <w:ind w:left="0" w:firstLine="0"/>
              <w:jc w:val="center"/>
              <w:rPr>
                <w:rFonts w:eastAsia="宋体"/>
                <w:b w:val="0"/>
                <w:sz w:val="24"/>
                <w:szCs w:val="24"/>
              </w:rPr>
            </w:pPr>
          </w:p>
        </w:tc>
      </w:tr>
      <w:tr w14:paraId="37FB9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25" w:type="dxa"/>
            <w:vMerge w:val="continue"/>
            <w:vAlign w:val="center"/>
          </w:tcPr>
          <w:p w14:paraId="28C87835">
            <w:pPr>
              <w:jc w:val="center"/>
              <w:rPr>
                <w:bCs/>
                <w:color w:val="000000"/>
                <w:sz w:val="24"/>
              </w:rPr>
            </w:pPr>
          </w:p>
        </w:tc>
        <w:tc>
          <w:tcPr>
            <w:tcW w:w="1320" w:type="dxa"/>
            <w:vAlign w:val="center"/>
          </w:tcPr>
          <w:p w14:paraId="072EFED4">
            <w:pPr>
              <w:pStyle w:val="32"/>
              <w:rPr>
                <w:rFonts w:hint="default" w:eastAsia="宋体"/>
                <w:color w:val="000000"/>
                <w:kern w:val="24"/>
                <w:sz w:val="24"/>
                <w:szCs w:val="24"/>
                <w:lang w:val="en-US" w:eastAsia="zh-CN"/>
              </w:rPr>
            </w:pPr>
            <w:r>
              <w:rPr>
                <w:rFonts w:hint="eastAsia"/>
                <w:color w:val="000000"/>
                <w:kern w:val="24"/>
                <w:sz w:val="24"/>
                <w:szCs w:val="24"/>
                <w:lang w:val="en-US" w:eastAsia="zh-CN"/>
              </w:rPr>
              <w:t>卸料粉尘</w:t>
            </w:r>
          </w:p>
        </w:tc>
        <w:tc>
          <w:tcPr>
            <w:tcW w:w="2580" w:type="dxa"/>
            <w:gridSpan w:val="2"/>
            <w:vAlign w:val="center"/>
          </w:tcPr>
          <w:p w14:paraId="775ADB4E">
            <w:pPr>
              <w:autoSpaceDE w:val="0"/>
              <w:autoSpaceDN w:val="0"/>
              <w:jc w:val="center"/>
              <w:rPr>
                <w:rFonts w:hint="eastAsia"/>
                <w:color w:val="000000"/>
                <w:sz w:val="24"/>
              </w:rPr>
            </w:pPr>
            <w:r>
              <w:rPr>
                <w:rFonts w:hint="eastAsia"/>
                <w:color w:val="000000"/>
                <w:sz w:val="24"/>
              </w:rPr>
              <w:t>颗粒物</w:t>
            </w:r>
          </w:p>
        </w:tc>
        <w:tc>
          <w:tcPr>
            <w:tcW w:w="2604" w:type="dxa"/>
            <w:vAlign w:val="center"/>
          </w:tcPr>
          <w:p w14:paraId="659C1991">
            <w:pPr>
              <w:autoSpaceDE w:val="0"/>
              <w:autoSpaceDN w:val="0"/>
              <w:jc w:val="center"/>
              <w:rPr>
                <w:rFonts w:hint="eastAsia"/>
                <w:color w:val="000000"/>
                <w:sz w:val="24"/>
              </w:rPr>
            </w:pPr>
            <w:r>
              <w:rPr>
                <w:rFonts w:hint="eastAsia"/>
                <w:color w:val="000000"/>
                <w:sz w:val="24"/>
              </w:rPr>
              <w:t>集气罩收集+布袋除尘器（TA002）+</w:t>
            </w:r>
            <w:r>
              <w:rPr>
                <w:rFonts w:hint="eastAsia"/>
                <w:color w:val="000000"/>
                <w:sz w:val="24"/>
                <w:lang w:val="en-US" w:eastAsia="zh-CN"/>
              </w:rPr>
              <w:t>15</w:t>
            </w:r>
            <w:r>
              <w:rPr>
                <w:rFonts w:hint="eastAsia"/>
                <w:color w:val="000000"/>
                <w:sz w:val="24"/>
              </w:rPr>
              <w:t>m高排气筒（DA002）</w:t>
            </w:r>
          </w:p>
        </w:tc>
        <w:tc>
          <w:tcPr>
            <w:tcW w:w="2140" w:type="dxa"/>
            <w:vMerge w:val="continue"/>
            <w:vAlign w:val="center"/>
          </w:tcPr>
          <w:p w14:paraId="49F729F4">
            <w:pPr>
              <w:pStyle w:val="2"/>
              <w:keepNext w:val="0"/>
              <w:overflowPunct/>
              <w:spacing w:before="0" w:after="0" w:line="240" w:lineRule="auto"/>
              <w:ind w:left="0" w:firstLine="0"/>
              <w:jc w:val="center"/>
              <w:rPr>
                <w:rFonts w:hint="eastAsia" w:eastAsia="宋体"/>
                <w:b w:val="0"/>
                <w:sz w:val="24"/>
                <w:szCs w:val="24"/>
              </w:rPr>
            </w:pPr>
          </w:p>
        </w:tc>
      </w:tr>
      <w:tr w14:paraId="0B7D2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825" w:type="dxa"/>
            <w:vMerge w:val="continue"/>
            <w:vAlign w:val="center"/>
          </w:tcPr>
          <w:p w14:paraId="415855A4">
            <w:pPr>
              <w:jc w:val="center"/>
              <w:rPr>
                <w:bCs/>
                <w:color w:val="000000"/>
                <w:sz w:val="24"/>
              </w:rPr>
            </w:pPr>
          </w:p>
        </w:tc>
        <w:tc>
          <w:tcPr>
            <w:tcW w:w="1320" w:type="dxa"/>
            <w:vAlign w:val="center"/>
          </w:tcPr>
          <w:p w14:paraId="7BD98C02">
            <w:pPr>
              <w:pStyle w:val="32"/>
              <w:rPr>
                <w:color w:val="000000"/>
                <w:kern w:val="24"/>
                <w:sz w:val="24"/>
                <w:szCs w:val="24"/>
              </w:rPr>
            </w:pPr>
            <w:r>
              <w:rPr>
                <w:rFonts w:hint="eastAsia"/>
                <w:color w:val="000000"/>
                <w:kern w:val="24"/>
                <w:sz w:val="24"/>
                <w:szCs w:val="24"/>
                <w:lang w:val="en-US" w:eastAsia="zh-CN"/>
              </w:rPr>
              <w:t>烘干</w:t>
            </w:r>
            <w:r>
              <w:rPr>
                <w:rFonts w:hint="eastAsia"/>
                <w:color w:val="000000"/>
                <w:kern w:val="24"/>
                <w:sz w:val="24"/>
                <w:szCs w:val="24"/>
              </w:rPr>
              <w:t>粉尘</w:t>
            </w:r>
          </w:p>
        </w:tc>
        <w:tc>
          <w:tcPr>
            <w:tcW w:w="2580" w:type="dxa"/>
            <w:gridSpan w:val="2"/>
            <w:vAlign w:val="center"/>
          </w:tcPr>
          <w:p w14:paraId="63DD29D3">
            <w:pPr>
              <w:autoSpaceDE w:val="0"/>
              <w:autoSpaceDN w:val="0"/>
              <w:jc w:val="center"/>
              <w:rPr>
                <w:color w:val="000000"/>
                <w:sz w:val="24"/>
              </w:rPr>
            </w:pPr>
            <w:r>
              <w:rPr>
                <w:rFonts w:hint="eastAsia"/>
                <w:color w:val="000000"/>
                <w:sz w:val="24"/>
              </w:rPr>
              <w:t>颗粒物</w:t>
            </w:r>
          </w:p>
        </w:tc>
        <w:tc>
          <w:tcPr>
            <w:tcW w:w="2604" w:type="dxa"/>
            <w:vAlign w:val="center"/>
          </w:tcPr>
          <w:p w14:paraId="4953E433">
            <w:pPr>
              <w:autoSpaceDE w:val="0"/>
              <w:autoSpaceDN w:val="0"/>
              <w:jc w:val="center"/>
              <w:rPr>
                <w:color w:val="000000"/>
                <w:sz w:val="24"/>
              </w:rPr>
            </w:pPr>
            <w:r>
              <w:rPr>
                <w:rFonts w:hint="eastAsia"/>
                <w:color w:val="000000"/>
                <w:sz w:val="24"/>
              </w:rPr>
              <w:t>布袋除尘器（TA00</w:t>
            </w:r>
            <w:r>
              <w:rPr>
                <w:rFonts w:hint="eastAsia"/>
                <w:color w:val="000000"/>
                <w:sz w:val="24"/>
                <w:lang w:val="en-US" w:eastAsia="zh-CN"/>
              </w:rPr>
              <w:t>4</w:t>
            </w:r>
            <w:r>
              <w:rPr>
                <w:rFonts w:hint="eastAsia"/>
                <w:color w:val="000000"/>
                <w:sz w:val="24"/>
              </w:rPr>
              <w:t>）+</w:t>
            </w:r>
            <w:r>
              <w:rPr>
                <w:rFonts w:hint="eastAsia"/>
                <w:color w:val="000000"/>
                <w:sz w:val="24"/>
                <w:lang w:val="en-US" w:eastAsia="zh-CN"/>
              </w:rPr>
              <w:t>15</w:t>
            </w:r>
            <w:r>
              <w:rPr>
                <w:rFonts w:hint="eastAsia"/>
                <w:color w:val="000000"/>
                <w:sz w:val="24"/>
              </w:rPr>
              <w:t>m高排气筒（DA00</w:t>
            </w:r>
            <w:r>
              <w:rPr>
                <w:rFonts w:hint="eastAsia"/>
                <w:color w:val="000000"/>
                <w:sz w:val="24"/>
                <w:lang w:val="en-US" w:eastAsia="zh-CN"/>
              </w:rPr>
              <w:t>4</w:t>
            </w:r>
            <w:r>
              <w:rPr>
                <w:rFonts w:hint="eastAsia"/>
                <w:color w:val="000000"/>
                <w:sz w:val="24"/>
              </w:rPr>
              <w:t>）</w:t>
            </w:r>
          </w:p>
        </w:tc>
        <w:tc>
          <w:tcPr>
            <w:tcW w:w="2140" w:type="dxa"/>
            <w:vMerge w:val="continue"/>
            <w:vAlign w:val="center"/>
          </w:tcPr>
          <w:p w14:paraId="60933C4C">
            <w:pPr>
              <w:pStyle w:val="2"/>
              <w:keepNext w:val="0"/>
              <w:overflowPunct/>
              <w:spacing w:before="0" w:after="0" w:line="240" w:lineRule="auto"/>
              <w:ind w:left="0" w:firstLine="0"/>
              <w:jc w:val="center"/>
              <w:rPr>
                <w:rFonts w:eastAsia="宋体"/>
                <w:b w:val="0"/>
                <w:sz w:val="24"/>
                <w:szCs w:val="24"/>
              </w:rPr>
            </w:pPr>
          </w:p>
        </w:tc>
      </w:tr>
      <w:tr w14:paraId="7ACD1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5" w:type="dxa"/>
            <w:vMerge w:val="continue"/>
            <w:vAlign w:val="center"/>
          </w:tcPr>
          <w:p w14:paraId="5AF0E3A2">
            <w:pPr>
              <w:jc w:val="center"/>
              <w:rPr>
                <w:bCs/>
                <w:color w:val="000000"/>
                <w:sz w:val="24"/>
              </w:rPr>
            </w:pPr>
          </w:p>
        </w:tc>
        <w:tc>
          <w:tcPr>
            <w:tcW w:w="1320" w:type="dxa"/>
            <w:vAlign w:val="center"/>
          </w:tcPr>
          <w:p w14:paraId="66599B96">
            <w:pPr>
              <w:pStyle w:val="32"/>
              <w:rPr>
                <w:color w:val="000000"/>
                <w:kern w:val="24"/>
                <w:sz w:val="24"/>
                <w:szCs w:val="24"/>
              </w:rPr>
            </w:pPr>
            <w:r>
              <w:rPr>
                <w:rFonts w:hint="eastAsia"/>
                <w:color w:val="000000"/>
                <w:kern w:val="24"/>
                <w:sz w:val="24"/>
                <w:szCs w:val="24"/>
              </w:rPr>
              <w:t>生物质热风炉废气</w:t>
            </w:r>
          </w:p>
        </w:tc>
        <w:tc>
          <w:tcPr>
            <w:tcW w:w="960" w:type="dxa"/>
            <w:vAlign w:val="center"/>
          </w:tcPr>
          <w:p w14:paraId="16B2AC40">
            <w:pPr>
              <w:autoSpaceDE w:val="0"/>
              <w:autoSpaceDN w:val="0"/>
              <w:jc w:val="center"/>
              <w:rPr>
                <w:color w:val="000000"/>
                <w:sz w:val="24"/>
              </w:rPr>
            </w:pPr>
            <w:r>
              <w:rPr>
                <w:rFonts w:hint="eastAsia"/>
                <w:color w:val="000000"/>
                <w:sz w:val="24"/>
              </w:rPr>
              <w:t>颗粒物SO</w:t>
            </w:r>
            <w:r>
              <w:rPr>
                <w:rFonts w:hint="eastAsia"/>
                <w:color w:val="000000"/>
                <w:sz w:val="24"/>
                <w:vertAlign w:val="subscript"/>
              </w:rPr>
              <w:t>2</w:t>
            </w:r>
            <w:r>
              <w:rPr>
                <w:rFonts w:hint="eastAsia"/>
                <w:color w:val="000000"/>
                <w:sz w:val="24"/>
              </w:rPr>
              <w:t>、NOx、</w:t>
            </w:r>
          </w:p>
        </w:tc>
        <w:tc>
          <w:tcPr>
            <w:tcW w:w="1620" w:type="dxa"/>
            <w:vAlign w:val="center"/>
          </w:tcPr>
          <w:p w14:paraId="5F734CB9">
            <w:pPr>
              <w:autoSpaceDE w:val="0"/>
              <w:autoSpaceDN w:val="0"/>
              <w:jc w:val="center"/>
              <w:rPr>
                <w:rFonts w:hint="default" w:eastAsia="宋体"/>
                <w:color w:val="000000"/>
                <w:sz w:val="24"/>
                <w:lang w:val="en-US" w:eastAsia="zh-CN"/>
              </w:rPr>
            </w:pPr>
            <w:r>
              <w:rPr>
                <w:rFonts w:hint="eastAsia"/>
                <w:color w:val="000000"/>
                <w:sz w:val="24"/>
                <w:lang w:val="en-US" w:eastAsia="zh-CN"/>
              </w:rPr>
              <w:t>低氮燃烧技术，燃烧废气采取</w:t>
            </w:r>
          </w:p>
        </w:tc>
        <w:tc>
          <w:tcPr>
            <w:tcW w:w="2604" w:type="dxa"/>
            <w:vAlign w:val="center"/>
          </w:tcPr>
          <w:p w14:paraId="1EE82360">
            <w:pPr>
              <w:autoSpaceDE w:val="0"/>
              <w:autoSpaceDN w:val="0"/>
              <w:jc w:val="center"/>
              <w:rPr>
                <w:color w:val="000000"/>
                <w:sz w:val="24"/>
              </w:rPr>
            </w:pPr>
            <w:r>
              <w:rPr>
                <w:rFonts w:hint="eastAsia"/>
                <w:color w:val="000000"/>
                <w:sz w:val="24"/>
              </w:rPr>
              <w:t>布袋除尘器（TA00</w:t>
            </w:r>
            <w:r>
              <w:rPr>
                <w:rFonts w:hint="eastAsia"/>
                <w:color w:val="000000"/>
                <w:sz w:val="24"/>
                <w:lang w:val="en-US" w:eastAsia="zh-CN"/>
              </w:rPr>
              <w:t>3</w:t>
            </w:r>
            <w:r>
              <w:rPr>
                <w:rFonts w:hint="eastAsia"/>
                <w:color w:val="000000"/>
                <w:sz w:val="24"/>
              </w:rPr>
              <w:t>）+40m高排气筒（DA00</w:t>
            </w:r>
            <w:r>
              <w:rPr>
                <w:rFonts w:hint="eastAsia"/>
                <w:color w:val="000000"/>
                <w:sz w:val="24"/>
                <w:lang w:val="en-US" w:eastAsia="zh-CN"/>
              </w:rPr>
              <w:t>3</w:t>
            </w:r>
            <w:r>
              <w:rPr>
                <w:rFonts w:hint="eastAsia"/>
                <w:color w:val="000000"/>
                <w:sz w:val="24"/>
              </w:rPr>
              <w:t>）</w:t>
            </w:r>
          </w:p>
        </w:tc>
        <w:tc>
          <w:tcPr>
            <w:tcW w:w="2140" w:type="dxa"/>
            <w:vAlign w:val="center"/>
          </w:tcPr>
          <w:p w14:paraId="52D2C49A">
            <w:pPr>
              <w:pStyle w:val="2"/>
              <w:keepNext w:val="0"/>
              <w:overflowPunct/>
              <w:spacing w:before="0" w:after="0" w:line="240" w:lineRule="auto"/>
              <w:ind w:left="0" w:firstLine="0"/>
              <w:jc w:val="center"/>
              <w:rPr>
                <w:rFonts w:eastAsia="宋体"/>
                <w:b w:val="0"/>
                <w:sz w:val="24"/>
                <w:szCs w:val="24"/>
              </w:rPr>
            </w:pPr>
            <w:r>
              <w:rPr>
                <w:rFonts w:hint="eastAsia" w:eastAsia="宋体"/>
                <w:b w:val="0"/>
                <w:sz w:val="24"/>
                <w:szCs w:val="24"/>
              </w:rPr>
              <w:t>执行</w:t>
            </w:r>
            <w:r>
              <w:rPr>
                <w:rFonts w:eastAsia="宋体"/>
                <w:b w:val="0"/>
                <w:sz w:val="24"/>
                <w:szCs w:val="24"/>
              </w:rPr>
              <w:t>《</w:t>
            </w:r>
            <w:r>
              <w:rPr>
                <w:rFonts w:hint="eastAsia" w:eastAsia="宋体"/>
                <w:b w:val="0"/>
                <w:sz w:val="24"/>
                <w:szCs w:val="24"/>
              </w:rPr>
              <w:t>锅炉大气</w:t>
            </w:r>
            <w:r>
              <w:rPr>
                <w:rFonts w:eastAsia="宋体"/>
                <w:b w:val="0"/>
                <w:sz w:val="24"/>
                <w:szCs w:val="24"/>
              </w:rPr>
              <w:t>污染物排放标准》（GB13271-2014）表</w:t>
            </w:r>
            <w:r>
              <w:rPr>
                <w:rFonts w:hint="eastAsia" w:eastAsia="宋体"/>
                <w:b w:val="0"/>
                <w:sz w:val="24"/>
                <w:szCs w:val="24"/>
              </w:rPr>
              <w:t>3大气污染物特别排放标准</w:t>
            </w:r>
          </w:p>
        </w:tc>
      </w:tr>
      <w:tr w14:paraId="7E274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825" w:type="dxa"/>
            <w:vAlign w:val="center"/>
          </w:tcPr>
          <w:p w14:paraId="29C6F701">
            <w:pPr>
              <w:jc w:val="center"/>
              <w:outlineLvl w:val="0"/>
              <w:rPr>
                <w:bCs/>
                <w:color w:val="000000"/>
                <w:sz w:val="24"/>
              </w:rPr>
            </w:pPr>
            <w:r>
              <w:rPr>
                <w:bCs/>
                <w:color w:val="000000"/>
                <w:sz w:val="24"/>
              </w:rPr>
              <w:t>水污染物</w:t>
            </w:r>
          </w:p>
        </w:tc>
        <w:tc>
          <w:tcPr>
            <w:tcW w:w="1320" w:type="dxa"/>
            <w:vAlign w:val="center"/>
          </w:tcPr>
          <w:p w14:paraId="50FEB0B6">
            <w:pPr>
              <w:jc w:val="center"/>
              <w:outlineLvl w:val="0"/>
              <w:rPr>
                <w:color w:val="000000"/>
                <w:sz w:val="24"/>
              </w:rPr>
            </w:pPr>
            <w:r>
              <w:rPr>
                <w:rFonts w:hint="eastAsia"/>
                <w:color w:val="000000"/>
                <w:sz w:val="24"/>
              </w:rPr>
              <w:t>生活污水</w:t>
            </w:r>
          </w:p>
        </w:tc>
        <w:tc>
          <w:tcPr>
            <w:tcW w:w="2580" w:type="dxa"/>
            <w:gridSpan w:val="2"/>
            <w:vAlign w:val="center"/>
          </w:tcPr>
          <w:p w14:paraId="55CE1DAB">
            <w:pPr>
              <w:jc w:val="center"/>
              <w:outlineLvl w:val="0"/>
              <w:rPr>
                <w:color w:val="000000"/>
                <w:sz w:val="24"/>
              </w:rPr>
            </w:pPr>
            <w:r>
              <w:rPr>
                <w:color w:val="000000"/>
                <w:sz w:val="24"/>
              </w:rPr>
              <w:t>pH、COD、BOD</w:t>
            </w:r>
            <w:r>
              <w:rPr>
                <w:color w:val="000000"/>
                <w:sz w:val="24"/>
                <w:vertAlign w:val="subscript"/>
              </w:rPr>
              <w:t>5</w:t>
            </w:r>
            <w:r>
              <w:rPr>
                <w:color w:val="000000"/>
                <w:sz w:val="24"/>
              </w:rPr>
              <w:t>、NH</w:t>
            </w:r>
            <w:r>
              <w:rPr>
                <w:color w:val="000000"/>
                <w:sz w:val="24"/>
                <w:vertAlign w:val="subscript"/>
              </w:rPr>
              <w:t>3</w:t>
            </w:r>
            <w:r>
              <w:rPr>
                <w:color w:val="000000"/>
                <w:sz w:val="24"/>
              </w:rPr>
              <w:t>、SS</w:t>
            </w:r>
          </w:p>
        </w:tc>
        <w:tc>
          <w:tcPr>
            <w:tcW w:w="2604" w:type="dxa"/>
            <w:vAlign w:val="center"/>
          </w:tcPr>
          <w:p w14:paraId="5F550402">
            <w:pPr>
              <w:jc w:val="center"/>
              <w:outlineLvl w:val="0"/>
              <w:rPr>
                <w:color w:val="000000"/>
                <w:sz w:val="24"/>
              </w:rPr>
            </w:pPr>
            <w:r>
              <w:rPr>
                <w:color w:val="000000"/>
                <w:sz w:val="24"/>
              </w:rPr>
              <w:t>生活污水经化粪池预处理后</w:t>
            </w:r>
            <w:r>
              <w:rPr>
                <w:rFonts w:hint="eastAsia"/>
                <w:color w:val="000000"/>
                <w:sz w:val="24"/>
              </w:rPr>
              <w:t>定期清掏用于农田施肥，不外排</w:t>
            </w:r>
          </w:p>
        </w:tc>
        <w:tc>
          <w:tcPr>
            <w:tcW w:w="2140" w:type="dxa"/>
            <w:vAlign w:val="center"/>
          </w:tcPr>
          <w:p w14:paraId="5B87A73A">
            <w:pPr>
              <w:jc w:val="center"/>
              <w:outlineLvl w:val="0"/>
              <w:rPr>
                <w:color w:val="000000"/>
                <w:sz w:val="24"/>
                <w:lang w:bidi="ar"/>
              </w:rPr>
            </w:pPr>
            <w:r>
              <w:rPr>
                <w:rFonts w:hint="eastAsia"/>
                <w:color w:val="000000"/>
                <w:sz w:val="24"/>
              </w:rPr>
              <w:t>/</w:t>
            </w:r>
          </w:p>
        </w:tc>
      </w:tr>
      <w:tr w14:paraId="2D6D2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825" w:type="dxa"/>
            <w:vAlign w:val="center"/>
          </w:tcPr>
          <w:p w14:paraId="4414DD3E">
            <w:pPr>
              <w:jc w:val="center"/>
              <w:outlineLvl w:val="0"/>
              <w:rPr>
                <w:bCs/>
                <w:color w:val="000000"/>
                <w:sz w:val="24"/>
              </w:rPr>
            </w:pPr>
            <w:r>
              <w:rPr>
                <w:bCs/>
                <w:color w:val="000000"/>
                <w:sz w:val="24"/>
              </w:rPr>
              <w:t>声环境</w:t>
            </w:r>
          </w:p>
        </w:tc>
        <w:tc>
          <w:tcPr>
            <w:tcW w:w="1320" w:type="dxa"/>
            <w:vAlign w:val="center"/>
          </w:tcPr>
          <w:p w14:paraId="6F787AD9">
            <w:pPr>
              <w:jc w:val="center"/>
              <w:outlineLvl w:val="0"/>
              <w:rPr>
                <w:color w:val="000000"/>
                <w:sz w:val="24"/>
              </w:rPr>
            </w:pPr>
            <w:r>
              <w:rPr>
                <w:color w:val="000000"/>
                <w:sz w:val="24"/>
              </w:rPr>
              <w:t>生产设备</w:t>
            </w:r>
          </w:p>
        </w:tc>
        <w:tc>
          <w:tcPr>
            <w:tcW w:w="2580" w:type="dxa"/>
            <w:gridSpan w:val="2"/>
            <w:vAlign w:val="center"/>
          </w:tcPr>
          <w:p w14:paraId="7C0DC32D">
            <w:pPr>
              <w:jc w:val="center"/>
              <w:outlineLvl w:val="0"/>
              <w:rPr>
                <w:color w:val="000000"/>
                <w:sz w:val="24"/>
              </w:rPr>
            </w:pPr>
            <w:r>
              <w:rPr>
                <w:color w:val="000000"/>
                <w:sz w:val="24"/>
              </w:rPr>
              <w:t>设备噪声</w:t>
            </w:r>
          </w:p>
        </w:tc>
        <w:tc>
          <w:tcPr>
            <w:tcW w:w="2604" w:type="dxa"/>
            <w:vAlign w:val="center"/>
          </w:tcPr>
          <w:p w14:paraId="3705885D">
            <w:pPr>
              <w:jc w:val="center"/>
              <w:outlineLvl w:val="0"/>
              <w:rPr>
                <w:color w:val="000000"/>
                <w:sz w:val="24"/>
              </w:rPr>
            </w:pPr>
            <w:r>
              <w:rPr>
                <w:color w:val="000000"/>
                <w:sz w:val="24"/>
              </w:rPr>
              <w:t>生产车间内噪声源经生产车间隔声及距离衰减，随时进行检修，使其保持正常的工作状态</w:t>
            </w:r>
          </w:p>
        </w:tc>
        <w:tc>
          <w:tcPr>
            <w:tcW w:w="2140" w:type="dxa"/>
            <w:vAlign w:val="center"/>
          </w:tcPr>
          <w:p w14:paraId="6A4D2ABB">
            <w:pPr>
              <w:jc w:val="center"/>
              <w:outlineLvl w:val="0"/>
              <w:rPr>
                <w:color w:val="000000"/>
                <w:sz w:val="24"/>
              </w:rPr>
            </w:pPr>
            <w:r>
              <w:rPr>
                <w:color w:val="000000"/>
                <w:sz w:val="24"/>
              </w:rPr>
              <w:t>满足《工业企业厂界环境噪声排放标准》（GB12348-2008）中</w:t>
            </w:r>
            <w:r>
              <w:rPr>
                <w:rFonts w:hint="eastAsia"/>
                <w:color w:val="000000"/>
                <w:sz w:val="24"/>
              </w:rPr>
              <w:t>2</w:t>
            </w:r>
            <w:r>
              <w:rPr>
                <w:color w:val="000000"/>
                <w:sz w:val="24"/>
              </w:rPr>
              <w:t>类标准</w:t>
            </w:r>
          </w:p>
        </w:tc>
      </w:tr>
      <w:tr w14:paraId="1A83C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825" w:type="dxa"/>
            <w:vAlign w:val="center"/>
          </w:tcPr>
          <w:p w14:paraId="4F25958F">
            <w:pPr>
              <w:jc w:val="center"/>
              <w:outlineLvl w:val="0"/>
              <w:rPr>
                <w:bCs/>
                <w:color w:val="000000"/>
                <w:sz w:val="24"/>
              </w:rPr>
            </w:pPr>
            <w:r>
              <w:rPr>
                <w:bCs/>
                <w:color w:val="000000"/>
                <w:sz w:val="24"/>
              </w:rPr>
              <w:t>固体废物</w:t>
            </w:r>
          </w:p>
        </w:tc>
        <w:tc>
          <w:tcPr>
            <w:tcW w:w="8644" w:type="dxa"/>
            <w:gridSpan w:val="5"/>
            <w:vAlign w:val="center"/>
          </w:tcPr>
          <w:p w14:paraId="6FE76111">
            <w:pPr>
              <w:spacing w:line="360" w:lineRule="auto"/>
              <w:ind w:firstLine="480" w:firstLineChars="200"/>
              <w:jc w:val="left"/>
              <w:outlineLvl w:val="0"/>
              <w:rPr>
                <w:color w:val="000000"/>
                <w:sz w:val="24"/>
              </w:rPr>
            </w:pPr>
            <w:r>
              <w:rPr>
                <w:rFonts w:hint="eastAsia"/>
                <w:color w:val="000000"/>
                <w:sz w:val="24"/>
              </w:rPr>
              <w:t>粮食杂质</w:t>
            </w:r>
            <w:r>
              <w:rPr>
                <w:color w:val="000000"/>
                <w:sz w:val="24"/>
              </w:rPr>
              <w:t>集中收集后外售；</w:t>
            </w:r>
            <w:r>
              <w:rPr>
                <w:rFonts w:hint="eastAsia"/>
                <w:color w:val="000000"/>
                <w:sz w:val="24"/>
              </w:rPr>
              <w:t>收集灰</w:t>
            </w:r>
            <w:r>
              <w:rPr>
                <w:rFonts w:hint="eastAsia"/>
                <w:color w:val="000000"/>
                <w:sz w:val="24"/>
                <w:lang w:eastAsia="zh-CN"/>
              </w:rPr>
              <w:t>、</w:t>
            </w:r>
            <w:r>
              <w:rPr>
                <w:rFonts w:hint="eastAsia"/>
                <w:color w:val="000000"/>
                <w:sz w:val="24"/>
                <w:lang w:val="en-US" w:eastAsia="zh-CN"/>
              </w:rPr>
              <w:t>灰渣</w:t>
            </w:r>
            <w:r>
              <w:rPr>
                <w:rFonts w:hint="eastAsia"/>
                <w:color w:val="000000"/>
                <w:sz w:val="24"/>
              </w:rPr>
              <w:t>集中收集后统一清运处理；</w:t>
            </w:r>
            <w:r>
              <w:rPr>
                <w:color w:val="000000"/>
                <w:sz w:val="24"/>
              </w:rPr>
              <w:t>生活垃圾交由环卫部门统一清运。</w:t>
            </w:r>
          </w:p>
        </w:tc>
      </w:tr>
      <w:tr w14:paraId="08C9E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jc w:val="center"/>
        </w:trPr>
        <w:tc>
          <w:tcPr>
            <w:tcW w:w="825" w:type="dxa"/>
            <w:vAlign w:val="center"/>
          </w:tcPr>
          <w:p w14:paraId="4D445AD0">
            <w:pPr>
              <w:jc w:val="center"/>
              <w:outlineLvl w:val="0"/>
              <w:rPr>
                <w:bCs/>
                <w:color w:val="000000"/>
                <w:sz w:val="24"/>
              </w:rPr>
            </w:pPr>
            <w:r>
              <w:rPr>
                <w:bCs/>
                <w:color w:val="000000"/>
                <w:sz w:val="24"/>
              </w:rPr>
              <w:t>土壤及地下水污染防治措施</w:t>
            </w:r>
          </w:p>
        </w:tc>
        <w:tc>
          <w:tcPr>
            <w:tcW w:w="8644" w:type="dxa"/>
            <w:gridSpan w:val="5"/>
            <w:vAlign w:val="center"/>
          </w:tcPr>
          <w:p w14:paraId="525CB288">
            <w:pPr>
              <w:adjustRightInd w:val="0"/>
              <w:spacing w:line="360" w:lineRule="auto"/>
              <w:ind w:firstLine="480" w:firstLineChars="200"/>
              <w:rPr>
                <w:color w:val="000000"/>
                <w:sz w:val="24"/>
              </w:rPr>
            </w:pPr>
            <w:r>
              <w:rPr>
                <w:color w:val="000000"/>
                <w:sz w:val="24"/>
              </w:rPr>
              <w:t>分区防渗：</w:t>
            </w:r>
          </w:p>
          <w:p w14:paraId="4939E47F">
            <w:pPr>
              <w:adjustRightInd w:val="0"/>
              <w:spacing w:line="360" w:lineRule="auto"/>
              <w:ind w:firstLine="480" w:firstLineChars="200"/>
              <w:rPr>
                <w:rFonts w:hint="eastAsia" w:eastAsia="宋体"/>
                <w:color w:val="000000"/>
                <w:sz w:val="24"/>
                <w:lang w:eastAsia="zh-CN"/>
              </w:rPr>
            </w:pPr>
            <w:r>
              <w:rPr>
                <w:color w:val="000000"/>
                <w:sz w:val="24"/>
              </w:rPr>
              <w:t>（1）重点防渗：基础必须防渗，防渗层为至少1米厚粘土层（渗透系数≤10</w:t>
            </w:r>
            <w:r>
              <w:rPr>
                <w:color w:val="000000"/>
                <w:sz w:val="24"/>
                <w:vertAlign w:val="superscript"/>
              </w:rPr>
              <w:t>-7</w:t>
            </w:r>
            <w:r>
              <w:rPr>
                <w:color w:val="000000"/>
                <w:sz w:val="24"/>
              </w:rPr>
              <w:t>cm/s），或2mm厚高密度聚乙烯，或至少2mm厚的其它人工材料，渗透系数≤10</w:t>
            </w:r>
            <w:r>
              <w:rPr>
                <w:color w:val="000000"/>
                <w:sz w:val="24"/>
                <w:vertAlign w:val="superscript"/>
              </w:rPr>
              <w:t>-10</w:t>
            </w:r>
            <w:r>
              <w:rPr>
                <w:color w:val="000000"/>
                <w:sz w:val="24"/>
              </w:rPr>
              <w:t>cm/s</w:t>
            </w:r>
            <w:r>
              <w:rPr>
                <w:rFonts w:hint="eastAsia"/>
                <w:color w:val="000000"/>
                <w:sz w:val="24"/>
                <w:lang w:eastAsia="zh-CN"/>
              </w:rPr>
              <w:t>。</w:t>
            </w:r>
          </w:p>
          <w:p w14:paraId="4CFFB4DA">
            <w:pPr>
              <w:spacing w:line="360" w:lineRule="auto"/>
              <w:ind w:firstLine="480" w:firstLineChars="200"/>
              <w:rPr>
                <w:color w:val="000000"/>
                <w:sz w:val="24"/>
              </w:rPr>
            </w:pPr>
            <w:r>
              <w:rPr>
                <w:color w:val="000000"/>
                <w:sz w:val="24"/>
              </w:rPr>
              <w:t>（2）一般防渗：</w:t>
            </w:r>
            <w:r>
              <w:rPr>
                <w:rFonts w:hint="eastAsia"/>
                <w:color w:val="000000"/>
                <w:sz w:val="24"/>
              </w:rPr>
              <w:t>锅炉房为一般防渗区，防渗技术要求：</w:t>
            </w:r>
            <w:r>
              <w:rPr>
                <w:rFonts w:hint="eastAsia" w:hAnsi="宋体"/>
                <w:color w:val="000000"/>
                <w:kern w:val="0"/>
                <w:sz w:val="24"/>
              </w:rPr>
              <w:t>等效黏土防渗层</w:t>
            </w:r>
            <w:r>
              <w:rPr>
                <w:color w:val="000000"/>
                <w:kern w:val="0"/>
                <w:sz w:val="24"/>
              </w:rPr>
              <w:t>Mb≥1.5m</w:t>
            </w:r>
            <w:r>
              <w:rPr>
                <w:rFonts w:hint="eastAsia" w:hAnsi="宋体"/>
                <w:color w:val="000000"/>
                <w:kern w:val="0"/>
                <w:sz w:val="24"/>
              </w:rPr>
              <w:t>，</w:t>
            </w:r>
            <w:r>
              <w:rPr>
                <w:color w:val="000000"/>
                <w:kern w:val="0"/>
                <w:sz w:val="24"/>
              </w:rPr>
              <w:t>K≤1×10</w:t>
            </w:r>
            <w:r>
              <w:rPr>
                <w:color w:val="000000"/>
                <w:kern w:val="0"/>
                <w:sz w:val="24"/>
                <w:vertAlign w:val="superscript"/>
              </w:rPr>
              <w:t>-7</w:t>
            </w:r>
            <w:r>
              <w:rPr>
                <w:color w:val="000000"/>
                <w:kern w:val="0"/>
                <w:sz w:val="24"/>
              </w:rPr>
              <w:t>cm/s</w:t>
            </w:r>
            <w:r>
              <w:rPr>
                <w:rFonts w:hint="eastAsia" w:hAnsi="宋体"/>
                <w:color w:val="000000"/>
                <w:kern w:val="0"/>
                <w:sz w:val="24"/>
              </w:rPr>
              <w:t>；或参照</w:t>
            </w:r>
            <w:r>
              <w:rPr>
                <w:color w:val="000000"/>
                <w:kern w:val="0"/>
                <w:sz w:val="24"/>
              </w:rPr>
              <w:t>GB18598</w:t>
            </w:r>
            <w:r>
              <w:rPr>
                <w:rFonts w:hint="eastAsia" w:hAnsi="宋体"/>
                <w:color w:val="000000"/>
                <w:kern w:val="0"/>
                <w:sz w:val="24"/>
              </w:rPr>
              <w:t>执行</w:t>
            </w:r>
            <w:r>
              <w:rPr>
                <w:rFonts w:hint="eastAsia"/>
                <w:color w:val="000000"/>
                <w:sz w:val="24"/>
              </w:rPr>
              <w:t>。</w:t>
            </w:r>
          </w:p>
        </w:tc>
      </w:tr>
      <w:tr w14:paraId="0151A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25" w:type="dxa"/>
            <w:vAlign w:val="center"/>
          </w:tcPr>
          <w:p w14:paraId="4559CBCE">
            <w:pPr>
              <w:jc w:val="center"/>
              <w:outlineLvl w:val="0"/>
              <w:rPr>
                <w:bCs/>
                <w:color w:val="000000"/>
                <w:sz w:val="24"/>
              </w:rPr>
            </w:pPr>
            <w:r>
              <w:rPr>
                <w:bCs/>
                <w:color w:val="000000"/>
                <w:sz w:val="24"/>
              </w:rPr>
              <w:t>环境风险管控措施</w:t>
            </w:r>
          </w:p>
        </w:tc>
        <w:tc>
          <w:tcPr>
            <w:tcW w:w="8644" w:type="dxa"/>
            <w:gridSpan w:val="5"/>
            <w:vAlign w:val="center"/>
          </w:tcPr>
          <w:p w14:paraId="20EC6672">
            <w:pPr>
              <w:adjustRightInd w:val="0"/>
              <w:spacing w:line="360" w:lineRule="auto"/>
              <w:ind w:firstLine="480" w:firstLineChars="200"/>
              <w:rPr>
                <w:color w:val="000000"/>
                <w:sz w:val="24"/>
              </w:rPr>
            </w:pPr>
            <w:r>
              <w:rPr>
                <w:color w:val="000000"/>
                <w:sz w:val="24"/>
              </w:rPr>
              <w:t>（1）车间内工艺布置保持通道畅通</w:t>
            </w:r>
          </w:p>
          <w:p w14:paraId="2822D744">
            <w:pPr>
              <w:adjustRightInd w:val="0"/>
              <w:spacing w:line="360" w:lineRule="auto"/>
              <w:ind w:firstLine="480" w:firstLineChars="200"/>
              <w:rPr>
                <w:color w:val="000000"/>
                <w:sz w:val="24"/>
              </w:rPr>
            </w:pPr>
            <w:r>
              <w:rPr>
                <w:color w:val="000000"/>
                <w:sz w:val="24"/>
              </w:rPr>
              <w:t>（2）企业定期对废气、处理设施进行维护、修理，使其处于正常运转状态，杜绝事故性排放；一旦发现废气收集、处理设施出现故障，须立即停止生产，待故障排除完毕、治理设施正常运行后方可恢复生产</w:t>
            </w:r>
            <w:r>
              <w:rPr>
                <w:rFonts w:hint="eastAsia"/>
                <w:color w:val="000000"/>
                <w:sz w:val="24"/>
              </w:rPr>
              <w:t>。</w:t>
            </w:r>
          </w:p>
          <w:p w14:paraId="5BA919DA">
            <w:pPr>
              <w:adjustRightInd w:val="0"/>
              <w:spacing w:line="360" w:lineRule="auto"/>
              <w:ind w:firstLine="480" w:firstLineChars="200"/>
              <w:rPr>
                <w:color w:val="000000"/>
                <w:sz w:val="24"/>
              </w:rPr>
            </w:pPr>
            <w:r>
              <w:rPr>
                <w:color w:val="000000"/>
                <w:sz w:val="24"/>
              </w:rPr>
              <w:t>（3）建设单位须制订环境突发事故应急预案，一旦突发环境风险事故，必须立即按应急预案提到的紧急处理、救援、监测方案等进行紧急救援，救援人员采取相应的防护措施，以避免造成人员伤亡事故</w:t>
            </w:r>
            <w:r>
              <w:rPr>
                <w:rFonts w:hint="eastAsia"/>
                <w:color w:val="000000"/>
                <w:sz w:val="24"/>
              </w:rPr>
              <w:t>。</w:t>
            </w:r>
          </w:p>
        </w:tc>
      </w:tr>
      <w:tr w14:paraId="3FA8A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0" w:hRule="atLeast"/>
          <w:jc w:val="center"/>
        </w:trPr>
        <w:tc>
          <w:tcPr>
            <w:tcW w:w="825" w:type="dxa"/>
            <w:vAlign w:val="center"/>
          </w:tcPr>
          <w:p w14:paraId="35271F11">
            <w:pPr>
              <w:jc w:val="center"/>
              <w:outlineLvl w:val="0"/>
              <w:rPr>
                <w:bCs/>
                <w:color w:val="000000"/>
                <w:sz w:val="24"/>
              </w:rPr>
            </w:pPr>
            <w:r>
              <w:rPr>
                <w:bCs/>
                <w:color w:val="000000"/>
                <w:sz w:val="24"/>
              </w:rPr>
              <w:t>其他环境管理要求</w:t>
            </w:r>
          </w:p>
        </w:tc>
        <w:tc>
          <w:tcPr>
            <w:tcW w:w="8644" w:type="dxa"/>
            <w:gridSpan w:val="5"/>
            <w:vAlign w:val="center"/>
          </w:tcPr>
          <w:p w14:paraId="38DFAFAF">
            <w:pPr>
              <w:adjustRightInd w:val="0"/>
              <w:spacing w:line="360" w:lineRule="auto"/>
              <w:ind w:firstLine="482" w:firstLineChars="200"/>
              <w:jc w:val="left"/>
              <w:rPr>
                <w:b/>
                <w:bCs/>
                <w:color w:val="000000"/>
                <w:sz w:val="24"/>
                <w:lang w:bidi="ar"/>
              </w:rPr>
            </w:pPr>
            <w:r>
              <w:rPr>
                <w:b/>
                <w:bCs/>
                <w:color w:val="000000"/>
                <w:sz w:val="24"/>
                <w:lang w:bidi="ar"/>
              </w:rPr>
              <w:t>1、排放口规范化及信息公开化</w:t>
            </w:r>
          </w:p>
          <w:p w14:paraId="7863B01D">
            <w:pPr>
              <w:adjustRightInd w:val="0"/>
              <w:spacing w:line="360" w:lineRule="auto"/>
              <w:ind w:firstLine="480" w:firstLineChars="200"/>
              <w:jc w:val="left"/>
              <w:rPr>
                <w:color w:val="000000"/>
                <w:sz w:val="24"/>
                <w:lang w:bidi="ar"/>
              </w:rPr>
            </w:pPr>
            <w:r>
              <w:rPr>
                <w:rFonts w:hint="eastAsia"/>
                <w:sz w:val="24"/>
                <w:lang w:bidi="ar"/>
              </w:rPr>
              <w:t>根据《</w:t>
            </w:r>
            <w:r>
              <w:rPr>
                <w:sz w:val="24"/>
                <w:lang w:bidi="ar"/>
              </w:rPr>
              <w:t>安徽省污染源排放口规范化整治管理办法</w:t>
            </w:r>
            <w:r>
              <w:rPr>
                <w:rFonts w:hint="eastAsia"/>
                <w:sz w:val="24"/>
                <w:lang w:bidi="ar"/>
              </w:rPr>
              <w:t>》（</w:t>
            </w:r>
            <w:r>
              <w:rPr>
                <w:sz w:val="24"/>
                <w:lang w:bidi="ar"/>
              </w:rPr>
              <w:t>环</w:t>
            </w:r>
            <w:r>
              <w:rPr>
                <w:rFonts w:hint="eastAsia"/>
                <w:sz w:val="24"/>
                <w:lang w:bidi="ar"/>
              </w:rPr>
              <w:t>法函[2005]114号）</w:t>
            </w:r>
            <w:r>
              <w:rPr>
                <w:sz w:val="24"/>
                <w:lang w:bidi="ar"/>
              </w:rPr>
              <w:t>、</w:t>
            </w:r>
            <w:r>
              <w:rPr>
                <w:color w:val="000000"/>
                <w:sz w:val="24"/>
                <w:lang w:bidi="ar"/>
              </w:rPr>
              <w:t>《排污口规范化整治技术要求》（环监[1996]470号）</w:t>
            </w:r>
            <w:r>
              <w:rPr>
                <w:rFonts w:hint="eastAsia"/>
                <w:color w:val="000000"/>
                <w:sz w:val="24"/>
                <w:lang w:bidi="ar"/>
              </w:rPr>
              <w:t>等</w:t>
            </w:r>
            <w:r>
              <w:rPr>
                <w:color w:val="000000"/>
                <w:sz w:val="24"/>
                <w:lang w:bidi="ar"/>
              </w:rPr>
              <w:t>规定的要求，一切新建、改造、扩建的排污单位以及限期治理的排污单位必须在建设污染治理设施的同时，建设规范化排放口。因此，建设项目产生的各类污染物的排放口必须规范化，并且规范化工作的完成必须与污染治理设施同步。</w:t>
            </w:r>
          </w:p>
          <w:p w14:paraId="23684179">
            <w:pPr>
              <w:pStyle w:val="44"/>
              <w:adjustRightInd/>
              <w:spacing w:before="0" w:line="360" w:lineRule="auto"/>
              <w:ind w:firstLine="480" w:firstLineChars="200"/>
              <w:rPr>
                <w:rFonts w:ascii="Times New Roman" w:hAnsi="Times New Roman"/>
                <w:sz w:val="24"/>
              </w:rPr>
            </w:pPr>
            <w:r>
              <w:rPr>
                <w:rFonts w:hint="eastAsia" w:ascii="Times New Roman" w:hAnsi="Times New Roman"/>
                <w:sz w:val="24"/>
              </w:rPr>
              <w:t>环境监测计划</w:t>
            </w:r>
          </w:p>
          <w:p w14:paraId="71A47906">
            <w:pPr>
              <w:pStyle w:val="44"/>
              <w:keepNext w:val="0"/>
              <w:keepLines w:val="0"/>
              <w:pageBreakBefore w:val="0"/>
              <w:widowControl w:val="0"/>
              <w:kinsoku/>
              <w:wordWrap/>
              <w:overflowPunct/>
              <w:topLinePunct w:val="0"/>
              <w:autoSpaceDE/>
              <w:autoSpaceDN/>
              <w:bidi w:val="0"/>
              <w:adjustRightInd/>
              <w:snapToGrid/>
              <w:spacing w:before="0" w:line="360" w:lineRule="auto"/>
              <w:ind w:firstLine="480" w:firstLineChars="200"/>
              <w:textAlignment w:val="auto"/>
              <w:rPr>
                <w:rFonts w:ascii="Times New Roman" w:hAnsi="Times New Roman"/>
                <w:sz w:val="24"/>
              </w:rPr>
            </w:pPr>
            <w:r>
              <w:rPr>
                <w:rFonts w:hint="eastAsia" w:ascii="Times New Roman" w:hAnsi="Times New Roman"/>
                <w:sz w:val="24"/>
              </w:rPr>
              <w:t>依据《排污单位自行监测技术指南总则》（HJ819-2017）、</w:t>
            </w:r>
            <w:r>
              <w:fldChar w:fldCharType="begin"/>
            </w:r>
            <w:r>
              <w:instrText xml:space="preserve"> HYPERLINK "https://www.eiacloud.com/hpyzs/lawsRegulations/searchDetail?modelName=%E6%8E%92%E6%B1%A1%E5%90%8D%E5%BD%95&amp;id=61c459b05d144dea89d584089fffd470" \t "https://www.eiacloud.com/hpyzs/category/_blank" </w:instrText>
            </w:r>
            <w:r>
              <w:fldChar w:fldCharType="separate"/>
            </w:r>
            <w:r>
              <w:rPr>
                <w:rFonts w:hint="eastAsia" w:ascii="Times New Roman" w:hAnsi="Times New Roman"/>
                <w:bCs/>
                <w:kern w:val="21"/>
                <w:sz w:val="24"/>
                <w:szCs w:val="32"/>
              </w:rPr>
              <w:t>排污单位自行监测技术指南 火力发电及锅炉》（</w:t>
            </w:r>
            <w:r>
              <w:rPr>
                <w:rFonts w:ascii="Times New Roman" w:hAnsi="Times New Roman"/>
                <w:bCs/>
                <w:kern w:val="21"/>
                <w:sz w:val="24"/>
                <w:szCs w:val="32"/>
              </w:rPr>
              <w:t> HJ</w:t>
            </w:r>
            <w:r>
              <w:rPr>
                <w:rFonts w:hint="eastAsia" w:ascii="Times New Roman" w:hAnsi="Times New Roman"/>
                <w:bCs/>
                <w:kern w:val="21"/>
                <w:sz w:val="24"/>
                <w:szCs w:val="32"/>
              </w:rPr>
              <w:t>8</w:t>
            </w:r>
            <w:r>
              <w:rPr>
                <w:rFonts w:hint="eastAsia" w:ascii="Times New Roman" w:hAnsi="Times New Roman"/>
                <w:bCs/>
                <w:kern w:val="21"/>
                <w:sz w:val="24"/>
                <w:szCs w:val="32"/>
              </w:rPr>
              <w:fldChar w:fldCharType="end"/>
            </w:r>
            <w:r>
              <w:rPr>
                <w:rFonts w:hint="eastAsia" w:ascii="Times New Roman" w:hAnsi="Times New Roman"/>
                <w:bCs/>
                <w:kern w:val="21"/>
                <w:sz w:val="24"/>
                <w:szCs w:val="32"/>
              </w:rPr>
              <w:t>20-2017）</w:t>
            </w:r>
            <w:r>
              <w:rPr>
                <w:rFonts w:hint="eastAsia" w:ascii="Times New Roman" w:hAnsi="Times New Roman"/>
                <w:sz w:val="24"/>
              </w:rPr>
              <w:t>中自行监测内容进行设置。</w:t>
            </w:r>
          </w:p>
          <w:p w14:paraId="4DC3D29D">
            <w:pPr>
              <w:jc w:val="center"/>
              <w:rPr>
                <w:b/>
                <w:bCs/>
                <w:sz w:val="24"/>
              </w:rPr>
            </w:pPr>
            <w:r>
              <w:rPr>
                <w:b/>
                <w:bCs/>
                <w:sz w:val="24"/>
              </w:rPr>
              <w:t>表5-1  自行监测计划表</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436"/>
              <w:gridCol w:w="957"/>
              <w:gridCol w:w="1329"/>
              <w:gridCol w:w="1284"/>
              <w:gridCol w:w="3610"/>
            </w:tblGrid>
            <w:tr w14:paraId="43F59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4" w:type="pct"/>
                  <w:vMerge w:val="restart"/>
                  <w:vAlign w:val="center"/>
                </w:tcPr>
                <w:p w14:paraId="6C73BF8D">
                  <w:pPr>
                    <w:pStyle w:val="44"/>
                    <w:widowControl/>
                    <w:adjustRightInd/>
                    <w:spacing w:before="0" w:line="240" w:lineRule="auto"/>
                    <w:ind w:firstLine="0"/>
                    <w:jc w:val="center"/>
                    <w:rPr>
                      <w:rFonts w:ascii="Times New Roman" w:hAnsi="Times New Roman"/>
                      <w:kern w:val="2"/>
                    </w:rPr>
                  </w:pPr>
                </w:p>
                <w:p w14:paraId="2F88815B">
                  <w:pPr>
                    <w:pStyle w:val="44"/>
                    <w:widowControl/>
                    <w:adjustRightInd/>
                    <w:spacing w:before="0" w:line="240" w:lineRule="auto"/>
                    <w:ind w:firstLine="0"/>
                    <w:jc w:val="center"/>
                    <w:rPr>
                      <w:rFonts w:ascii="Times New Roman" w:hAnsi="Times New Roman"/>
                      <w:kern w:val="2"/>
                    </w:rPr>
                  </w:pPr>
                  <w:r>
                    <w:rPr>
                      <w:rFonts w:ascii="Times New Roman" w:hAnsi="Times New Roman"/>
                      <w:kern w:val="2"/>
                    </w:rPr>
                    <w:t>污染源监测</w:t>
                  </w:r>
                </w:p>
              </w:tc>
              <w:tc>
                <w:tcPr>
                  <w:tcW w:w="827" w:type="pct"/>
                  <w:gridSpan w:val="2"/>
                  <w:vAlign w:val="center"/>
                </w:tcPr>
                <w:p w14:paraId="22D740B9">
                  <w:pPr>
                    <w:pStyle w:val="44"/>
                    <w:widowControl/>
                    <w:adjustRightInd/>
                    <w:spacing w:before="0" w:line="240" w:lineRule="auto"/>
                    <w:ind w:firstLine="0"/>
                    <w:jc w:val="center"/>
                    <w:rPr>
                      <w:rFonts w:ascii="Times New Roman" w:hAnsi="Times New Roman"/>
                      <w:kern w:val="2"/>
                    </w:rPr>
                  </w:pPr>
                  <w:r>
                    <w:rPr>
                      <w:rFonts w:ascii="Times New Roman" w:hAnsi="Times New Roman"/>
                      <w:kern w:val="2"/>
                    </w:rPr>
                    <w:t>类别</w:t>
                  </w:r>
                </w:p>
              </w:tc>
              <w:tc>
                <w:tcPr>
                  <w:tcW w:w="789" w:type="pct"/>
                  <w:vAlign w:val="center"/>
                </w:tcPr>
                <w:p w14:paraId="36DAC9AE">
                  <w:pPr>
                    <w:pStyle w:val="44"/>
                    <w:widowControl/>
                    <w:adjustRightInd/>
                    <w:spacing w:before="0" w:line="240" w:lineRule="auto"/>
                    <w:ind w:firstLine="0"/>
                    <w:jc w:val="center"/>
                    <w:rPr>
                      <w:rFonts w:ascii="Times New Roman" w:hAnsi="Times New Roman"/>
                      <w:kern w:val="2"/>
                    </w:rPr>
                  </w:pPr>
                  <w:r>
                    <w:rPr>
                      <w:rFonts w:ascii="Times New Roman" w:hAnsi="Times New Roman"/>
                      <w:kern w:val="2"/>
                    </w:rPr>
                    <w:t>监测项目</w:t>
                  </w:r>
                </w:p>
              </w:tc>
              <w:tc>
                <w:tcPr>
                  <w:tcW w:w="763" w:type="pct"/>
                  <w:vAlign w:val="center"/>
                </w:tcPr>
                <w:p w14:paraId="0277F533">
                  <w:pPr>
                    <w:pStyle w:val="44"/>
                    <w:widowControl/>
                    <w:adjustRightInd/>
                    <w:spacing w:before="0" w:line="240" w:lineRule="auto"/>
                    <w:ind w:firstLine="0"/>
                    <w:jc w:val="center"/>
                    <w:rPr>
                      <w:rFonts w:ascii="Times New Roman" w:hAnsi="Times New Roman"/>
                      <w:kern w:val="2"/>
                    </w:rPr>
                  </w:pPr>
                  <w:r>
                    <w:rPr>
                      <w:rFonts w:ascii="Times New Roman" w:hAnsi="Times New Roman"/>
                      <w:kern w:val="2"/>
                    </w:rPr>
                    <w:t>监测频次</w:t>
                  </w:r>
                </w:p>
              </w:tc>
              <w:tc>
                <w:tcPr>
                  <w:tcW w:w="2145" w:type="pct"/>
                  <w:vAlign w:val="center"/>
                </w:tcPr>
                <w:p w14:paraId="4F0668F6">
                  <w:pPr>
                    <w:pStyle w:val="44"/>
                    <w:widowControl/>
                    <w:adjustRightInd/>
                    <w:spacing w:before="0" w:line="240" w:lineRule="auto"/>
                    <w:ind w:firstLine="0"/>
                    <w:jc w:val="center"/>
                    <w:rPr>
                      <w:rFonts w:ascii="Times New Roman" w:hAnsi="Times New Roman"/>
                      <w:kern w:val="2"/>
                    </w:rPr>
                  </w:pPr>
                  <w:r>
                    <w:rPr>
                      <w:rFonts w:ascii="Times New Roman" w:hAnsi="Times New Roman"/>
                      <w:kern w:val="2"/>
                    </w:rPr>
                    <w:t>执行标准</w:t>
                  </w:r>
                </w:p>
              </w:tc>
            </w:tr>
            <w:tr w14:paraId="0AE0B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4" w:type="pct"/>
                  <w:vMerge w:val="continue"/>
                  <w:vAlign w:val="center"/>
                </w:tcPr>
                <w:p w14:paraId="3EDB5D60">
                  <w:pPr>
                    <w:pStyle w:val="44"/>
                    <w:widowControl/>
                    <w:adjustRightInd/>
                    <w:spacing w:before="0" w:line="240" w:lineRule="auto"/>
                    <w:ind w:firstLine="0"/>
                    <w:jc w:val="center"/>
                    <w:rPr>
                      <w:rFonts w:ascii="Times New Roman" w:hAnsi="Times New Roman"/>
                      <w:kern w:val="2"/>
                    </w:rPr>
                  </w:pPr>
                </w:p>
              </w:tc>
              <w:tc>
                <w:tcPr>
                  <w:tcW w:w="259" w:type="pct"/>
                  <w:vMerge w:val="restart"/>
                  <w:vAlign w:val="center"/>
                </w:tcPr>
                <w:p w14:paraId="0099F41C">
                  <w:pPr>
                    <w:pStyle w:val="44"/>
                    <w:widowControl/>
                    <w:adjustRightInd/>
                    <w:spacing w:before="0" w:line="240" w:lineRule="auto"/>
                    <w:ind w:firstLine="0"/>
                    <w:jc w:val="center"/>
                    <w:rPr>
                      <w:rFonts w:ascii="Times New Roman" w:hAnsi="Times New Roman"/>
                      <w:kern w:val="2"/>
                    </w:rPr>
                  </w:pPr>
                  <w:r>
                    <w:rPr>
                      <w:rFonts w:ascii="Times New Roman" w:hAnsi="Times New Roman"/>
                      <w:kern w:val="2"/>
                    </w:rPr>
                    <w:t>废气</w:t>
                  </w:r>
                </w:p>
              </w:tc>
              <w:tc>
                <w:tcPr>
                  <w:tcW w:w="568" w:type="pct"/>
                  <w:vAlign w:val="center"/>
                </w:tcPr>
                <w:p w14:paraId="2D368D8C">
                  <w:pPr>
                    <w:pStyle w:val="44"/>
                    <w:widowControl/>
                    <w:adjustRightInd/>
                    <w:spacing w:before="0" w:line="240" w:lineRule="auto"/>
                    <w:ind w:firstLine="0"/>
                    <w:jc w:val="center"/>
                    <w:rPr>
                      <w:rFonts w:ascii="Times New Roman" w:hAnsi="Times New Roman"/>
                      <w:kern w:val="2"/>
                    </w:rPr>
                  </w:pPr>
                  <w:r>
                    <w:rPr>
                      <w:rFonts w:hint="eastAsia" w:ascii="Times New Roman" w:hAnsi="Times New Roman"/>
                      <w:kern w:val="2"/>
                    </w:rPr>
                    <w:t>DA001</w:t>
                  </w:r>
                </w:p>
              </w:tc>
              <w:tc>
                <w:tcPr>
                  <w:tcW w:w="789" w:type="pct"/>
                  <w:vAlign w:val="center"/>
                </w:tcPr>
                <w:p w14:paraId="20E0F041">
                  <w:pPr>
                    <w:pStyle w:val="44"/>
                    <w:widowControl/>
                    <w:adjustRightInd/>
                    <w:spacing w:before="0" w:line="240" w:lineRule="auto"/>
                    <w:ind w:firstLine="0"/>
                    <w:jc w:val="center"/>
                    <w:rPr>
                      <w:rFonts w:ascii="Times New Roman" w:hAnsi="Times New Roman"/>
                      <w:kern w:val="2"/>
                    </w:rPr>
                  </w:pPr>
                  <w:r>
                    <w:rPr>
                      <w:rFonts w:ascii="Times New Roman" w:hAnsi="Times New Roman"/>
                      <w:kern w:val="2"/>
                    </w:rPr>
                    <w:t>颗粒物</w:t>
                  </w:r>
                </w:p>
              </w:tc>
              <w:tc>
                <w:tcPr>
                  <w:tcW w:w="763" w:type="pct"/>
                  <w:vAlign w:val="center"/>
                </w:tcPr>
                <w:p w14:paraId="706DBC06">
                  <w:pPr>
                    <w:pStyle w:val="44"/>
                    <w:widowControl/>
                    <w:adjustRightInd/>
                    <w:spacing w:before="0" w:line="240" w:lineRule="auto"/>
                    <w:ind w:firstLine="0"/>
                    <w:jc w:val="center"/>
                    <w:rPr>
                      <w:rFonts w:ascii="Times New Roman" w:hAnsi="Times New Roman"/>
                      <w:kern w:val="2"/>
                    </w:rPr>
                  </w:pPr>
                  <w:r>
                    <w:rPr>
                      <w:rFonts w:ascii="Times New Roman" w:hAnsi="Times New Roman"/>
                    </w:rPr>
                    <w:t>1次/年</w:t>
                  </w:r>
                </w:p>
              </w:tc>
              <w:tc>
                <w:tcPr>
                  <w:tcW w:w="2145" w:type="pct"/>
                  <w:vMerge w:val="restart"/>
                  <w:vAlign w:val="center"/>
                </w:tcPr>
                <w:p w14:paraId="3CD32289">
                  <w:pPr>
                    <w:pStyle w:val="53"/>
                    <w:tabs>
                      <w:tab w:val="left" w:pos="315"/>
                      <w:tab w:val="left" w:pos="425"/>
                    </w:tabs>
                    <w:rPr>
                      <w:b w:val="0"/>
                      <w:sz w:val="21"/>
                      <w:szCs w:val="21"/>
                      <w:lang w:eastAsia="zh-CN"/>
                    </w:rPr>
                  </w:pPr>
                  <w:r>
                    <w:rPr>
                      <w:b w:val="0"/>
                      <w:snapToGrid w:val="0"/>
                      <w:sz w:val="21"/>
                      <w:szCs w:val="21"/>
                      <w:lang w:eastAsia="zh-CN"/>
                    </w:rPr>
                    <w:t>《大气污染物综合排放标准》（GB16297-1996）</w:t>
                  </w:r>
                </w:p>
              </w:tc>
            </w:tr>
            <w:tr w14:paraId="17E7F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4" w:type="pct"/>
                  <w:vMerge w:val="continue"/>
                  <w:vAlign w:val="center"/>
                </w:tcPr>
                <w:p w14:paraId="3F7F3741">
                  <w:pPr>
                    <w:pStyle w:val="44"/>
                    <w:widowControl/>
                    <w:adjustRightInd/>
                    <w:spacing w:before="0" w:line="240" w:lineRule="auto"/>
                    <w:ind w:firstLine="0"/>
                    <w:jc w:val="center"/>
                    <w:rPr>
                      <w:rFonts w:ascii="Times New Roman" w:hAnsi="Times New Roman"/>
                      <w:kern w:val="2"/>
                    </w:rPr>
                  </w:pPr>
                </w:p>
              </w:tc>
              <w:tc>
                <w:tcPr>
                  <w:tcW w:w="259" w:type="pct"/>
                  <w:vMerge w:val="continue"/>
                  <w:vAlign w:val="center"/>
                </w:tcPr>
                <w:p w14:paraId="667DDBEF">
                  <w:pPr>
                    <w:pStyle w:val="44"/>
                    <w:widowControl/>
                    <w:adjustRightInd/>
                    <w:spacing w:before="0" w:line="240" w:lineRule="auto"/>
                    <w:ind w:firstLine="0"/>
                    <w:jc w:val="center"/>
                    <w:rPr>
                      <w:rFonts w:ascii="Times New Roman" w:hAnsi="Times New Roman"/>
                      <w:kern w:val="2"/>
                    </w:rPr>
                  </w:pPr>
                </w:p>
              </w:tc>
              <w:tc>
                <w:tcPr>
                  <w:tcW w:w="568" w:type="pct"/>
                  <w:vAlign w:val="center"/>
                </w:tcPr>
                <w:p w14:paraId="6942713F">
                  <w:pPr>
                    <w:pStyle w:val="44"/>
                    <w:widowControl/>
                    <w:adjustRightInd/>
                    <w:spacing w:before="0" w:line="240" w:lineRule="auto"/>
                    <w:ind w:firstLine="0"/>
                    <w:jc w:val="center"/>
                    <w:rPr>
                      <w:rFonts w:hint="eastAsia" w:ascii="Times New Roman" w:hAnsi="Times New Roman"/>
                      <w:kern w:val="2"/>
                    </w:rPr>
                  </w:pPr>
                  <w:r>
                    <w:rPr>
                      <w:rFonts w:hint="eastAsia" w:ascii="Times New Roman" w:hAnsi="Times New Roman"/>
                      <w:kern w:val="2"/>
                    </w:rPr>
                    <w:t>DA002</w:t>
                  </w:r>
                </w:p>
              </w:tc>
              <w:tc>
                <w:tcPr>
                  <w:tcW w:w="789" w:type="pct"/>
                  <w:vAlign w:val="center"/>
                </w:tcPr>
                <w:p w14:paraId="7CF04961">
                  <w:pPr>
                    <w:pStyle w:val="44"/>
                    <w:widowControl/>
                    <w:adjustRightInd/>
                    <w:spacing w:before="0" w:line="240" w:lineRule="auto"/>
                    <w:ind w:firstLine="0" w:firstLineChars="0"/>
                    <w:jc w:val="center"/>
                    <w:rPr>
                      <w:rFonts w:ascii="Times New Roman" w:hAnsi="Times New Roman"/>
                      <w:kern w:val="2"/>
                    </w:rPr>
                  </w:pPr>
                  <w:r>
                    <w:rPr>
                      <w:rFonts w:ascii="Times New Roman" w:hAnsi="Times New Roman"/>
                      <w:kern w:val="2"/>
                    </w:rPr>
                    <w:t>颗粒物</w:t>
                  </w:r>
                </w:p>
              </w:tc>
              <w:tc>
                <w:tcPr>
                  <w:tcW w:w="763" w:type="pct"/>
                  <w:vAlign w:val="center"/>
                </w:tcPr>
                <w:p w14:paraId="5F0C6F3C">
                  <w:pPr>
                    <w:pStyle w:val="44"/>
                    <w:widowControl/>
                    <w:adjustRightInd/>
                    <w:spacing w:before="0" w:line="240" w:lineRule="auto"/>
                    <w:ind w:firstLine="0" w:firstLineChars="0"/>
                    <w:jc w:val="center"/>
                    <w:rPr>
                      <w:rFonts w:ascii="Times New Roman" w:hAnsi="Times New Roman"/>
                    </w:rPr>
                  </w:pPr>
                  <w:r>
                    <w:rPr>
                      <w:rFonts w:ascii="Times New Roman" w:hAnsi="Times New Roman"/>
                    </w:rPr>
                    <w:t>1次/年</w:t>
                  </w:r>
                </w:p>
              </w:tc>
              <w:tc>
                <w:tcPr>
                  <w:tcW w:w="2145" w:type="pct"/>
                  <w:vMerge w:val="continue"/>
                  <w:vAlign w:val="center"/>
                </w:tcPr>
                <w:p w14:paraId="1E172DCE">
                  <w:pPr>
                    <w:pStyle w:val="53"/>
                    <w:tabs>
                      <w:tab w:val="left" w:pos="315"/>
                      <w:tab w:val="left" w:pos="425"/>
                    </w:tabs>
                    <w:rPr>
                      <w:b w:val="0"/>
                      <w:snapToGrid w:val="0"/>
                      <w:sz w:val="21"/>
                      <w:szCs w:val="21"/>
                      <w:lang w:eastAsia="zh-CN"/>
                    </w:rPr>
                  </w:pPr>
                </w:p>
              </w:tc>
            </w:tr>
            <w:tr w14:paraId="083A2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4" w:type="pct"/>
                  <w:vMerge w:val="continue"/>
                  <w:vAlign w:val="center"/>
                </w:tcPr>
                <w:p w14:paraId="208AC803">
                  <w:pPr>
                    <w:pStyle w:val="44"/>
                    <w:widowControl/>
                    <w:adjustRightInd/>
                    <w:spacing w:before="0" w:line="240" w:lineRule="auto"/>
                    <w:ind w:firstLine="0"/>
                    <w:jc w:val="center"/>
                    <w:rPr>
                      <w:rFonts w:ascii="Times New Roman" w:hAnsi="Times New Roman"/>
                      <w:kern w:val="2"/>
                    </w:rPr>
                  </w:pPr>
                </w:p>
              </w:tc>
              <w:tc>
                <w:tcPr>
                  <w:tcW w:w="259" w:type="pct"/>
                  <w:vMerge w:val="continue"/>
                  <w:vAlign w:val="center"/>
                </w:tcPr>
                <w:p w14:paraId="6206B993">
                  <w:pPr>
                    <w:pStyle w:val="44"/>
                    <w:widowControl/>
                    <w:adjustRightInd/>
                    <w:spacing w:before="0" w:line="240" w:lineRule="auto"/>
                    <w:ind w:firstLine="0"/>
                    <w:jc w:val="center"/>
                    <w:rPr>
                      <w:rFonts w:ascii="Times New Roman" w:hAnsi="Times New Roman"/>
                      <w:kern w:val="2"/>
                    </w:rPr>
                  </w:pPr>
                </w:p>
              </w:tc>
              <w:tc>
                <w:tcPr>
                  <w:tcW w:w="568" w:type="pct"/>
                  <w:vMerge w:val="restart"/>
                  <w:vAlign w:val="center"/>
                </w:tcPr>
                <w:p w14:paraId="370A1844">
                  <w:pPr>
                    <w:pStyle w:val="44"/>
                    <w:widowControl/>
                    <w:adjustRightInd/>
                    <w:spacing w:before="0" w:line="240" w:lineRule="auto"/>
                    <w:ind w:firstLine="0"/>
                    <w:jc w:val="center"/>
                    <w:rPr>
                      <w:rFonts w:hint="eastAsia" w:ascii="Times New Roman" w:hAnsi="Times New Roman" w:eastAsia="宋体"/>
                      <w:kern w:val="2"/>
                      <w:lang w:val="en-US" w:eastAsia="zh-CN"/>
                    </w:rPr>
                  </w:pPr>
                  <w:r>
                    <w:rPr>
                      <w:rFonts w:hint="eastAsia" w:ascii="Times New Roman" w:hAnsi="Times New Roman"/>
                      <w:kern w:val="2"/>
                    </w:rPr>
                    <w:t>DA00</w:t>
                  </w:r>
                  <w:r>
                    <w:rPr>
                      <w:rFonts w:hint="eastAsia" w:ascii="Times New Roman" w:hAnsi="Times New Roman"/>
                      <w:kern w:val="2"/>
                      <w:lang w:val="en-US" w:eastAsia="zh-CN"/>
                    </w:rPr>
                    <w:t>3</w:t>
                  </w:r>
                </w:p>
              </w:tc>
              <w:tc>
                <w:tcPr>
                  <w:tcW w:w="789" w:type="pct"/>
                  <w:vAlign w:val="center"/>
                </w:tcPr>
                <w:p w14:paraId="1951B6B5">
                  <w:pPr>
                    <w:pStyle w:val="44"/>
                    <w:widowControl/>
                    <w:adjustRightInd/>
                    <w:spacing w:before="0" w:line="240" w:lineRule="auto"/>
                    <w:ind w:firstLine="0"/>
                    <w:jc w:val="center"/>
                    <w:rPr>
                      <w:rFonts w:ascii="Times New Roman" w:hAnsi="Times New Roman"/>
                      <w:kern w:val="2"/>
                    </w:rPr>
                  </w:pPr>
                  <w:r>
                    <w:rPr>
                      <w:rFonts w:ascii="Times New Roman" w:hAnsi="Times New Roman"/>
                      <w:kern w:val="2"/>
                    </w:rPr>
                    <w:t>颗粒物</w:t>
                  </w:r>
                </w:p>
              </w:tc>
              <w:tc>
                <w:tcPr>
                  <w:tcW w:w="763" w:type="pct"/>
                  <w:vAlign w:val="center"/>
                </w:tcPr>
                <w:p w14:paraId="6EDAF499">
                  <w:pPr>
                    <w:pStyle w:val="44"/>
                    <w:widowControl/>
                    <w:adjustRightInd/>
                    <w:spacing w:before="0" w:line="240" w:lineRule="auto"/>
                    <w:ind w:firstLine="0"/>
                    <w:jc w:val="center"/>
                    <w:rPr>
                      <w:rFonts w:ascii="Times New Roman" w:hAnsi="Times New Roman"/>
                    </w:rPr>
                  </w:pPr>
                  <w:r>
                    <w:rPr>
                      <w:rFonts w:ascii="Times New Roman" w:hAnsi="Times New Roman"/>
                    </w:rPr>
                    <w:t>1次/年</w:t>
                  </w:r>
                </w:p>
              </w:tc>
              <w:tc>
                <w:tcPr>
                  <w:tcW w:w="2145" w:type="pct"/>
                  <w:vMerge w:val="restart"/>
                  <w:vAlign w:val="center"/>
                </w:tcPr>
                <w:p w14:paraId="60E69049">
                  <w:pPr>
                    <w:pStyle w:val="53"/>
                    <w:tabs>
                      <w:tab w:val="left" w:pos="315"/>
                      <w:tab w:val="left" w:pos="425"/>
                    </w:tabs>
                    <w:rPr>
                      <w:b w:val="0"/>
                      <w:snapToGrid w:val="0"/>
                      <w:sz w:val="21"/>
                      <w:szCs w:val="21"/>
                      <w:lang w:eastAsia="zh-CN"/>
                    </w:rPr>
                  </w:pPr>
                  <w:r>
                    <w:rPr>
                      <w:rFonts w:hint="eastAsia"/>
                      <w:b w:val="0"/>
                      <w:snapToGrid w:val="0"/>
                      <w:sz w:val="21"/>
                      <w:szCs w:val="21"/>
                      <w:lang w:eastAsia="zh-CN"/>
                    </w:rPr>
                    <w:t>《锅炉大气</w:t>
                  </w:r>
                  <w:r>
                    <w:rPr>
                      <w:b w:val="0"/>
                      <w:snapToGrid w:val="0"/>
                      <w:sz w:val="21"/>
                      <w:szCs w:val="21"/>
                      <w:lang w:eastAsia="zh-CN"/>
                    </w:rPr>
                    <w:t>污染物排放标准》（GB13271-2014）</w:t>
                  </w:r>
                </w:p>
              </w:tc>
            </w:tr>
            <w:tr w14:paraId="42032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4" w:type="pct"/>
                  <w:vMerge w:val="continue"/>
                  <w:vAlign w:val="center"/>
                </w:tcPr>
                <w:p w14:paraId="38F802C0">
                  <w:pPr>
                    <w:pStyle w:val="44"/>
                    <w:widowControl/>
                    <w:adjustRightInd/>
                    <w:spacing w:before="0" w:line="240" w:lineRule="auto"/>
                    <w:ind w:firstLine="0"/>
                    <w:jc w:val="center"/>
                    <w:rPr>
                      <w:rFonts w:ascii="Times New Roman" w:hAnsi="Times New Roman"/>
                      <w:kern w:val="2"/>
                    </w:rPr>
                  </w:pPr>
                </w:p>
              </w:tc>
              <w:tc>
                <w:tcPr>
                  <w:tcW w:w="259" w:type="pct"/>
                  <w:vMerge w:val="continue"/>
                  <w:vAlign w:val="center"/>
                </w:tcPr>
                <w:p w14:paraId="1D8E425D">
                  <w:pPr>
                    <w:pStyle w:val="44"/>
                    <w:widowControl/>
                    <w:adjustRightInd/>
                    <w:spacing w:before="0" w:line="240" w:lineRule="auto"/>
                    <w:ind w:firstLine="0"/>
                    <w:jc w:val="center"/>
                    <w:rPr>
                      <w:rFonts w:ascii="Times New Roman" w:hAnsi="Times New Roman"/>
                      <w:kern w:val="2"/>
                    </w:rPr>
                  </w:pPr>
                </w:p>
              </w:tc>
              <w:tc>
                <w:tcPr>
                  <w:tcW w:w="568" w:type="pct"/>
                  <w:vMerge w:val="continue"/>
                  <w:vAlign w:val="center"/>
                </w:tcPr>
                <w:p w14:paraId="7594AF9E">
                  <w:pPr>
                    <w:pStyle w:val="44"/>
                    <w:widowControl/>
                    <w:adjustRightInd/>
                    <w:spacing w:before="0" w:line="240" w:lineRule="auto"/>
                    <w:ind w:firstLine="0"/>
                    <w:jc w:val="center"/>
                    <w:rPr>
                      <w:rFonts w:ascii="Times New Roman" w:hAnsi="Times New Roman"/>
                      <w:kern w:val="2"/>
                    </w:rPr>
                  </w:pPr>
                </w:p>
              </w:tc>
              <w:tc>
                <w:tcPr>
                  <w:tcW w:w="789" w:type="pct"/>
                  <w:vAlign w:val="center"/>
                </w:tcPr>
                <w:p w14:paraId="64222553">
                  <w:pPr>
                    <w:pStyle w:val="44"/>
                    <w:widowControl/>
                    <w:adjustRightInd/>
                    <w:spacing w:before="0" w:line="240" w:lineRule="auto"/>
                    <w:ind w:firstLine="0"/>
                    <w:jc w:val="center"/>
                    <w:rPr>
                      <w:rFonts w:ascii="Times New Roman" w:hAnsi="Times New Roman"/>
                      <w:kern w:val="2"/>
                    </w:rPr>
                  </w:pPr>
                  <w:r>
                    <w:rPr>
                      <w:rFonts w:hint="eastAsia" w:ascii="Times New Roman" w:hAnsi="Times New Roman"/>
                      <w:kern w:val="2"/>
                    </w:rPr>
                    <w:t>氮氧化物</w:t>
                  </w:r>
                </w:p>
              </w:tc>
              <w:tc>
                <w:tcPr>
                  <w:tcW w:w="763" w:type="pct"/>
                  <w:vAlign w:val="center"/>
                </w:tcPr>
                <w:p w14:paraId="0CFED4C5">
                  <w:pPr>
                    <w:pStyle w:val="44"/>
                    <w:widowControl/>
                    <w:adjustRightInd/>
                    <w:spacing w:before="0" w:line="240" w:lineRule="auto"/>
                    <w:ind w:firstLine="0"/>
                    <w:jc w:val="center"/>
                    <w:rPr>
                      <w:rFonts w:ascii="Times New Roman" w:hAnsi="Times New Roman"/>
                      <w:kern w:val="2"/>
                    </w:rPr>
                  </w:pPr>
                  <w:r>
                    <w:rPr>
                      <w:rFonts w:ascii="Times New Roman" w:hAnsi="Times New Roman"/>
                    </w:rPr>
                    <w:t>1次/</w:t>
                  </w:r>
                  <w:r>
                    <w:rPr>
                      <w:rFonts w:hint="eastAsia" w:ascii="Times New Roman" w:hAnsi="Times New Roman"/>
                    </w:rPr>
                    <w:t>月</w:t>
                  </w:r>
                </w:p>
              </w:tc>
              <w:tc>
                <w:tcPr>
                  <w:tcW w:w="2145" w:type="pct"/>
                  <w:vMerge w:val="continue"/>
                  <w:vAlign w:val="center"/>
                </w:tcPr>
                <w:p w14:paraId="27354776">
                  <w:pPr>
                    <w:pStyle w:val="53"/>
                    <w:tabs>
                      <w:tab w:val="left" w:pos="315"/>
                      <w:tab w:val="left" w:pos="425"/>
                    </w:tabs>
                    <w:rPr>
                      <w:b w:val="0"/>
                      <w:snapToGrid w:val="0"/>
                      <w:sz w:val="21"/>
                      <w:szCs w:val="21"/>
                      <w:lang w:eastAsia="zh-CN"/>
                    </w:rPr>
                  </w:pPr>
                </w:p>
              </w:tc>
            </w:tr>
            <w:tr w14:paraId="4A4B3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4" w:type="pct"/>
                  <w:vMerge w:val="continue"/>
                  <w:vAlign w:val="center"/>
                </w:tcPr>
                <w:p w14:paraId="0F231851">
                  <w:pPr>
                    <w:pStyle w:val="44"/>
                    <w:widowControl/>
                    <w:adjustRightInd/>
                    <w:spacing w:before="0" w:line="240" w:lineRule="auto"/>
                    <w:ind w:firstLine="0"/>
                    <w:jc w:val="center"/>
                    <w:rPr>
                      <w:rFonts w:ascii="Times New Roman" w:hAnsi="Times New Roman"/>
                      <w:kern w:val="2"/>
                    </w:rPr>
                  </w:pPr>
                </w:p>
              </w:tc>
              <w:tc>
                <w:tcPr>
                  <w:tcW w:w="259" w:type="pct"/>
                  <w:vMerge w:val="continue"/>
                  <w:vAlign w:val="center"/>
                </w:tcPr>
                <w:p w14:paraId="50689100">
                  <w:pPr>
                    <w:pStyle w:val="44"/>
                    <w:widowControl/>
                    <w:adjustRightInd/>
                    <w:spacing w:before="0" w:line="240" w:lineRule="auto"/>
                    <w:ind w:firstLine="0"/>
                    <w:jc w:val="center"/>
                    <w:rPr>
                      <w:rFonts w:ascii="Times New Roman" w:hAnsi="Times New Roman"/>
                      <w:kern w:val="2"/>
                    </w:rPr>
                  </w:pPr>
                </w:p>
              </w:tc>
              <w:tc>
                <w:tcPr>
                  <w:tcW w:w="568" w:type="pct"/>
                  <w:vMerge w:val="continue"/>
                  <w:vAlign w:val="center"/>
                </w:tcPr>
                <w:p w14:paraId="568F81F8">
                  <w:pPr>
                    <w:pStyle w:val="44"/>
                    <w:widowControl/>
                    <w:adjustRightInd/>
                    <w:spacing w:before="0" w:line="240" w:lineRule="auto"/>
                    <w:ind w:firstLine="0"/>
                    <w:jc w:val="center"/>
                    <w:rPr>
                      <w:rFonts w:ascii="Times New Roman" w:hAnsi="Times New Roman"/>
                      <w:kern w:val="2"/>
                    </w:rPr>
                  </w:pPr>
                </w:p>
              </w:tc>
              <w:tc>
                <w:tcPr>
                  <w:tcW w:w="789" w:type="pct"/>
                  <w:vAlign w:val="center"/>
                </w:tcPr>
                <w:p w14:paraId="5A79E02F">
                  <w:pPr>
                    <w:pStyle w:val="44"/>
                    <w:widowControl/>
                    <w:adjustRightInd/>
                    <w:spacing w:before="0" w:line="240" w:lineRule="auto"/>
                    <w:ind w:firstLine="0"/>
                    <w:jc w:val="center"/>
                    <w:rPr>
                      <w:rFonts w:ascii="Times New Roman" w:hAnsi="Times New Roman"/>
                      <w:kern w:val="2"/>
                    </w:rPr>
                  </w:pPr>
                  <w:r>
                    <w:rPr>
                      <w:rFonts w:hint="eastAsia" w:ascii="Times New Roman" w:hAnsi="Times New Roman"/>
                      <w:kern w:val="2"/>
                    </w:rPr>
                    <w:t>二氧化硫</w:t>
                  </w:r>
                </w:p>
              </w:tc>
              <w:tc>
                <w:tcPr>
                  <w:tcW w:w="763" w:type="pct"/>
                  <w:vAlign w:val="center"/>
                </w:tcPr>
                <w:p w14:paraId="109A43CB">
                  <w:pPr>
                    <w:pStyle w:val="44"/>
                    <w:widowControl/>
                    <w:adjustRightInd/>
                    <w:spacing w:before="0" w:line="240" w:lineRule="auto"/>
                    <w:ind w:firstLine="0"/>
                    <w:jc w:val="center"/>
                    <w:rPr>
                      <w:rFonts w:ascii="Times New Roman" w:hAnsi="Times New Roman"/>
                    </w:rPr>
                  </w:pPr>
                  <w:r>
                    <w:rPr>
                      <w:rFonts w:ascii="Times New Roman" w:hAnsi="Times New Roman"/>
                    </w:rPr>
                    <w:t>1次/年</w:t>
                  </w:r>
                </w:p>
              </w:tc>
              <w:tc>
                <w:tcPr>
                  <w:tcW w:w="2145" w:type="pct"/>
                  <w:vMerge w:val="continue"/>
                  <w:vAlign w:val="center"/>
                </w:tcPr>
                <w:p w14:paraId="092778A0">
                  <w:pPr>
                    <w:pStyle w:val="53"/>
                    <w:tabs>
                      <w:tab w:val="left" w:pos="315"/>
                      <w:tab w:val="left" w:pos="425"/>
                    </w:tabs>
                    <w:rPr>
                      <w:b w:val="0"/>
                      <w:snapToGrid w:val="0"/>
                      <w:sz w:val="21"/>
                      <w:szCs w:val="21"/>
                      <w:lang w:eastAsia="zh-CN"/>
                    </w:rPr>
                  </w:pPr>
                </w:p>
              </w:tc>
            </w:tr>
            <w:tr w14:paraId="0809E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4" w:type="pct"/>
                  <w:vMerge w:val="continue"/>
                  <w:vAlign w:val="center"/>
                </w:tcPr>
                <w:p w14:paraId="426CB121">
                  <w:pPr>
                    <w:pStyle w:val="44"/>
                    <w:widowControl/>
                    <w:adjustRightInd/>
                    <w:spacing w:before="0" w:line="240" w:lineRule="auto"/>
                    <w:ind w:firstLine="0"/>
                    <w:jc w:val="center"/>
                    <w:rPr>
                      <w:rFonts w:ascii="Times New Roman" w:hAnsi="Times New Roman"/>
                      <w:kern w:val="2"/>
                    </w:rPr>
                  </w:pPr>
                </w:p>
              </w:tc>
              <w:tc>
                <w:tcPr>
                  <w:tcW w:w="259" w:type="pct"/>
                  <w:vMerge w:val="continue"/>
                  <w:vAlign w:val="center"/>
                </w:tcPr>
                <w:p w14:paraId="5ED41933">
                  <w:pPr>
                    <w:pStyle w:val="44"/>
                    <w:widowControl/>
                    <w:adjustRightInd/>
                    <w:spacing w:before="0" w:line="240" w:lineRule="auto"/>
                    <w:ind w:firstLine="0"/>
                    <w:jc w:val="center"/>
                    <w:rPr>
                      <w:rFonts w:ascii="Times New Roman" w:hAnsi="Times New Roman"/>
                      <w:kern w:val="2"/>
                    </w:rPr>
                  </w:pPr>
                </w:p>
              </w:tc>
              <w:tc>
                <w:tcPr>
                  <w:tcW w:w="568" w:type="pct"/>
                  <w:vMerge w:val="continue"/>
                  <w:vAlign w:val="center"/>
                </w:tcPr>
                <w:p w14:paraId="09D7AE0B">
                  <w:pPr>
                    <w:pStyle w:val="44"/>
                    <w:widowControl/>
                    <w:adjustRightInd/>
                    <w:spacing w:before="0" w:line="240" w:lineRule="auto"/>
                    <w:ind w:firstLine="0"/>
                    <w:jc w:val="center"/>
                    <w:rPr>
                      <w:rFonts w:ascii="Times New Roman" w:hAnsi="Times New Roman"/>
                      <w:kern w:val="2"/>
                    </w:rPr>
                  </w:pPr>
                </w:p>
              </w:tc>
              <w:tc>
                <w:tcPr>
                  <w:tcW w:w="789" w:type="pct"/>
                  <w:vAlign w:val="center"/>
                </w:tcPr>
                <w:p w14:paraId="323CA0C8">
                  <w:pPr>
                    <w:pStyle w:val="44"/>
                    <w:widowControl/>
                    <w:adjustRightInd/>
                    <w:spacing w:before="0" w:line="240" w:lineRule="auto"/>
                    <w:ind w:firstLine="0"/>
                    <w:jc w:val="center"/>
                    <w:rPr>
                      <w:rFonts w:ascii="Times New Roman" w:hAnsi="Times New Roman"/>
                      <w:kern w:val="2"/>
                    </w:rPr>
                  </w:pPr>
                  <w:r>
                    <w:rPr>
                      <w:rFonts w:hint="eastAsia" w:ascii="Times New Roman" w:hAnsi="Times New Roman"/>
                      <w:kern w:val="2"/>
                    </w:rPr>
                    <w:t>林格曼黑度</w:t>
                  </w:r>
                </w:p>
              </w:tc>
              <w:tc>
                <w:tcPr>
                  <w:tcW w:w="763" w:type="pct"/>
                  <w:vAlign w:val="center"/>
                </w:tcPr>
                <w:p w14:paraId="5AF0E8C1">
                  <w:pPr>
                    <w:pStyle w:val="44"/>
                    <w:widowControl/>
                    <w:adjustRightInd/>
                    <w:spacing w:before="0" w:line="240" w:lineRule="auto"/>
                    <w:ind w:firstLine="0"/>
                    <w:jc w:val="center"/>
                    <w:rPr>
                      <w:rFonts w:ascii="Times New Roman" w:hAnsi="Times New Roman"/>
                    </w:rPr>
                  </w:pPr>
                  <w:r>
                    <w:rPr>
                      <w:rFonts w:ascii="Times New Roman" w:hAnsi="Times New Roman"/>
                    </w:rPr>
                    <w:t>1次/年</w:t>
                  </w:r>
                </w:p>
              </w:tc>
              <w:tc>
                <w:tcPr>
                  <w:tcW w:w="2145" w:type="pct"/>
                  <w:vMerge w:val="continue"/>
                  <w:vAlign w:val="center"/>
                </w:tcPr>
                <w:p w14:paraId="671E149E">
                  <w:pPr>
                    <w:pStyle w:val="53"/>
                    <w:tabs>
                      <w:tab w:val="left" w:pos="315"/>
                      <w:tab w:val="left" w:pos="425"/>
                    </w:tabs>
                    <w:rPr>
                      <w:b w:val="0"/>
                      <w:snapToGrid w:val="0"/>
                      <w:sz w:val="21"/>
                      <w:szCs w:val="21"/>
                      <w:lang w:eastAsia="zh-CN"/>
                    </w:rPr>
                  </w:pPr>
                </w:p>
              </w:tc>
            </w:tr>
            <w:tr w14:paraId="051DD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4" w:type="pct"/>
                  <w:vMerge w:val="continue"/>
                  <w:vAlign w:val="center"/>
                </w:tcPr>
                <w:p w14:paraId="38C977CE">
                  <w:pPr>
                    <w:pStyle w:val="44"/>
                    <w:widowControl/>
                    <w:adjustRightInd/>
                    <w:spacing w:before="0" w:line="240" w:lineRule="auto"/>
                    <w:ind w:firstLine="0"/>
                    <w:jc w:val="center"/>
                    <w:rPr>
                      <w:rFonts w:ascii="Times New Roman" w:hAnsi="Times New Roman"/>
                      <w:kern w:val="2"/>
                    </w:rPr>
                  </w:pPr>
                </w:p>
              </w:tc>
              <w:tc>
                <w:tcPr>
                  <w:tcW w:w="259" w:type="pct"/>
                  <w:vMerge w:val="continue"/>
                  <w:vAlign w:val="center"/>
                </w:tcPr>
                <w:p w14:paraId="79E3CF60">
                  <w:pPr>
                    <w:pStyle w:val="44"/>
                    <w:widowControl/>
                    <w:adjustRightInd/>
                    <w:spacing w:before="0" w:line="240" w:lineRule="auto"/>
                    <w:ind w:firstLine="0"/>
                    <w:jc w:val="center"/>
                    <w:rPr>
                      <w:rFonts w:ascii="Times New Roman" w:hAnsi="Times New Roman"/>
                      <w:kern w:val="2"/>
                    </w:rPr>
                  </w:pPr>
                </w:p>
              </w:tc>
              <w:tc>
                <w:tcPr>
                  <w:tcW w:w="568" w:type="pct"/>
                  <w:vAlign w:val="center"/>
                </w:tcPr>
                <w:p w14:paraId="1F657B18">
                  <w:pPr>
                    <w:pStyle w:val="44"/>
                    <w:widowControl/>
                    <w:adjustRightInd/>
                    <w:spacing w:before="0" w:line="240" w:lineRule="auto"/>
                    <w:ind w:firstLine="0"/>
                    <w:jc w:val="center"/>
                    <w:rPr>
                      <w:rFonts w:hint="default" w:ascii="Times New Roman" w:hAnsi="Times New Roman" w:eastAsia="宋体"/>
                      <w:kern w:val="2"/>
                      <w:lang w:val="en-US" w:eastAsia="zh-CN"/>
                    </w:rPr>
                  </w:pPr>
                  <w:r>
                    <w:rPr>
                      <w:rFonts w:hint="eastAsia" w:ascii="Times New Roman" w:hAnsi="Times New Roman"/>
                      <w:kern w:val="2"/>
                      <w:lang w:val="en-US" w:eastAsia="zh-CN"/>
                    </w:rPr>
                    <w:t>DA004</w:t>
                  </w:r>
                </w:p>
              </w:tc>
              <w:tc>
                <w:tcPr>
                  <w:tcW w:w="789" w:type="pct"/>
                  <w:vAlign w:val="center"/>
                </w:tcPr>
                <w:p w14:paraId="36498D07">
                  <w:pPr>
                    <w:pStyle w:val="44"/>
                    <w:widowControl/>
                    <w:adjustRightInd/>
                    <w:spacing w:before="0" w:line="240" w:lineRule="auto"/>
                    <w:ind w:firstLine="0"/>
                    <w:jc w:val="center"/>
                    <w:rPr>
                      <w:rFonts w:hint="eastAsia" w:ascii="Times New Roman" w:hAnsi="Times New Roman"/>
                      <w:kern w:val="2"/>
                    </w:rPr>
                  </w:pPr>
                  <w:r>
                    <w:rPr>
                      <w:rFonts w:ascii="Times New Roman" w:hAnsi="Times New Roman"/>
                      <w:kern w:val="2"/>
                    </w:rPr>
                    <w:t>颗粒物</w:t>
                  </w:r>
                </w:p>
              </w:tc>
              <w:tc>
                <w:tcPr>
                  <w:tcW w:w="763" w:type="pct"/>
                  <w:vAlign w:val="center"/>
                </w:tcPr>
                <w:p w14:paraId="272CE1FE">
                  <w:pPr>
                    <w:pStyle w:val="44"/>
                    <w:widowControl/>
                    <w:adjustRightInd/>
                    <w:spacing w:before="0" w:line="240" w:lineRule="auto"/>
                    <w:ind w:firstLine="0"/>
                    <w:jc w:val="center"/>
                    <w:rPr>
                      <w:rFonts w:ascii="Times New Roman" w:hAnsi="Times New Roman"/>
                    </w:rPr>
                  </w:pPr>
                  <w:r>
                    <w:rPr>
                      <w:rFonts w:ascii="Times New Roman" w:hAnsi="Times New Roman"/>
                    </w:rPr>
                    <w:t>1次/年</w:t>
                  </w:r>
                </w:p>
              </w:tc>
              <w:tc>
                <w:tcPr>
                  <w:tcW w:w="2145" w:type="pct"/>
                  <w:vAlign w:val="center"/>
                </w:tcPr>
                <w:p w14:paraId="5E2E45A7">
                  <w:pPr>
                    <w:pStyle w:val="53"/>
                    <w:tabs>
                      <w:tab w:val="left" w:pos="315"/>
                      <w:tab w:val="left" w:pos="425"/>
                    </w:tabs>
                    <w:rPr>
                      <w:b w:val="0"/>
                      <w:snapToGrid w:val="0"/>
                      <w:sz w:val="21"/>
                      <w:szCs w:val="21"/>
                      <w:lang w:eastAsia="zh-CN"/>
                    </w:rPr>
                  </w:pPr>
                  <w:r>
                    <w:rPr>
                      <w:b w:val="0"/>
                      <w:snapToGrid w:val="0"/>
                      <w:sz w:val="21"/>
                      <w:szCs w:val="21"/>
                      <w:lang w:eastAsia="zh-CN"/>
                    </w:rPr>
                    <w:t>《大气污染物综合排放标准》（GB16297-1996）</w:t>
                  </w:r>
                </w:p>
              </w:tc>
            </w:tr>
            <w:tr w14:paraId="70F82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4" w:type="pct"/>
                  <w:vMerge w:val="continue"/>
                  <w:vAlign w:val="center"/>
                </w:tcPr>
                <w:p w14:paraId="4A857D6A">
                  <w:pPr>
                    <w:pStyle w:val="44"/>
                    <w:widowControl/>
                    <w:adjustRightInd/>
                    <w:spacing w:before="0" w:line="240" w:lineRule="auto"/>
                    <w:ind w:firstLine="0"/>
                    <w:jc w:val="center"/>
                    <w:rPr>
                      <w:rFonts w:ascii="Times New Roman" w:hAnsi="Times New Roman"/>
                      <w:kern w:val="2"/>
                    </w:rPr>
                  </w:pPr>
                </w:p>
              </w:tc>
              <w:tc>
                <w:tcPr>
                  <w:tcW w:w="827" w:type="pct"/>
                  <w:gridSpan w:val="2"/>
                  <w:vAlign w:val="center"/>
                </w:tcPr>
                <w:p w14:paraId="6A4E0369">
                  <w:pPr>
                    <w:pStyle w:val="44"/>
                    <w:widowControl/>
                    <w:adjustRightInd/>
                    <w:spacing w:before="0" w:line="240" w:lineRule="auto"/>
                    <w:ind w:firstLine="0"/>
                    <w:jc w:val="center"/>
                    <w:rPr>
                      <w:rFonts w:ascii="Times New Roman" w:hAnsi="Times New Roman"/>
                      <w:kern w:val="2"/>
                    </w:rPr>
                  </w:pPr>
                  <w:r>
                    <w:rPr>
                      <w:rFonts w:ascii="Times New Roman" w:hAnsi="Times New Roman"/>
                      <w:kern w:val="2"/>
                    </w:rPr>
                    <w:t>厂界噪声</w:t>
                  </w:r>
                </w:p>
              </w:tc>
              <w:tc>
                <w:tcPr>
                  <w:tcW w:w="789" w:type="pct"/>
                  <w:vAlign w:val="center"/>
                </w:tcPr>
                <w:p w14:paraId="4DE5BEBE">
                  <w:pPr>
                    <w:pStyle w:val="44"/>
                    <w:widowControl/>
                    <w:adjustRightInd/>
                    <w:spacing w:before="0" w:line="240" w:lineRule="auto"/>
                    <w:ind w:firstLine="0"/>
                    <w:jc w:val="center"/>
                    <w:rPr>
                      <w:rFonts w:ascii="Times New Roman" w:hAnsi="Times New Roman"/>
                      <w:kern w:val="2"/>
                    </w:rPr>
                  </w:pPr>
                  <w:r>
                    <w:rPr>
                      <w:rFonts w:ascii="Times New Roman" w:hAnsi="Times New Roman"/>
                      <w:kern w:val="2"/>
                    </w:rPr>
                    <w:t>噪声</w:t>
                  </w:r>
                </w:p>
              </w:tc>
              <w:tc>
                <w:tcPr>
                  <w:tcW w:w="763" w:type="pct"/>
                  <w:vAlign w:val="center"/>
                </w:tcPr>
                <w:p w14:paraId="01D360F5">
                  <w:pPr>
                    <w:pStyle w:val="44"/>
                    <w:widowControl/>
                    <w:adjustRightInd/>
                    <w:spacing w:before="0" w:line="240" w:lineRule="auto"/>
                    <w:ind w:firstLine="0"/>
                    <w:jc w:val="center"/>
                    <w:rPr>
                      <w:rFonts w:ascii="Times New Roman" w:hAnsi="Times New Roman"/>
                      <w:kern w:val="2"/>
                    </w:rPr>
                  </w:pPr>
                  <w:r>
                    <w:rPr>
                      <w:rFonts w:ascii="Times New Roman" w:hAnsi="Times New Roman"/>
                      <w:kern w:val="2"/>
                    </w:rPr>
                    <w:t>1次/季度</w:t>
                  </w:r>
                </w:p>
              </w:tc>
              <w:tc>
                <w:tcPr>
                  <w:tcW w:w="2145" w:type="pct"/>
                  <w:vAlign w:val="center"/>
                </w:tcPr>
                <w:p w14:paraId="253B59FE">
                  <w:pPr>
                    <w:pStyle w:val="44"/>
                    <w:widowControl/>
                    <w:adjustRightInd/>
                    <w:spacing w:before="0" w:line="240" w:lineRule="auto"/>
                    <w:ind w:firstLine="0"/>
                    <w:jc w:val="center"/>
                    <w:rPr>
                      <w:rFonts w:ascii="Times New Roman" w:hAnsi="Times New Roman"/>
                      <w:kern w:val="2"/>
                    </w:rPr>
                  </w:pPr>
                  <w:r>
                    <w:rPr>
                      <w:rFonts w:ascii="Times New Roman" w:hAnsi="Times New Roman"/>
                    </w:rPr>
                    <w:t>《排污许可证申请与核发技术规范 工业噪声》（HJ1301-2023）</w:t>
                  </w:r>
                </w:p>
              </w:tc>
            </w:tr>
          </w:tbl>
          <w:p w14:paraId="7B138CD1">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b/>
                <w:bCs/>
                <w:color w:val="000000"/>
                <w:sz w:val="24"/>
                <w:lang w:bidi="ar"/>
              </w:rPr>
            </w:pPr>
            <w:r>
              <w:rPr>
                <w:b/>
                <w:bCs/>
                <w:color w:val="000000"/>
                <w:sz w:val="24"/>
                <w:lang w:bidi="ar"/>
              </w:rPr>
              <w:t>2、排污许可衔接</w:t>
            </w:r>
          </w:p>
          <w:p w14:paraId="380E1A59">
            <w:pPr>
              <w:adjustRightInd w:val="0"/>
              <w:spacing w:line="360" w:lineRule="auto"/>
              <w:ind w:firstLine="480" w:firstLineChars="200"/>
              <w:jc w:val="left"/>
              <w:rPr>
                <w:color w:val="000000"/>
                <w:sz w:val="24"/>
                <w:lang w:bidi="ar"/>
              </w:rPr>
            </w:pPr>
            <w:r>
              <w:rPr>
                <w:color w:val="000000"/>
                <w:sz w:val="24"/>
                <w:lang w:bidi="ar"/>
              </w:rPr>
              <w:t>根据《关于做好环境影响评价制度与排污许可制衔接相关工作的通知》(环办环评[2017184号)，项目应在获得环评审批文件后，按照《固定污染源排污许可分类管理名录》确定管理类别，并按照国家环境保护相关法律法规以及排污许可证申请与核发技术规范要求申请排污许可证，不得无证排污或不按证排污，并根据相关要求执行自行监测、台账记录等要求。根据</w:t>
            </w:r>
            <w:r>
              <w:rPr>
                <w:rFonts w:hint="eastAsia"/>
                <w:color w:val="000000"/>
                <w:sz w:val="24"/>
                <w:lang w:bidi="ar"/>
              </w:rPr>
              <w:t>《</w:t>
            </w:r>
            <w:r>
              <w:rPr>
                <w:color w:val="000000"/>
                <w:sz w:val="24"/>
                <w:lang w:bidi="ar"/>
              </w:rPr>
              <w:t>固定污染源排污许可分类管理名录》，本项目</w:t>
            </w:r>
            <w:r>
              <w:rPr>
                <w:rFonts w:hint="eastAsia"/>
                <w:color w:val="000000"/>
                <w:sz w:val="24"/>
                <w:lang w:bidi="ar"/>
              </w:rPr>
              <w:t>属于“五十一、通用工序”中“109.锅炉”中“除纳入重点排污单位名录的，单台且合计出力20吨/小时（14兆瓦）以下的锅炉（不含电热锅炉）”，</w:t>
            </w:r>
            <w:r>
              <w:rPr>
                <w:color w:val="000000"/>
                <w:sz w:val="24"/>
                <w:lang w:bidi="ar"/>
              </w:rPr>
              <w:t>排污许可为</w:t>
            </w:r>
            <w:r>
              <w:rPr>
                <w:rFonts w:hint="eastAsia"/>
                <w:color w:val="000000"/>
                <w:sz w:val="24"/>
                <w:lang w:bidi="ar"/>
              </w:rPr>
              <w:t>登记管理</w:t>
            </w:r>
            <w:r>
              <w:rPr>
                <w:color w:val="000000"/>
                <w:sz w:val="24"/>
                <w:lang w:bidi="ar"/>
              </w:rPr>
              <w:t>。</w:t>
            </w:r>
          </w:p>
          <w:p w14:paraId="10159BE1">
            <w:pPr>
              <w:adjustRightInd w:val="0"/>
              <w:spacing w:line="360" w:lineRule="auto"/>
              <w:ind w:firstLine="482" w:firstLineChars="200"/>
              <w:jc w:val="left"/>
              <w:rPr>
                <w:b/>
                <w:bCs/>
                <w:color w:val="000000"/>
                <w:sz w:val="24"/>
                <w:lang w:bidi="ar"/>
              </w:rPr>
            </w:pPr>
            <w:r>
              <w:rPr>
                <w:b/>
                <w:bCs/>
                <w:color w:val="000000"/>
                <w:sz w:val="24"/>
                <w:lang w:bidi="ar"/>
              </w:rPr>
              <w:t>3、竣工环境保护设施验收</w:t>
            </w:r>
          </w:p>
          <w:p w14:paraId="2809CE85">
            <w:pPr>
              <w:adjustRightInd w:val="0"/>
              <w:spacing w:line="360" w:lineRule="auto"/>
              <w:ind w:firstLine="480" w:firstLineChars="200"/>
              <w:jc w:val="left"/>
              <w:rPr>
                <w:color w:val="000000"/>
                <w:sz w:val="24"/>
                <w:lang w:bidi="ar"/>
              </w:rPr>
            </w:pPr>
            <w:r>
              <w:rPr>
                <w:color w:val="000000"/>
                <w:sz w:val="24"/>
                <w:lang w:bidi="ar"/>
              </w:rPr>
              <w:t>根据《建设项目竣工环境保护验收暂行办法》的规定，建设项目竣工后，建设单位应当如实查验、监测、记载建设项目环境保护设施的建设和调试情况，编制验收监测报告。</w:t>
            </w:r>
          </w:p>
          <w:p w14:paraId="1B449E9C">
            <w:pPr>
              <w:widowControl/>
              <w:autoSpaceDE w:val="0"/>
              <w:autoSpaceDN w:val="0"/>
              <w:spacing w:line="360" w:lineRule="auto"/>
              <w:ind w:firstLine="480" w:firstLineChars="200"/>
              <w:textAlignment w:val="baseline"/>
              <w:rPr>
                <w:b/>
                <w:bCs/>
                <w:sz w:val="24"/>
              </w:rPr>
            </w:pPr>
            <w:r>
              <w:rPr>
                <w:rFonts w:hint="eastAsia" w:ascii="宋体" w:hAnsi="宋体" w:cs="宋体"/>
                <w:sz w:val="24"/>
              </w:rPr>
              <w:t>本项目环保设施投资概算见下表。</w:t>
            </w:r>
          </w:p>
          <w:p w14:paraId="3285756E">
            <w:pPr>
              <w:jc w:val="center"/>
              <w:rPr>
                <w:b/>
                <w:bCs/>
              </w:rPr>
            </w:pPr>
            <w:r>
              <w:rPr>
                <w:b/>
                <w:bCs/>
                <w:sz w:val="24"/>
              </w:rPr>
              <w:t>表</w:t>
            </w:r>
            <w:r>
              <w:rPr>
                <w:rFonts w:hint="eastAsia"/>
                <w:b/>
                <w:bCs/>
                <w:sz w:val="24"/>
              </w:rPr>
              <w:t xml:space="preserve">5-2  </w:t>
            </w:r>
            <w:r>
              <w:rPr>
                <w:b/>
                <w:bCs/>
                <w:sz w:val="24"/>
              </w:rPr>
              <w:t>本项目环保设施投资概算</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3"/>
              <w:gridCol w:w="1526"/>
              <w:gridCol w:w="2292"/>
              <w:gridCol w:w="2124"/>
              <w:gridCol w:w="1103"/>
            </w:tblGrid>
            <w:tr w14:paraId="01BD8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5" w:type="pct"/>
                  <w:tcBorders>
                    <w:top w:val="single" w:color="auto" w:sz="4" w:space="0"/>
                    <w:left w:val="single" w:color="auto" w:sz="4" w:space="0"/>
                    <w:bottom w:val="single" w:color="auto" w:sz="4" w:space="0"/>
                    <w:right w:val="single" w:color="auto" w:sz="4" w:space="0"/>
                  </w:tcBorders>
                  <w:vAlign w:val="center"/>
                </w:tcPr>
                <w:p w14:paraId="44F6BDA0">
                  <w:pPr>
                    <w:jc w:val="center"/>
                    <w:rPr>
                      <w:kern w:val="24"/>
                    </w:rPr>
                  </w:pPr>
                  <w:r>
                    <w:rPr>
                      <w:kern w:val="24"/>
                    </w:rPr>
                    <w:t>项目名称</w:t>
                  </w:r>
                </w:p>
              </w:tc>
              <w:tc>
                <w:tcPr>
                  <w:tcW w:w="906" w:type="pct"/>
                  <w:tcBorders>
                    <w:top w:val="single" w:color="auto" w:sz="4" w:space="0"/>
                    <w:left w:val="single" w:color="auto" w:sz="4" w:space="0"/>
                    <w:bottom w:val="single" w:color="auto" w:sz="4" w:space="0"/>
                    <w:right w:val="single" w:color="auto" w:sz="4" w:space="0"/>
                  </w:tcBorders>
                  <w:vAlign w:val="center"/>
                </w:tcPr>
                <w:p w14:paraId="48D57399">
                  <w:pPr>
                    <w:jc w:val="center"/>
                    <w:rPr>
                      <w:kern w:val="24"/>
                    </w:rPr>
                  </w:pPr>
                  <w:r>
                    <w:rPr>
                      <w:kern w:val="24"/>
                    </w:rPr>
                    <w:t>治理对象</w:t>
                  </w:r>
                </w:p>
              </w:tc>
              <w:tc>
                <w:tcPr>
                  <w:tcW w:w="2622" w:type="pct"/>
                  <w:gridSpan w:val="2"/>
                  <w:tcBorders>
                    <w:top w:val="single" w:color="auto" w:sz="4" w:space="0"/>
                    <w:left w:val="single" w:color="auto" w:sz="4" w:space="0"/>
                    <w:bottom w:val="single" w:color="auto" w:sz="4" w:space="0"/>
                    <w:right w:val="single" w:color="auto" w:sz="4" w:space="0"/>
                  </w:tcBorders>
                  <w:vAlign w:val="center"/>
                </w:tcPr>
                <w:p w14:paraId="3FC09192">
                  <w:pPr>
                    <w:jc w:val="center"/>
                    <w:rPr>
                      <w:kern w:val="24"/>
                    </w:rPr>
                  </w:pPr>
                  <w:r>
                    <w:rPr>
                      <w:kern w:val="24"/>
                    </w:rPr>
                    <w:t>建设内容</w:t>
                  </w:r>
                </w:p>
              </w:tc>
              <w:tc>
                <w:tcPr>
                  <w:tcW w:w="655" w:type="pct"/>
                  <w:tcBorders>
                    <w:top w:val="single" w:color="auto" w:sz="4" w:space="0"/>
                    <w:left w:val="single" w:color="auto" w:sz="4" w:space="0"/>
                    <w:bottom w:val="single" w:color="auto" w:sz="4" w:space="0"/>
                    <w:right w:val="single" w:color="auto" w:sz="4" w:space="0"/>
                  </w:tcBorders>
                  <w:vAlign w:val="center"/>
                </w:tcPr>
                <w:p w14:paraId="599D5179">
                  <w:pPr>
                    <w:jc w:val="center"/>
                    <w:rPr>
                      <w:kern w:val="24"/>
                    </w:rPr>
                  </w:pPr>
                  <w:r>
                    <w:rPr>
                      <w:kern w:val="24"/>
                    </w:rPr>
                    <w:t>投资</w:t>
                  </w:r>
                </w:p>
                <w:p w14:paraId="034B7B15">
                  <w:pPr>
                    <w:jc w:val="center"/>
                    <w:rPr>
                      <w:kern w:val="24"/>
                    </w:rPr>
                  </w:pPr>
                  <w:r>
                    <w:rPr>
                      <w:kern w:val="24"/>
                    </w:rPr>
                    <w:t>（万元）</w:t>
                  </w:r>
                </w:p>
              </w:tc>
            </w:tr>
            <w:tr w14:paraId="0CBB5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5" w:type="pct"/>
                  <w:tcBorders>
                    <w:top w:val="single" w:color="auto" w:sz="4" w:space="0"/>
                    <w:left w:val="single" w:color="auto" w:sz="4" w:space="0"/>
                    <w:right w:val="single" w:color="auto" w:sz="4" w:space="0"/>
                  </w:tcBorders>
                  <w:vAlign w:val="center"/>
                </w:tcPr>
                <w:p w14:paraId="5FB95E5E">
                  <w:pPr>
                    <w:jc w:val="center"/>
                    <w:rPr>
                      <w:kern w:val="24"/>
                    </w:rPr>
                  </w:pPr>
                  <w:r>
                    <w:rPr>
                      <w:kern w:val="24"/>
                    </w:rPr>
                    <w:t>废水治理</w:t>
                  </w:r>
                </w:p>
              </w:tc>
              <w:tc>
                <w:tcPr>
                  <w:tcW w:w="906" w:type="pct"/>
                  <w:tcBorders>
                    <w:top w:val="single" w:color="auto" w:sz="4" w:space="0"/>
                    <w:left w:val="single" w:color="auto" w:sz="4" w:space="0"/>
                    <w:bottom w:val="single" w:color="auto" w:sz="4" w:space="0"/>
                    <w:right w:val="single" w:color="auto" w:sz="4" w:space="0"/>
                  </w:tcBorders>
                  <w:vAlign w:val="center"/>
                </w:tcPr>
                <w:p w14:paraId="6566300E">
                  <w:pPr>
                    <w:jc w:val="center"/>
                    <w:rPr>
                      <w:kern w:val="24"/>
                    </w:rPr>
                  </w:pPr>
                  <w:r>
                    <w:t>生活污水</w:t>
                  </w:r>
                </w:p>
              </w:tc>
              <w:tc>
                <w:tcPr>
                  <w:tcW w:w="2622" w:type="pct"/>
                  <w:gridSpan w:val="2"/>
                  <w:tcBorders>
                    <w:top w:val="single" w:color="auto" w:sz="4" w:space="0"/>
                    <w:left w:val="single" w:color="auto" w:sz="4" w:space="0"/>
                    <w:bottom w:val="single" w:color="auto" w:sz="4" w:space="0"/>
                    <w:right w:val="single" w:color="auto" w:sz="4" w:space="0"/>
                  </w:tcBorders>
                  <w:vAlign w:val="center"/>
                </w:tcPr>
                <w:p w14:paraId="1C4E8193">
                  <w:pPr>
                    <w:jc w:val="center"/>
                    <w:rPr>
                      <w:kern w:val="24"/>
                    </w:rPr>
                  </w:pPr>
                  <w:r>
                    <w:rPr>
                      <w:rFonts w:hint="eastAsia"/>
                    </w:rPr>
                    <w:t>化粪池处理</w:t>
                  </w:r>
                </w:p>
              </w:tc>
              <w:tc>
                <w:tcPr>
                  <w:tcW w:w="655" w:type="pct"/>
                  <w:tcBorders>
                    <w:top w:val="single" w:color="auto" w:sz="4" w:space="0"/>
                    <w:left w:val="single" w:color="auto" w:sz="4" w:space="0"/>
                    <w:bottom w:val="single" w:color="auto" w:sz="4" w:space="0"/>
                    <w:right w:val="single" w:color="auto" w:sz="4" w:space="0"/>
                  </w:tcBorders>
                  <w:vAlign w:val="center"/>
                </w:tcPr>
                <w:p w14:paraId="0ACD9AE1">
                  <w:pPr>
                    <w:pStyle w:val="54"/>
                    <w:spacing w:before="0" w:after="0" w:line="240" w:lineRule="auto"/>
                    <w:rPr>
                      <w:kern w:val="24"/>
                      <w:szCs w:val="21"/>
                    </w:rPr>
                  </w:pPr>
                  <w:r>
                    <w:rPr>
                      <w:rFonts w:hint="eastAsia"/>
                      <w:kern w:val="24"/>
                      <w:szCs w:val="21"/>
                    </w:rPr>
                    <w:t>3</w:t>
                  </w:r>
                </w:p>
              </w:tc>
            </w:tr>
            <w:tr w14:paraId="3470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5" w:type="pct"/>
                  <w:vMerge w:val="restart"/>
                  <w:tcBorders>
                    <w:top w:val="single" w:color="auto" w:sz="4" w:space="0"/>
                    <w:left w:val="single" w:color="auto" w:sz="4" w:space="0"/>
                    <w:right w:val="single" w:color="auto" w:sz="4" w:space="0"/>
                  </w:tcBorders>
                  <w:vAlign w:val="center"/>
                </w:tcPr>
                <w:p w14:paraId="0B41752A">
                  <w:pPr>
                    <w:jc w:val="center"/>
                    <w:rPr>
                      <w:kern w:val="24"/>
                    </w:rPr>
                  </w:pPr>
                  <w:r>
                    <w:rPr>
                      <w:kern w:val="24"/>
                    </w:rPr>
                    <w:t>废气治理</w:t>
                  </w:r>
                </w:p>
              </w:tc>
              <w:tc>
                <w:tcPr>
                  <w:tcW w:w="906" w:type="pct"/>
                  <w:tcBorders>
                    <w:top w:val="single" w:color="auto" w:sz="4" w:space="0"/>
                    <w:left w:val="single" w:color="auto" w:sz="4" w:space="0"/>
                    <w:bottom w:val="single" w:color="auto" w:sz="4" w:space="0"/>
                    <w:right w:val="single" w:color="auto" w:sz="4" w:space="0"/>
                  </w:tcBorders>
                  <w:vAlign w:val="center"/>
                </w:tcPr>
                <w:p w14:paraId="6938831A">
                  <w:pPr>
                    <w:jc w:val="center"/>
                    <w:rPr>
                      <w:kern w:val="24"/>
                    </w:rPr>
                  </w:pPr>
                  <w:r>
                    <w:rPr>
                      <w:rFonts w:hint="eastAsia"/>
                      <w:kern w:val="24"/>
                    </w:rPr>
                    <w:t>筛分</w:t>
                  </w:r>
                </w:p>
              </w:tc>
              <w:tc>
                <w:tcPr>
                  <w:tcW w:w="2622" w:type="pct"/>
                  <w:gridSpan w:val="2"/>
                  <w:tcBorders>
                    <w:top w:val="single" w:color="auto" w:sz="4" w:space="0"/>
                    <w:left w:val="single" w:color="auto" w:sz="4" w:space="0"/>
                    <w:right w:val="single" w:color="auto" w:sz="4" w:space="0"/>
                  </w:tcBorders>
                  <w:vAlign w:val="center"/>
                </w:tcPr>
                <w:p w14:paraId="380A7B26">
                  <w:pPr>
                    <w:jc w:val="center"/>
                    <w:rPr>
                      <w:kern w:val="24"/>
                    </w:rPr>
                  </w:pPr>
                  <w:r>
                    <w:rPr>
                      <w:rFonts w:hint="eastAsia"/>
                      <w:kern w:val="24"/>
                    </w:rPr>
                    <w:t>脉冲除尘器（TA001）+15m高排气筒排放（DA001）</w:t>
                  </w:r>
                </w:p>
              </w:tc>
              <w:tc>
                <w:tcPr>
                  <w:tcW w:w="655" w:type="pct"/>
                  <w:tcBorders>
                    <w:top w:val="single" w:color="auto" w:sz="4" w:space="0"/>
                    <w:left w:val="single" w:color="auto" w:sz="4" w:space="0"/>
                    <w:right w:val="single" w:color="auto" w:sz="4" w:space="0"/>
                  </w:tcBorders>
                  <w:vAlign w:val="center"/>
                </w:tcPr>
                <w:p w14:paraId="05234091">
                  <w:pPr>
                    <w:jc w:val="center"/>
                    <w:rPr>
                      <w:kern w:val="24"/>
                    </w:rPr>
                  </w:pPr>
                  <w:r>
                    <w:rPr>
                      <w:rFonts w:hint="eastAsia"/>
                      <w:kern w:val="24"/>
                    </w:rPr>
                    <w:t>15</w:t>
                  </w:r>
                </w:p>
              </w:tc>
            </w:tr>
            <w:tr w14:paraId="3B0A1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5" w:type="pct"/>
                  <w:vMerge w:val="continue"/>
                  <w:tcBorders>
                    <w:left w:val="single" w:color="auto" w:sz="4" w:space="0"/>
                    <w:right w:val="single" w:color="auto" w:sz="4" w:space="0"/>
                  </w:tcBorders>
                  <w:vAlign w:val="center"/>
                </w:tcPr>
                <w:p w14:paraId="629F16C9">
                  <w:pPr>
                    <w:jc w:val="center"/>
                    <w:rPr>
                      <w:kern w:val="24"/>
                    </w:rPr>
                  </w:pPr>
                </w:p>
              </w:tc>
              <w:tc>
                <w:tcPr>
                  <w:tcW w:w="906" w:type="pct"/>
                  <w:tcBorders>
                    <w:top w:val="single" w:color="auto" w:sz="4" w:space="0"/>
                    <w:left w:val="single" w:color="auto" w:sz="4" w:space="0"/>
                    <w:bottom w:val="single" w:color="auto" w:sz="4" w:space="0"/>
                    <w:right w:val="single" w:color="auto" w:sz="4" w:space="0"/>
                  </w:tcBorders>
                  <w:vAlign w:val="center"/>
                </w:tcPr>
                <w:p w14:paraId="0C3A08D8">
                  <w:pPr>
                    <w:jc w:val="center"/>
                    <w:rPr>
                      <w:kern w:val="24"/>
                    </w:rPr>
                  </w:pPr>
                  <w:r>
                    <w:rPr>
                      <w:rFonts w:hint="eastAsia"/>
                      <w:kern w:val="24"/>
                    </w:rPr>
                    <w:t>卸料</w:t>
                  </w:r>
                </w:p>
              </w:tc>
              <w:tc>
                <w:tcPr>
                  <w:tcW w:w="2622" w:type="pct"/>
                  <w:gridSpan w:val="2"/>
                  <w:tcBorders>
                    <w:top w:val="single" w:color="auto" w:sz="4" w:space="0"/>
                    <w:left w:val="single" w:color="auto" w:sz="4" w:space="0"/>
                    <w:right w:val="single" w:color="auto" w:sz="4" w:space="0"/>
                  </w:tcBorders>
                  <w:vAlign w:val="center"/>
                </w:tcPr>
                <w:p w14:paraId="2972088F">
                  <w:pPr>
                    <w:jc w:val="center"/>
                    <w:rPr>
                      <w:kern w:val="24"/>
                    </w:rPr>
                  </w:pPr>
                  <w:r>
                    <w:rPr>
                      <w:rFonts w:hint="eastAsia"/>
                      <w:kern w:val="24"/>
                    </w:rPr>
                    <w:t>布袋除尘器（TA002）+15m高排气筒排放（DA002）</w:t>
                  </w:r>
                </w:p>
              </w:tc>
              <w:tc>
                <w:tcPr>
                  <w:tcW w:w="655" w:type="pct"/>
                  <w:tcBorders>
                    <w:top w:val="single" w:color="auto" w:sz="4" w:space="0"/>
                    <w:left w:val="single" w:color="auto" w:sz="4" w:space="0"/>
                    <w:right w:val="single" w:color="auto" w:sz="4" w:space="0"/>
                  </w:tcBorders>
                  <w:vAlign w:val="center"/>
                </w:tcPr>
                <w:p w14:paraId="16BF115F">
                  <w:pPr>
                    <w:jc w:val="center"/>
                    <w:rPr>
                      <w:rFonts w:hint="default" w:eastAsia="宋体"/>
                      <w:kern w:val="24"/>
                      <w:lang w:val="en-US" w:eastAsia="zh-CN"/>
                    </w:rPr>
                  </w:pPr>
                  <w:r>
                    <w:rPr>
                      <w:rFonts w:hint="eastAsia"/>
                      <w:kern w:val="24"/>
                      <w:lang w:val="en-US" w:eastAsia="zh-CN"/>
                    </w:rPr>
                    <w:t>15</w:t>
                  </w:r>
                </w:p>
              </w:tc>
            </w:tr>
            <w:tr w14:paraId="3CCE2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5" w:type="pct"/>
                  <w:vMerge w:val="continue"/>
                  <w:tcBorders>
                    <w:left w:val="single" w:color="auto" w:sz="4" w:space="0"/>
                    <w:right w:val="single" w:color="auto" w:sz="4" w:space="0"/>
                  </w:tcBorders>
                  <w:vAlign w:val="center"/>
                </w:tcPr>
                <w:p w14:paraId="5A417D20">
                  <w:pPr>
                    <w:jc w:val="center"/>
                    <w:rPr>
                      <w:kern w:val="24"/>
                    </w:rPr>
                  </w:pPr>
                </w:p>
              </w:tc>
              <w:tc>
                <w:tcPr>
                  <w:tcW w:w="906" w:type="pct"/>
                  <w:tcBorders>
                    <w:top w:val="single" w:color="auto" w:sz="4" w:space="0"/>
                    <w:left w:val="single" w:color="auto" w:sz="4" w:space="0"/>
                    <w:bottom w:val="single" w:color="auto" w:sz="4" w:space="0"/>
                    <w:right w:val="single" w:color="auto" w:sz="4" w:space="0"/>
                  </w:tcBorders>
                  <w:vAlign w:val="center"/>
                </w:tcPr>
                <w:p w14:paraId="1401ECA5">
                  <w:pPr>
                    <w:jc w:val="center"/>
                    <w:rPr>
                      <w:rFonts w:hint="eastAsia"/>
                      <w:kern w:val="24"/>
                    </w:rPr>
                  </w:pPr>
                  <w:r>
                    <w:rPr>
                      <w:rFonts w:hint="eastAsia"/>
                      <w:kern w:val="24"/>
                    </w:rPr>
                    <w:t>烘干</w:t>
                  </w:r>
                </w:p>
              </w:tc>
              <w:tc>
                <w:tcPr>
                  <w:tcW w:w="1361" w:type="pct"/>
                  <w:tcBorders>
                    <w:top w:val="single" w:color="auto" w:sz="4" w:space="0"/>
                    <w:left w:val="single" w:color="auto" w:sz="4" w:space="0"/>
                    <w:right w:val="single" w:color="auto" w:sz="4" w:space="0"/>
                  </w:tcBorders>
                  <w:vAlign w:val="center"/>
                </w:tcPr>
                <w:p w14:paraId="7D066B17">
                  <w:pPr>
                    <w:jc w:val="center"/>
                    <w:rPr>
                      <w:rFonts w:hint="default" w:eastAsia="宋体"/>
                      <w:kern w:val="24"/>
                      <w:lang w:val="en-US" w:eastAsia="zh-CN"/>
                    </w:rPr>
                  </w:pPr>
                  <w:r>
                    <w:rPr>
                      <w:rFonts w:hint="eastAsia"/>
                      <w:kern w:val="24"/>
                      <w:lang w:val="en-US" w:eastAsia="zh-CN"/>
                    </w:rPr>
                    <w:t>密闭收集</w:t>
                  </w:r>
                </w:p>
              </w:tc>
              <w:tc>
                <w:tcPr>
                  <w:tcW w:w="1261" w:type="pct"/>
                  <w:tcBorders>
                    <w:top w:val="single" w:color="auto" w:sz="4" w:space="0"/>
                    <w:left w:val="single" w:color="auto" w:sz="4" w:space="0"/>
                    <w:right w:val="single" w:color="auto" w:sz="4" w:space="0"/>
                  </w:tcBorders>
                  <w:vAlign w:val="center"/>
                </w:tcPr>
                <w:p w14:paraId="5CFAF597">
                  <w:pPr>
                    <w:jc w:val="center"/>
                    <w:rPr>
                      <w:rFonts w:hint="eastAsia"/>
                      <w:kern w:val="24"/>
                    </w:rPr>
                  </w:pPr>
                  <w:r>
                    <w:rPr>
                      <w:rFonts w:hint="eastAsia"/>
                      <w:kern w:val="24"/>
                      <w:szCs w:val="21"/>
                    </w:rPr>
                    <w:t>布袋除尘器</w:t>
                  </w:r>
                  <w:r>
                    <w:rPr>
                      <w:rFonts w:hint="eastAsia"/>
                      <w:kern w:val="24"/>
                      <w:szCs w:val="21"/>
                      <w:lang w:eastAsia="zh-CN"/>
                    </w:rPr>
                    <w:t>（</w:t>
                  </w:r>
                  <w:r>
                    <w:rPr>
                      <w:rFonts w:hint="eastAsia"/>
                      <w:kern w:val="24"/>
                      <w:szCs w:val="21"/>
                      <w:lang w:val="en-US" w:eastAsia="zh-CN"/>
                    </w:rPr>
                    <w:t>TA004</w:t>
                  </w:r>
                  <w:r>
                    <w:rPr>
                      <w:rFonts w:hint="eastAsia"/>
                      <w:kern w:val="24"/>
                      <w:szCs w:val="21"/>
                      <w:lang w:eastAsia="zh-CN"/>
                    </w:rPr>
                    <w:t>）</w:t>
                  </w:r>
                  <w:r>
                    <w:rPr>
                      <w:rFonts w:hint="eastAsia"/>
                      <w:kern w:val="24"/>
                      <w:szCs w:val="21"/>
                    </w:rPr>
                    <w:t>+</w:t>
                  </w:r>
                  <w:r>
                    <w:rPr>
                      <w:rFonts w:hint="eastAsia"/>
                      <w:kern w:val="24"/>
                      <w:szCs w:val="21"/>
                      <w:lang w:val="en-US" w:eastAsia="zh-CN"/>
                    </w:rPr>
                    <w:t>15</w:t>
                  </w:r>
                  <w:r>
                    <w:rPr>
                      <w:rFonts w:hint="eastAsia"/>
                      <w:kern w:val="24"/>
                      <w:szCs w:val="21"/>
                    </w:rPr>
                    <w:t>m高排气筒排放（DA00</w:t>
                  </w:r>
                  <w:r>
                    <w:rPr>
                      <w:rFonts w:hint="eastAsia"/>
                      <w:kern w:val="24"/>
                      <w:szCs w:val="21"/>
                      <w:lang w:val="en-US" w:eastAsia="zh-CN"/>
                    </w:rPr>
                    <w:t>4</w:t>
                  </w:r>
                  <w:r>
                    <w:rPr>
                      <w:rFonts w:hint="eastAsia"/>
                      <w:kern w:val="24"/>
                      <w:szCs w:val="21"/>
                    </w:rPr>
                    <w:t>）</w:t>
                  </w:r>
                </w:p>
              </w:tc>
              <w:tc>
                <w:tcPr>
                  <w:tcW w:w="655" w:type="pct"/>
                  <w:tcBorders>
                    <w:left w:val="single" w:color="auto" w:sz="4" w:space="0"/>
                    <w:right w:val="single" w:color="auto" w:sz="4" w:space="0"/>
                  </w:tcBorders>
                  <w:vAlign w:val="center"/>
                </w:tcPr>
                <w:p w14:paraId="462EC99E">
                  <w:pPr>
                    <w:jc w:val="center"/>
                    <w:rPr>
                      <w:rFonts w:hint="default" w:eastAsia="宋体"/>
                      <w:kern w:val="24"/>
                      <w:lang w:val="en-US" w:eastAsia="zh-CN"/>
                    </w:rPr>
                  </w:pPr>
                  <w:r>
                    <w:rPr>
                      <w:rFonts w:hint="eastAsia"/>
                      <w:kern w:val="24"/>
                      <w:lang w:val="en-US" w:eastAsia="zh-CN"/>
                    </w:rPr>
                    <w:t>15</w:t>
                  </w:r>
                </w:p>
              </w:tc>
            </w:tr>
            <w:tr w14:paraId="545C1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5" w:type="pct"/>
                  <w:vMerge w:val="continue"/>
                  <w:tcBorders>
                    <w:left w:val="single" w:color="auto" w:sz="4" w:space="0"/>
                    <w:right w:val="single" w:color="auto" w:sz="4" w:space="0"/>
                  </w:tcBorders>
                  <w:vAlign w:val="center"/>
                </w:tcPr>
                <w:p w14:paraId="0D1DEF2E">
                  <w:pPr>
                    <w:jc w:val="center"/>
                    <w:rPr>
                      <w:kern w:val="24"/>
                    </w:rPr>
                  </w:pPr>
                </w:p>
              </w:tc>
              <w:tc>
                <w:tcPr>
                  <w:tcW w:w="906" w:type="pct"/>
                  <w:tcBorders>
                    <w:top w:val="single" w:color="auto" w:sz="4" w:space="0"/>
                    <w:left w:val="single" w:color="auto" w:sz="4" w:space="0"/>
                    <w:bottom w:val="single" w:color="auto" w:sz="4" w:space="0"/>
                    <w:right w:val="single" w:color="auto" w:sz="4" w:space="0"/>
                  </w:tcBorders>
                  <w:vAlign w:val="center"/>
                </w:tcPr>
                <w:p w14:paraId="45B5C839">
                  <w:pPr>
                    <w:jc w:val="center"/>
                    <w:rPr>
                      <w:kern w:val="24"/>
                    </w:rPr>
                  </w:pPr>
                  <w:r>
                    <w:rPr>
                      <w:rFonts w:hint="eastAsia"/>
                      <w:kern w:val="24"/>
                    </w:rPr>
                    <w:t>锅炉废气</w:t>
                  </w:r>
                </w:p>
              </w:tc>
              <w:tc>
                <w:tcPr>
                  <w:tcW w:w="1361" w:type="pct"/>
                  <w:tcBorders>
                    <w:top w:val="single" w:color="auto" w:sz="4" w:space="0"/>
                    <w:left w:val="single" w:color="auto" w:sz="4" w:space="0"/>
                    <w:right w:val="single" w:color="auto" w:sz="4" w:space="0"/>
                  </w:tcBorders>
                  <w:vAlign w:val="center"/>
                </w:tcPr>
                <w:p w14:paraId="69CF08CC">
                  <w:pPr>
                    <w:jc w:val="center"/>
                    <w:rPr>
                      <w:kern w:val="24"/>
                    </w:rPr>
                  </w:pPr>
                  <w:r>
                    <w:rPr>
                      <w:rFonts w:hint="eastAsia"/>
                      <w:kern w:val="24"/>
                      <w:szCs w:val="21"/>
                    </w:rPr>
                    <w:t>低氮燃烧</w:t>
                  </w:r>
                  <w:r>
                    <w:rPr>
                      <w:rFonts w:hint="eastAsia"/>
                      <w:kern w:val="24"/>
                      <w:szCs w:val="21"/>
                      <w:lang w:val="en-US" w:eastAsia="zh-CN"/>
                    </w:rPr>
                    <w:t>技术，燃烧废气采取</w:t>
                  </w:r>
                </w:p>
              </w:tc>
              <w:tc>
                <w:tcPr>
                  <w:tcW w:w="1261" w:type="pct"/>
                  <w:tcBorders>
                    <w:left w:val="single" w:color="auto" w:sz="4" w:space="0"/>
                    <w:right w:val="single" w:color="auto" w:sz="4" w:space="0"/>
                  </w:tcBorders>
                  <w:vAlign w:val="center"/>
                </w:tcPr>
                <w:p w14:paraId="7F4BB47E">
                  <w:pPr>
                    <w:jc w:val="center"/>
                    <w:rPr>
                      <w:rFonts w:hint="eastAsia"/>
                      <w:kern w:val="24"/>
                      <w:szCs w:val="21"/>
                    </w:rPr>
                  </w:pPr>
                  <w:r>
                    <w:rPr>
                      <w:rFonts w:hint="eastAsia"/>
                      <w:kern w:val="24"/>
                      <w:szCs w:val="21"/>
                    </w:rPr>
                    <w:t>布袋除尘器</w:t>
                  </w:r>
                  <w:r>
                    <w:rPr>
                      <w:rFonts w:hint="eastAsia"/>
                      <w:kern w:val="24"/>
                      <w:szCs w:val="21"/>
                      <w:lang w:eastAsia="zh-CN"/>
                    </w:rPr>
                    <w:t>（</w:t>
                  </w:r>
                  <w:r>
                    <w:rPr>
                      <w:rFonts w:hint="eastAsia"/>
                      <w:kern w:val="24"/>
                      <w:szCs w:val="21"/>
                      <w:lang w:val="en-US" w:eastAsia="zh-CN"/>
                    </w:rPr>
                    <w:t>TA003</w:t>
                  </w:r>
                  <w:r>
                    <w:rPr>
                      <w:rFonts w:hint="eastAsia"/>
                      <w:kern w:val="24"/>
                      <w:szCs w:val="21"/>
                      <w:lang w:eastAsia="zh-CN"/>
                    </w:rPr>
                    <w:t>）</w:t>
                  </w:r>
                  <w:r>
                    <w:rPr>
                      <w:rFonts w:hint="eastAsia"/>
                      <w:kern w:val="24"/>
                      <w:szCs w:val="21"/>
                    </w:rPr>
                    <w:t>+</w:t>
                  </w:r>
                  <w:r>
                    <w:rPr>
                      <w:rFonts w:hint="eastAsia"/>
                      <w:kern w:val="24"/>
                      <w:szCs w:val="21"/>
                      <w:lang w:val="en-US" w:eastAsia="zh-CN"/>
                    </w:rPr>
                    <w:t>40</w:t>
                  </w:r>
                  <w:r>
                    <w:rPr>
                      <w:rFonts w:hint="eastAsia"/>
                      <w:kern w:val="24"/>
                      <w:szCs w:val="21"/>
                    </w:rPr>
                    <w:t>m高排气筒排放（DA00</w:t>
                  </w:r>
                  <w:r>
                    <w:rPr>
                      <w:rFonts w:hint="eastAsia"/>
                      <w:kern w:val="24"/>
                      <w:szCs w:val="21"/>
                      <w:lang w:val="en-US" w:eastAsia="zh-CN"/>
                    </w:rPr>
                    <w:t>3</w:t>
                  </w:r>
                  <w:r>
                    <w:rPr>
                      <w:rFonts w:hint="eastAsia"/>
                      <w:kern w:val="24"/>
                      <w:szCs w:val="21"/>
                    </w:rPr>
                    <w:t>）</w:t>
                  </w:r>
                </w:p>
              </w:tc>
              <w:tc>
                <w:tcPr>
                  <w:tcW w:w="655" w:type="pct"/>
                  <w:tcBorders>
                    <w:left w:val="single" w:color="auto" w:sz="4" w:space="0"/>
                    <w:right w:val="single" w:color="auto" w:sz="4" w:space="0"/>
                  </w:tcBorders>
                  <w:vAlign w:val="center"/>
                </w:tcPr>
                <w:p w14:paraId="15A8D962">
                  <w:pPr>
                    <w:jc w:val="center"/>
                    <w:rPr>
                      <w:kern w:val="24"/>
                    </w:rPr>
                  </w:pPr>
                  <w:r>
                    <w:rPr>
                      <w:rFonts w:hint="eastAsia"/>
                      <w:kern w:val="24"/>
                      <w:lang w:val="en-US" w:eastAsia="zh-CN"/>
                    </w:rPr>
                    <w:t>30</w:t>
                  </w:r>
                </w:p>
              </w:tc>
            </w:tr>
            <w:tr w14:paraId="6404E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5" w:type="pct"/>
                  <w:tcBorders>
                    <w:top w:val="single" w:color="auto" w:sz="4" w:space="0"/>
                    <w:left w:val="single" w:color="auto" w:sz="4" w:space="0"/>
                    <w:bottom w:val="single" w:color="auto" w:sz="4" w:space="0"/>
                    <w:right w:val="single" w:color="auto" w:sz="4" w:space="0"/>
                  </w:tcBorders>
                  <w:vAlign w:val="center"/>
                </w:tcPr>
                <w:p w14:paraId="6B823032">
                  <w:pPr>
                    <w:jc w:val="center"/>
                    <w:rPr>
                      <w:kern w:val="24"/>
                    </w:rPr>
                  </w:pPr>
                  <w:r>
                    <w:rPr>
                      <w:kern w:val="24"/>
                    </w:rPr>
                    <w:t>噪声治理</w:t>
                  </w:r>
                </w:p>
              </w:tc>
              <w:tc>
                <w:tcPr>
                  <w:tcW w:w="906" w:type="pct"/>
                  <w:tcBorders>
                    <w:top w:val="single" w:color="auto" w:sz="4" w:space="0"/>
                    <w:left w:val="single" w:color="auto" w:sz="4" w:space="0"/>
                    <w:bottom w:val="single" w:color="auto" w:sz="4" w:space="0"/>
                    <w:right w:val="single" w:color="auto" w:sz="4" w:space="0"/>
                  </w:tcBorders>
                  <w:vAlign w:val="center"/>
                </w:tcPr>
                <w:p w14:paraId="7C7FD08B">
                  <w:pPr>
                    <w:jc w:val="center"/>
                  </w:pPr>
                  <w:r>
                    <w:t>设备运转噪声</w:t>
                  </w:r>
                </w:p>
              </w:tc>
              <w:tc>
                <w:tcPr>
                  <w:tcW w:w="2622" w:type="pct"/>
                  <w:gridSpan w:val="2"/>
                  <w:tcBorders>
                    <w:top w:val="single" w:color="auto" w:sz="4" w:space="0"/>
                    <w:left w:val="single" w:color="auto" w:sz="4" w:space="0"/>
                    <w:bottom w:val="single" w:color="auto" w:sz="4" w:space="0"/>
                    <w:right w:val="single" w:color="auto" w:sz="4" w:space="0"/>
                  </w:tcBorders>
                  <w:vAlign w:val="center"/>
                </w:tcPr>
                <w:p w14:paraId="4E70515E">
                  <w:pPr>
                    <w:jc w:val="center"/>
                  </w:pPr>
                  <w:r>
                    <w:t>合理布局、减振、隔声</w:t>
                  </w:r>
                </w:p>
              </w:tc>
              <w:tc>
                <w:tcPr>
                  <w:tcW w:w="655" w:type="pct"/>
                  <w:tcBorders>
                    <w:top w:val="single" w:color="auto" w:sz="4" w:space="0"/>
                    <w:left w:val="single" w:color="auto" w:sz="4" w:space="0"/>
                    <w:bottom w:val="single" w:color="auto" w:sz="4" w:space="0"/>
                    <w:right w:val="single" w:color="auto" w:sz="4" w:space="0"/>
                  </w:tcBorders>
                  <w:vAlign w:val="center"/>
                </w:tcPr>
                <w:p w14:paraId="45EE5A24">
                  <w:pPr>
                    <w:jc w:val="center"/>
                    <w:rPr>
                      <w:rFonts w:hint="eastAsia" w:eastAsia="宋体"/>
                      <w:kern w:val="24"/>
                      <w:lang w:val="en-US" w:eastAsia="zh-CN"/>
                    </w:rPr>
                  </w:pPr>
                  <w:r>
                    <w:rPr>
                      <w:rFonts w:hint="eastAsia"/>
                      <w:kern w:val="24"/>
                      <w:lang w:val="en-US" w:eastAsia="zh-CN"/>
                    </w:rPr>
                    <w:t>5</w:t>
                  </w:r>
                </w:p>
              </w:tc>
            </w:tr>
            <w:tr w14:paraId="52070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5" w:type="pct"/>
                  <w:tcBorders>
                    <w:top w:val="single" w:color="auto" w:sz="4" w:space="0"/>
                    <w:left w:val="single" w:color="auto" w:sz="4" w:space="0"/>
                    <w:bottom w:val="single" w:color="auto" w:sz="4" w:space="0"/>
                    <w:right w:val="single" w:color="auto" w:sz="4" w:space="0"/>
                  </w:tcBorders>
                  <w:vAlign w:val="center"/>
                </w:tcPr>
                <w:p w14:paraId="2BF1A0AD">
                  <w:pPr>
                    <w:jc w:val="center"/>
                    <w:rPr>
                      <w:kern w:val="24"/>
                    </w:rPr>
                  </w:pPr>
                  <w:r>
                    <w:rPr>
                      <w:kern w:val="24"/>
                    </w:rPr>
                    <w:t>固废治理</w:t>
                  </w:r>
                </w:p>
              </w:tc>
              <w:tc>
                <w:tcPr>
                  <w:tcW w:w="906" w:type="pct"/>
                  <w:tcBorders>
                    <w:top w:val="single" w:color="auto" w:sz="4" w:space="0"/>
                    <w:left w:val="single" w:color="auto" w:sz="4" w:space="0"/>
                    <w:bottom w:val="single" w:color="auto" w:sz="4" w:space="0"/>
                    <w:right w:val="single" w:color="auto" w:sz="4" w:space="0"/>
                  </w:tcBorders>
                  <w:vAlign w:val="center"/>
                </w:tcPr>
                <w:p w14:paraId="6FADCCD5">
                  <w:pPr>
                    <w:jc w:val="center"/>
                  </w:pPr>
                  <w:r>
                    <w:t>一般固体废物</w:t>
                  </w:r>
                </w:p>
              </w:tc>
              <w:tc>
                <w:tcPr>
                  <w:tcW w:w="2622" w:type="pct"/>
                  <w:gridSpan w:val="2"/>
                  <w:tcBorders>
                    <w:top w:val="single" w:color="auto" w:sz="4" w:space="0"/>
                    <w:left w:val="single" w:color="auto" w:sz="4" w:space="0"/>
                    <w:bottom w:val="single" w:color="auto" w:sz="4" w:space="0"/>
                    <w:right w:val="single" w:color="auto" w:sz="4" w:space="0"/>
                  </w:tcBorders>
                  <w:vAlign w:val="center"/>
                </w:tcPr>
                <w:p w14:paraId="79980C39">
                  <w:pPr>
                    <w:jc w:val="center"/>
                  </w:pPr>
                  <w:r>
                    <w:rPr>
                      <w:rFonts w:hint="eastAsia"/>
                    </w:rPr>
                    <w:t>收集后委外清运</w:t>
                  </w:r>
                </w:p>
              </w:tc>
              <w:tc>
                <w:tcPr>
                  <w:tcW w:w="655" w:type="pct"/>
                  <w:tcBorders>
                    <w:top w:val="single" w:color="auto" w:sz="4" w:space="0"/>
                    <w:left w:val="single" w:color="auto" w:sz="4" w:space="0"/>
                    <w:bottom w:val="single" w:color="auto" w:sz="4" w:space="0"/>
                    <w:right w:val="single" w:color="auto" w:sz="4" w:space="0"/>
                  </w:tcBorders>
                  <w:vAlign w:val="center"/>
                </w:tcPr>
                <w:p w14:paraId="5919E8DB">
                  <w:pPr>
                    <w:jc w:val="center"/>
                    <w:rPr>
                      <w:kern w:val="24"/>
                    </w:rPr>
                  </w:pPr>
                  <w:r>
                    <w:rPr>
                      <w:rFonts w:hint="eastAsia"/>
                      <w:kern w:val="24"/>
                    </w:rPr>
                    <w:t>10</w:t>
                  </w:r>
                </w:p>
              </w:tc>
            </w:tr>
            <w:tr w14:paraId="44CD1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5" w:type="pct"/>
                  <w:tcBorders>
                    <w:top w:val="single" w:color="auto" w:sz="4" w:space="0"/>
                    <w:left w:val="single" w:color="auto" w:sz="4" w:space="0"/>
                    <w:bottom w:val="single" w:color="auto" w:sz="4" w:space="0"/>
                    <w:right w:val="single" w:color="auto" w:sz="4" w:space="0"/>
                  </w:tcBorders>
                  <w:vAlign w:val="center"/>
                </w:tcPr>
                <w:p w14:paraId="72A57FD7">
                  <w:pPr>
                    <w:jc w:val="center"/>
                    <w:rPr>
                      <w:kern w:val="24"/>
                    </w:rPr>
                  </w:pPr>
                  <w:r>
                    <w:rPr>
                      <w:kern w:val="24"/>
                    </w:rPr>
                    <w:t>地下水及土壤</w:t>
                  </w:r>
                </w:p>
              </w:tc>
              <w:tc>
                <w:tcPr>
                  <w:tcW w:w="906" w:type="pct"/>
                  <w:tcBorders>
                    <w:top w:val="single" w:color="auto" w:sz="4" w:space="0"/>
                    <w:left w:val="single" w:color="auto" w:sz="4" w:space="0"/>
                    <w:bottom w:val="single" w:color="auto" w:sz="4" w:space="0"/>
                    <w:right w:val="single" w:color="auto" w:sz="4" w:space="0"/>
                  </w:tcBorders>
                  <w:vAlign w:val="center"/>
                </w:tcPr>
                <w:p w14:paraId="52265550">
                  <w:pPr>
                    <w:jc w:val="center"/>
                  </w:pPr>
                  <w:r>
                    <w:t>地下水及土壤</w:t>
                  </w:r>
                </w:p>
              </w:tc>
              <w:tc>
                <w:tcPr>
                  <w:tcW w:w="2622" w:type="pct"/>
                  <w:gridSpan w:val="2"/>
                  <w:tcBorders>
                    <w:top w:val="single" w:color="auto" w:sz="4" w:space="0"/>
                    <w:left w:val="single" w:color="auto" w:sz="4" w:space="0"/>
                    <w:bottom w:val="single" w:color="auto" w:sz="4" w:space="0"/>
                    <w:right w:val="single" w:color="auto" w:sz="4" w:space="0"/>
                  </w:tcBorders>
                  <w:vAlign w:val="center"/>
                </w:tcPr>
                <w:p w14:paraId="23A3C1CB">
                  <w:pPr>
                    <w:jc w:val="center"/>
                  </w:pPr>
                  <w:r>
                    <w:t>厂区分区防渗：</w:t>
                  </w:r>
                  <w:r>
                    <w:rPr>
                      <w:rFonts w:hint="eastAsia"/>
                    </w:rPr>
                    <w:t>化粪池</w:t>
                  </w:r>
                  <w:r>
                    <w:t>重点防渗</w:t>
                  </w:r>
                </w:p>
              </w:tc>
              <w:tc>
                <w:tcPr>
                  <w:tcW w:w="655" w:type="pct"/>
                  <w:tcBorders>
                    <w:top w:val="single" w:color="auto" w:sz="4" w:space="0"/>
                    <w:left w:val="single" w:color="auto" w:sz="4" w:space="0"/>
                    <w:bottom w:val="single" w:color="auto" w:sz="4" w:space="0"/>
                    <w:right w:val="single" w:color="auto" w:sz="4" w:space="0"/>
                  </w:tcBorders>
                  <w:vAlign w:val="center"/>
                </w:tcPr>
                <w:p w14:paraId="5C4E5984">
                  <w:pPr>
                    <w:jc w:val="center"/>
                    <w:rPr>
                      <w:rFonts w:hint="eastAsia" w:eastAsia="宋体"/>
                      <w:kern w:val="24"/>
                      <w:lang w:val="en-US" w:eastAsia="zh-CN"/>
                    </w:rPr>
                  </w:pPr>
                  <w:r>
                    <w:rPr>
                      <w:rFonts w:hint="eastAsia"/>
                      <w:kern w:val="24"/>
                      <w:lang w:val="en-US" w:eastAsia="zh-CN"/>
                    </w:rPr>
                    <w:t>2</w:t>
                  </w:r>
                </w:p>
              </w:tc>
            </w:tr>
            <w:tr w14:paraId="72B3B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5" w:type="pct"/>
                  <w:tcBorders>
                    <w:top w:val="single" w:color="auto" w:sz="4" w:space="0"/>
                    <w:left w:val="single" w:color="auto" w:sz="4" w:space="0"/>
                    <w:bottom w:val="single" w:color="auto" w:sz="4" w:space="0"/>
                    <w:right w:val="single" w:color="auto" w:sz="4" w:space="0"/>
                  </w:tcBorders>
                  <w:vAlign w:val="center"/>
                </w:tcPr>
                <w:p w14:paraId="0ACAA5E1">
                  <w:pPr>
                    <w:jc w:val="center"/>
                    <w:rPr>
                      <w:kern w:val="24"/>
                    </w:rPr>
                  </w:pPr>
                  <w:r>
                    <w:rPr>
                      <w:kern w:val="24"/>
                    </w:rPr>
                    <w:t>环境风险</w:t>
                  </w:r>
                </w:p>
              </w:tc>
              <w:tc>
                <w:tcPr>
                  <w:tcW w:w="906" w:type="pct"/>
                  <w:tcBorders>
                    <w:top w:val="single" w:color="auto" w:sz="4" w:space="0"/>
                    <w:left w:val="single" w:color="auto" w:sz="4" w:space="0"/>
                    <w:bottom w:val="single" w:color="auto" w:sz="4" w:space="0"/>
                    <w:right w:val="single" w:color="auto" w:sz="4" w:space="0"/>
                  </w:tcBorders>
                  <w:vAlign w:val="center"/>
                </w:tcPr>
                <w:p w14:paraId="1B4A6FFF">
                  <w:pPr>
                    <w:jc w:val="center"/>
                  </w:pPr>
                  <w:r>
                    <w:t>环境风险</w:t>
                  </w:r>
                </w:p>
              </w:tc>
              <w:tc>
                <w:tcPr>
                  <w:tcW w:w="2622" w:type="pct"/>
                  <w:gridSpan w:val="2"/>
                  <w:tcBorders>
                    <w:top w:val="single" w:color="auto" w:sz="4" w:space="0"/>
                    <w:left w:val="single" w:color="auto" w:sz="4" w:space="0"/>
                    <w:bottom w:val="single" w:color="auto" w:sz="4" w:space="0"/>
                    <w:right w:val="single" w:color="auto" w:sz="4" w:space="0"/>
                  </w:tcBorders>
                  <w:vAlign w:val="center"/>
                </w:tcPr>
                <w:p w14:paraId="11B75983">
                  <w:pPr>
                    <w:jc w:val="center"/>
                  </w:pPr>
                  <w:r>
                    <w:t>编制应急预案</w:t>
                  </w:r>
                </w:p>
              </w:tc>
              <w:tc>
                <w:tcPr>
                  <w:tcW w:w="655" w:type="pct"/>
                  <w:tcBorders>
                    <w:top w:val="single" w:color="auto" w:sz="4" w:space="0"/>
                    <w:left w:val="single" w:color="auto" w:sz="4" w:space="0"/>
                    <w:bottom w:val="single" w:color="auto" w:sz="4" w:space="0"/>
                    <w:right w:val="single" w:color="auto" w:sz="4" w:space="0"/>
                  </w:tcBorders>
                  <w:vAlign w:val="center"/>
                </w:tcPr>
                <w:p w14:paraId="41F1C231">
                  <w:pPr>
                    <w:jc w:val="center"/>
                    <w:rPr>
                      <w:kern w:val="24"/>
                    </w:rPr>
                  </w:pPr>
                  <w:r>
                    <w:rPr>
                      <w:rFonts w:hint="eastAsia"/>
                      <w:kern w:val="24"/>
                    </w:rPr>
                    <w:t>5</w:t>
                  </w:r>
                </w:p>
              </w:tc>
            </w:tr>
            <w:tr w14:paraId="6AFEC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4" w:type="pct"/>
                  <w:gridSpan w:val="4"/>
                  <w:tcBorders>
                    <w:top w:val="single" w:color="auto" w:sz="4" w:space="0"/>
                    <w:left w:val="single" w:color="auto" w:sz="4" w:space="0"/>
                    <w:bottom w:val="single" w:color="auto" w:sz="4" w:space="0"/>
                    <w:right w:val="single" w:color="auto" w:sz="4" w:space="0"/>
                  </w:tcBorders>
                  <w:vAlign w:val="center"/>
                </w:tcPr>
                <w:p w14:paraId="7361D203">
                  <w:pPr>
                    <w:jc w:val="center"/>
                  </w:pPr>
                  <w:r>
                    <w:rPr>
                      <w:kern w:val="24"/>
                    </w:rPr>
                    <w:t>总计</w:t>
                  </w:r>
                </w:p>
              </w:tc>
              <w:tc>
                <w:tcPr>
                  <w:tcW w:w="655" w:type="pct"/>
                  <w:tcBorders>
                    <w:top w:val="single" w:color="auto" w:sz="4" w:space="0"/>
                    <w:left w:val="single" w:color="auto" w:sz="4" w:space="0"/>
                    <w:bottom w:val="single" w:color="auto" w:sz="4" w:space="0"/>
                    <w:right w:val="single" w:color="auto" w:sz="4" w:space="0"/>
                  </w:tcBorders>
                  <w:vAlign w:val="center"/>
                </w:tcPr>
                <w:p w14:paraId="0AC2B74D">
                  <w:pPr>
                    <w:jc w:val="center"/>
                    <w:rPr>
                      <w:rFonts w:hint="default" w:eastAsia="宋体"/>
                      <w:kern w:val="24"/>
                      <w:lang w:val="en-US" w:eastAsia="zh-CN"/>
                    </w:rPr>
                  </w:pPr>
                  <w:r>
                    <w:rPr>
                      <w:rFonts w:hint="eastAsia"/>
                      <w:kern w:val="24"/>
                      <w:lang w:val="en-US" w:eastAsia="zh-CN"/>
                    </w:rPr>
                    <w:t>100</w:t>
                  </w:r>
                </w:p>
              </w:tc>
            </w:tr>
          </w:tbl>
          <w:p w14:paraId="4A725461">
            <w:pPr>
              <w:adjustRightInd w:val="0"/>
              <w:spacing w:line="360" w:lineRule="auto"/>
              <w:jc w:val="left"/>
              <w:rPr>
                <w:color w:val="000000"/>
                <w:sz w:val="24"/>
              </w:rPr>
            </w:pPr>
          </w:p>
          <w:p w14:paraId="1F1BDFE3">
            <w:pPr>
              <w:adjustRightInd w:val="0"/>
              <w:spacing w:line="360" w:lineRule="auto"/>
              <w:jc w:val="left"/>
              <w:rPr>
                <w:color w:val="000000"/>
                <w:sz w:val="24"/>
              </w:rPr>
            </w:pPr>
          </w:p>
          <w:p w14:paraId="0B68C85B">
            <w:pPr>
              <w:adjustRightInd w:val="0"/>
              <w:spacing w:line="360" w:lineRule="auto"/>
              <w:jc w:val="left"/>
              <w:rPr>
                <w:color w:val="000000"/>
                <w:sz w:val="24"/>
              </w:rPr>
            </w:pPr>
          </w:p>
          <w:p w14:paraId="4DDB0A13">
            <w:pPr>
              <w:adjustRightInd w:val="0"/>
              <w:spacing w:line="360" w:lineRule="auto"/>
              <w:jc w:val="left"/>
              <w:rPr>
                <w:color w:val="000000"/>
                <w:sz w:val="24"/>
              </w:rPr>
            </w:pPr>
          </w:p>
          <w:p w14:paraId="671E4B86">
            <w:pPr>
              <w:adjustRightInd w:val="0"/>
              <w:spacing w:line="360" w:lineRule="auto"/>
              <w:jc w:val="left"/>
              <w:rPr>
                <w:color w:val="000000"/>
                <w:sz w:val="24"/>
              </w:rPr>
            </w:pPr>
          </w:p>
          <w:p w14:paraId="4C526C14">
            <w:pPr>
              <w:adjustRightInd w:val="0"/>
              <w:spacing w:line="360" w:lineRule="auto"/>
              <w:jc w:val="left"/>
              <w:rPr>
                <w:color w:val="000000"/>
                <w:sz w:val="24"/>
              </w:rPr>
            </w:pPr>
          </w:p>
          <w:p w14:paraId="4E6294AD">
            <w:pPr>
              <w:adjustRightInd w:val="0"/>
              <w:spacing w:line="360" w:lineRule="auto"/>
              <w:jc w:val="left"/>
              <w:rPr>
                <w:color w:val="000000"/>
                <w:sz w:val="24"/>
              </w:rPr>
            </w:pPr>
          </w:p>
        </w:tc>
      </w:tr>
    </w:tbl>
    <w:p w14:paraId="43827ACA">
      <w:pPr>
        <w:pStyle w:val="20"/>
        <w:spacing w:before="0" w:beforeAutospacing="0" w:after="0" w:afterAutospacing="0"/>
        <w:jc w:val="center"/>
        <w:outlineLvl w:val="0"/>
        <w:rPr>
          <w:rFonts w:ascii="Times New Roman" w:hAnsi="Times New Roman"/>
          <w:b/>
          <w:bCs/>
          <w:snapToGrid w:val="0"/>
          <w:color w:val="000000"/>
          <w:sz w:val="30"/>
          <w:szCs w:val="30"/>
        </w:rPr>
      </w:pPr>
      <w:r>
        <w:rPr>
          <w:rFonts w:ascii="Times New Roman" w:hAnsi="Times New Roman"/>
          <w:snapToGrid w:val="0"/>
          <w:color w:val="000000"/>
        </w:rPr>
        <w:br w:type="page"/>
      </w:r>
      <w:r>
        <w:rPr>
          <w:rFonts w:hint="eastAsia" w:ascii="Times New Roman" w:hAnsi="Times New Roman"/>
          <w:b/>
          <w:bCs/>
          <w:snapToGrid w:val="0"/>
          <w:color w:val="000000"/>
          <w:sz w:val="30"/>
          <w:szCs w:val="30"/>
        </w:rPr>
        <w:t>六、结论</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9B862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7FAD62E8">
            <w:pPr>
              <w:spacing w:line="360" w:lineRule="auto"/>
              <w:ind w:firstLine="480" w:firstLineChars="200"/>
              <w:rPr>
                <w:color w:val="000000"/>
                <w:sz w:val="24"/>
              </w:rPr>
            </w:pPr>
            <w:r>
              <w:rPr>
                <w:color w:val="000000"/>
                <w:sz w:val="24"/>
              </w:rPr>
              <w:t>本项目的建设符合国家产业政策，符合宿州市</w:t>
            </w:r>
            <w:r>
              <w:rPr>
                <w:rFonts w:hint="eastAsia"/>
                <w:color w:val="000000"/>
                <w:sz w:val="24"/>
              </w:rPr>
              <w:t>埇桥区灰古镇</w:t>
            </w:r>
            <w:r>
              <w:rPr>
                <w:color w:val="000000"/>
                <w:sz w:val="24"/>
              </w:rPr>
              <w:t>总体规划和土地利用规划要求，符合“三线一单”管控要求；在实施了环评提出的污染治理措施后，排放污染物能达标排放，对区域环境质量影响较小；且有良好的社会、环境、经济综合效益。从环保角度看，该项目可以在所选场址进行建设。</w:t>
            </w:r>
          </w:p>
        </w:tc>
      </w:tr>
    </w:tbl>
    <w:p w14:paraId="71978695">
      <w:pPr>
        <w:rPr>
          <w:color w:val="000000"/>
        </w:rPr>
      </w:pPr>
    </w:p>
    <w:p w14:paraId="5D1302DB">
      <w:pPr>
        <w:pStyle w:val="8"/>
        <w:rPr>
          <w:color w:val="000000"/>
        </w:rPr>
        <w:sectPr>
          <w:pgSz w:w="11906" w:h="16838"/>
          <w:pgMar w:top="1701" w:right="1531" w:bottom="1701" w:left="1531" w:header="851" w:footer="851" w:gutter="0"/>
          <w:cols w:space="720" w:num="1"/>
          <w:docGrid w:linePitch="312" w:charSpace="0"/>
        </w:sectPr>
      </w:pPr>
    </w:p>
    <w:p w14:paraId="3D6167CC">
      <w:pPr>
        <w:pStyle w:val="20"/>
        <w:adjustRightInd w:val="0"/>
        <w:snapToGrid w:val="0"/>
        <w:spacing w:before="0" w:beforeAutospacing="0" w:after="0" w:afterAutospacing="0" w:line="360" w:lineRule="auto"/>
        <w:outlineLvl w:val="0"/>
        <w:rPr>
          <w:rFonts w:ascii="Times New Roman" w:hAnsi="Times New Roman"/>
          <w:snapToGrid w:val="0"/>
          <w:color w:val="000000"/>
          <w:sz w:val="32"/>
          <w:szCs w:val="32"/>
        </w:rPr>
      </w:pPr>
      <w:r>
        <w:rPr>
          <w:rFonts w:ascii="Times New Roman" w:hAnsi="Times New Roman"/>
          <w:snapToGrid w:val="0"/>
          <w:color w:val="000000"/>
          <w:sz w:val="32"/>
          <w:szCs w:val="32"/>
        </w:rPr>
        <w:t>附表</w:t>
      </w:r>
    </w:p>
    <w:p w14:paraId="5CD7C796">
      <w:pPr>
        <w:pStyle w:val="20"/>
        <w:adjustRightInd w:val="0"/>
        <w:snapToGrid w:val="0"/>
        <w:spacing w:before="0" w:beforeAutospacing="0" w:after="0" w:afterAutospacing="0" w:line="360" w:lineRule="auto"/>
        <w:jc w:val="center"/>
        <w:outlineLvl w:val="0"/>
        <w:rPr>
          <w:rFonts w:ascii="Times New Roman" w:hAnsi="Times New Roman"/>
          <w:snapToGrid w:val="0"/>
          <w:color w:val="000000"/>
          <w:sz w:val="38"/>
          <w:szCs w:val="38"/>
        </w:rPr>
      </w:pPr>
      <w:r>
        <w:rPr>
          <w:rFonts w:ascii="Times New Roman" w:hAnsi="Times New Roman"/>
          <w:snapToGrid w:val="0"/>
          <w:color w:val="000000"/>
          <w:sz w:val="38"/>
          <w:szCs w:val="38"/>
        </w:rPr>
        <w:t>建设项目污染物排放量汇总表</w:t>
      </w:r>
    </w:p>
    <w:tbl>
      <w:tblPr>
        <w:tblStyle w:val="23"/>
        <w:tblW w:w="14137" w:type="dxa"/>
        <w:tblInd w:w="8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12"/>
        <w:gridCol w:w="1710"/>
        <w:gridCol w:w="1584"/>
        <w:gridCol w:w="1276"/>
        <w:gridCol w:w="1701"/>
        <w:gridCol w:w="1559"/>
        <w:gridCol w:w="1761"/>
        <w:gridCol w:w="1829"/>
        <w:gridCol w:w="1305"/>
      </w:tblGrid>
      <w:tr w14:paraId="670703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412" w:type="dxa"/>
            <w:tcMar>
              <w:top w:w="0" w:type="dxa"/>
              <w:left w:w="28" w:type="dxa"/>
              <w:bottom w:w="0" w:type="dxa"/>
              <w:right w:w="28" w:type="dxa"/>
            </w:tcMar>
            <w:vAlign w:val="center"/>
          </w:tcPr>
          <w:p w14:paraId="5D10B476">
            <w:pPr>
              <w:pStyle w:val="31"/>
              <w:spacing w:beforeLines="0" w:afterLines="0" w:line="240" w:lineRule="auto"/>
              <w:ind w:left="0" w:leftChars="0" w:firstLine="0" w:firstLineChars="0"/>
              <w:jc w:val="left"/>
              <w:rPr>
                <w:rFonts w:ascii="Times New Roman"/>
                <w:color w:val="000000"/>
                <w:spacing w:val="-6"/>
                <w:kern w:val="21"/>
                <w:sz w:val="24"/>
                <w:szCs w:val="24"/>
              </w:rPr>
            </w:pPr>
          </w:p>
          <w:p w14:paraId="64E7ED14">
            <w:pPr>
              <w:pStyle w:val="31"/>
              <w:spacing w:beforeLines="0" w:afterLines="0" w:line="240" w:lineRule="auto"/>
              <w:ind w:left="0" w:leftChars="0" w:firstLine="0" w:firstLineChars="0"/>
              <w:jc w:val="left"/>
              <w:rPr>
                <w:rFonts w:ascii="Times New Roman"/>
                <w:color w:val="000000"/>
                <w:spacing w:val="-6"/>
                <w:kern w:val="21"/>
                <w:sz w:val="24"/>
                <w:szCs w:val="24"/>
              </w:rPr>
            </w:pPr>
          </w:p>
          <w:p w14:paraId="307F0CC8">
            <w:pPr>
              <w:pStyle w:val="31"/>
              <w:spacing w:beforeLines="0" w:afterLines="0" w:line="240" w:lineRule="auto"/>
              <w:ind w:left="0" w:leftChars="0" w:firstLine="0" w:firstLineChars="0"/>
              <w:rPr>
                <w:rFonts w:ascii="Times New Roman"/>
                <w:color w:val="000000"/>
                <w:spacing w:val="-6"/>
                <w:kern w:val="21"/>
                <w:sz w:val="24"/>
                <w:szCs w:val="24"/>
              </w:rPr>
            </w:pPr>
            <w:r>
              <w:rPr>
                <w:rFonts w:ascii="Times New Roman"/>
                <w:color w:val="000000"/>
                <w:spacing w:val="-6"/>
                <w:kern w:val="21"/>
                <w:sz w:val="24"/>
                <w:szCs w:val="24"/>
              </w:rPr>
              <w:t>项目</w:t>
            </w:r>
          </w:p>
          <w:p w14:paraId="151A1972">
            <w:pPr>
              <w:pStyle w:val="31"/>
              <w:spacing w:beforeLines="0" w:afterLines="0" w:line="240" w:lineRule="auto"/>
              <w:ind w:left="0" w:leftChars="0" w:firstLine="0" w:firstLineChars="0"/>
              <w:jc w:val="left"/>
              <w:rPr>
                <w:rFonts w:ascii="Times New Roman"/>
                <w:color w:val="000000"/>
                <w:spacing w:val="-6"/>
                <w:kern w:val="21"/>
                <w:sz w:val="24"/>
                <w:szCs w:val="24"/>
              </w:rPr>
            </w:pPr>
          </w:p>
          <w:p w14:paraId="254ED427">
            <w:pPr>
              <w:pStyle w:val="31"/>
              <w:spacing w:beforeLines="0" w:afterLines="0" w:line="240" w:lineRule="auto"/>
              <w:ind w:left="0" w:leftChars="0" w:firstLine="0" w:firstLineChars="0"/>
              <w:jc w:val="left"/>
              <w:rPr>
                <w:rFonts w:ascii="Times New Roman"/>
                <w:color w:val="000000"/>
                <w:spacing w:val="-6"/>
                <w:kern w:val="21"/>
                <w:sz w:val="24"/>
                <w:szCs w:val="24"/>
              </w:rPr>
            </w:pPr>
            <w:r>
              <w:rPr>
                <w:rFonts w:ascii="Times New Roman"/>
                <w:color w:val="000000"/>
                <w:spacing w:val="-6"/>
                <w:kern w:val="21"/>
                <w:sz w:val="24"/>
                <w:szCs w:val="24"/>
              </w:rPr>
              <w:t>分类</w:t>
            </w:r>
          </w:p>
          <w:p w14:paraId="5C2D9650">
            <w:pPr>
              <w:pStyle w:val="31"/>
              <w:spacing w:beforeLines="0" w:afterLines="0" w:line="240" w:lineRule="auto"/>
              <w:ind w:left="0" w:leftChars="0" w:firstLine="0" w:firstLineChars="0"/>
              <w:jc w:val="left"/>
              <w:rPr>
                <w:rFonts w:ascii="Times New Roman"/>
                <w:color w:val="000000"/>
                <w:spacing w:val="-6"/>
                <w:kern w:val="21"/>
                <w:sz w:val="24"/>
                <w:szCs w:val="24"/>
              </w:rPr>
            </w:pPr>
          </w:p>
        </w:tc>
        <w:tc>
          <w:tcPr>
            <w:tcW w:w="1710" w:type="dxa"/>
            <w:tcMar>
              <w:top w:w="0" w:type="dxa"/>
              <w:left w:w="28" w:type="dxa"/>
              <w:bottom w:w="0" w:type="dxa"/>
              <w:right w:w="28" w:type="dxa"/>
            </w:tcMar>
            <w:vAlign w:val="center"/>
          </w:tcPr>
          <w:p w14:paraId="5BEC531A">
            <w:pPr>
              <w:pStyle w:val="31"/>
              <w:spacing w:beforeLines="0" w:afterLines="0" w:line="240" w:lineRule="auto"/>
              <w:ind w:left="0" w:leftChars="0" w:firstLine="0" w:firstLineChars="0"/>
              <w:rPr>
                <w:rFonts w:ascii="Times New Roman"/>
                <w:color w:val="000000"/>
                <w:spacing w:val="-6"/>
                <w:kern w:val="21"/>
                <w:sz w:val="24"/>
                <w:szCs w:val="24"/>
              </w:rPr>
            </w:pPr>
            <w:r>
              <w:rPr>
                <w:rFonts w:ascii="Times New Roman"/>
                <w:color w:val="000000"/>
                <w:spacing w:val="-6"/>
                <w:kern w:val="21"/>
                <w:sz w:val="24"/>
                <w:szCs w:val="24"/>
              </w:rPr>
              <w:t>污染物名称</w:t>
            </w:r>
          </w:p>
        </w:tc>
        <w:tc>
          <w:tcPr>
            <w:tcW w:w="1584" w:type="dxa"/>
            <w:tcMar>
              <w:top w:w="0" w:type="dxa"/>
              <w:left w:w="28" w:type="dxa"/>
              <w:bottom w:w="0" w:type="dxa"/>
              <w:right w:w="28" w:type="dxa"/>
            </w:tcMar>
            <w:vAlign w:val="center"/>
          </w:tcPr>
          <w:p w14:paraId="143CF6B2">
            <w:pPr>
              <w:pStyle w:val="31"/>
              <w:spacing w:beforeLines="0" w:afterLines="0" w:line="240" w:lineRule="auto"/>
              <w:ind w:left="0" w:leftChars="0" w:firstLine="0" w:firstLineChars="0"/>
              <w:rPr>
                <w:rFonts w:ascii="Times New Roman"/>
                <w:color w:val="000000"/>
                <w:spacing w:val="-6"/>
                <w:kern w:val="21"/>
                <w:sz w:val="24"/>
                <w:szCs w:val="24"/>
              </w:rPr>
            </w:pPr>
            <w:r>
              <w:rPr>
                <w:rFonts w:ascii="Times New Roman"/>
                <w:color w:val="000000"/>
                <w:spacing w:val="-6"/>
                <w:kern w:val="21"/>
                <w:sz w:val="24"/>
                <w:szCs w:val="24"/>
              </w:rPr>
              <w:t>现有工程</w:t>
            </w:r>
          </w:p>
          <w:p w14:paraId="01D0D3E0">
            <w:pPr>
              <w:pStyle w:val="31"/>
              <w:spacing w:beforeLines="0" w:afterLines="0" w:line="240" w:lineRule="auto"/>
              <w:ind w:left="0" w:leftChars="0" w:firstLine="0" w:firstLineChars="0"/>
              <w:rPr>
                <w:rFonts w:ascii="Times New Roman"/>
                <w:color w:val="000000"/>
                <w:sz w:val="24"/>
                <w:szCs w:val="24"/>
              </w:rPr>
            </w:pPr>
            <w:r>
              <w:rPr>
                <w:rFonts w:ascii="Times New Roman"/>
                <w:color w:val="000000"/>
                <w:spacing w:val="-6"/>
                <w:kern w:val="21"/>
                <w:sz w:val="24"/>
                <w:szCs w:val="24"/>
              </w:rPr>
              <w:t>排放量（固体废物产生量）①</w:t>
            </w:r>
          </w:p>
        </w:tc>
        <w:tc>
          <w:tcPr>
            <w:tcW w:w="1276" w:type="dxa"/>
            <w:tcMar>
              <w:top w:w="0" w:type="dxa"/>
              <w:left w:w="28" w:type="dxa"/>
              <w:bottom w:w="0" w:type="dxa"/>
              <w:right w:w="28" w:type="dxa"/>
            </w:tcMar>
            <w:vAlign w:val="center"/>
          </w:tcPr>
          <w:p w14:paraId="435CD73F">
            <w:pPr>
              <w:pStyle w:val="31"/>
              <w:spacing w:beforeLines="0" w:afterLines="0" w:line="240" w:lineRule="auto"/>
              <w:ind w:left="0" w:leftChars="0" w:firstLine="0" w:firstLineChars="0"/>
              <w:rPr>
                <w:rFonts w:ascii="Times New Roman"/>
                <w:color w:val="000000"/>
                <w:spacing w:val="-6"/>
                <w:kern w:val="21"/>
                <w:sz w:val="24"/>
                <w:szCs w:val="24"/>
              </w:rPr>
            </w:pPr>
            <w:r>
              <w:rPr>
                <w:rFonts w:ascii="Times New Roman"/>
                <w:color w:val="000000"/>
                <w:spacing w:val="-6"/>
                <w:kern w:val="21"/>
                <w:sz w:val="24"/>
                <w:szCs w:val="24"/>
              </w:rPr>
              <w:t>现有工程</w:t>
            </w:r>
          </w:p>
          <w:p w14:paraId="5BBA5F6F">
            <w:pPr>
              <w:pStyle w:val="31"/>
              <w:spacing w:beforeLines="0" w:afterLines="0" w:line="240" w:lineRule="auto"/>
              <w:ind w:left="0" w:leftChars="0" w:firstLine="0" w:firstLineChars="0"/>
              <w:rPr>
                <w:rFonts w:ascii="Times New Roman"/>
                <w:color w:val="000000"/>
                <w:spacing w:val="-6"/>
                <w:kern w:val="21"/>
                <w:sz w:val="24"/>
                <w:szCs w:val="24"/>
              </w:rPr>
            </w:pPr>
            <w:r>
              <w:rPr>
                <w:rFonts w:ascii="Times New Roman"/>
                <w:color w:val="000000"/>
                <w:spacing w:val="-6"/>
                <w:kern w:val="21"/>
                <w:sz w:val="24"/>
                <w:szCs w:val="24"/>
              </w:rPr>
              <w:t>许可排放量</w:t>
            </w:r>
          </w:p>
          <w:p w14:paraId="17EC041C">
            <w:pPr>
              <w:pStyle w:val="31"/>
              <w:spacing w:beforeLines="0" w:afterLines="0" w:line="240" w:lineRule="auto"/>
              <w:ind w:left="0" w:leftChars="0" w:firstLine="0" w:firstLineChars="0"/>
              <w:rPr>
                <w:rFonts w:ascii="Times New Roman"/>
                <w:color w:val="000000"/>
                <w:sz w:val="24"/>
                <w:szCs w:val="24"/>
              </w:rPr>
            </w:pPr>
            <w:r>
              <w:rPr>
                <w:rFonts w:ascii="Times New Roman"/>
                <w:color w:val="000000"/>
                <w:spacing w:val="-6"/>
                <w:kern w:val="21"/>
                <w:sz w:val="24"/>
                <w:szCs w:val="24"/>
              </w:rPr>
              <w:t>②</w:t>
            </w:r>
          </w:p>
        </w:tc>
        <w:tc>
          <w:tcPr>
            <w:tcW w:w="1701" w:type="dxa"/>
            <w:tcMar>
              <w:top w:w="0" w:type="dxa"/>
              <w:left w:w="28" w:type="dxa"/>
              <w:bottom w:w="0" w:type="dxa"/>
              <w:right w:w="28" w:type="dxa"/>
            </w:tcMar>
            <w:vAlign w:val="center"/>
          </w:tcPr>
          <w:p w14:paraId="54667765">
            <w:pPr>
              <w:pStyle w:val="31"/>
              <w:spacing w:beforeLines="0" w:afterLines="0" w:line="240" w:lineRule="auto"/>
              <w:ind w:left="0" w:leftChars="0" w:firstLine="0" w:firstLineChars="0"/>
              <w:rPr>
                <w:rFonts w:ascii="Times New Roman"/>
                <w:color w:val="000000"/>
                <w:spacing w:val="-6"/>
                <w:kern w:val="21"/>
                <w:sz w:val="24"/>
                <w:szCs w:val="24"/>
              </w:rPr>
            </w:pPr>
            <w:r>
              <w:rPr>
                <w:rFonts w:ascii="Times New Roman"/>
                <w:color w:val="000000"/>
                <w:spacing w:val="-6"/>
                <w:kern w:val="21"/>
                <w:sz w:val="24"/>
                <w:szCs w:val="24"/>
              </w:rPr>
              <w:t>在建工程</w:t>
            </w:r>
          </w:p>
          <w:p w14:paraId="79FF33A2">
            <w:pPr>
              <w:pStyle w:val="31"/>
              <w:spacing w:beforeLines="0" w:afterLines="0" w:line="240" w:lineRule="auto"/>
              <w:ind w:left="0" w:leftChars="0" w:firstLine="0" w:firstLineChars="0"/>
              <w:rPr>
                <w:rFonts w:ascii="Times New Roman"/>
                <w:color w:val="000000"/>
                <w:sz w:val="24"/>
                <w:szCs w:val="24"/>
              </w:rPr>
            </w:pPr>
            <w:r>
              <w:rPr>
                <w:rFonts w:ascii="Times New Roman"/>
                <w:color w:val="000000"/>
                <w:spacing w:val="-6"/>
                <w:kern w:val="21"/>
                <w:sz w:val="24"/>
                <w:szCs w:val="24"/>
              </w:rPr>
              <w:t>排放量（固体废物产生量）③</w:t>
            </w:r>
          </w:p>
        </w:tc>
        <w:tc>
          <w:tcPr>
            <w:tcW w:w="1559" w:type="dxa"/>
            <w:tcMar>
              <w:top w:w="0" w:type="dxa"/>
              <w:left w:w="28" w:type="dxa"/>
              <w:bottom w:w="0" w:type="dxa"/>
              <w:right w:w="28" w:type="dxa"/>
            </w:tcMar>
            <w:vAlign w:val="center"/>
          </w:tcPr>
          <w:p w14:paraId="4E6CB4CD">
            <w:pPr>
              <w:pStyle w:val="31"/>
              <w:spacing w:beforeLines="0" w:afterLines="0" w:line="240" w:lineRule="auto"/>
              <w:ind w:left="0" w:leftChars="0" w:firstLine="0" w:firstLineChars="0"/>
              <w:rPr>
                <w:rFonts w:ascii="Times New Roman"/>
                <w:color w:val="000000"/>
                <w:spacing w:val="-6"/>
                <w:kern w:val="21"/>
                <w:sz w:val="24"/>
                <w:szCs w:val="24"/>
              </w:rPr>
            </w:pPr>
            <w:r>
              <w:rPr>
                <w:rFonts w:ascii="Times New Roman"/>
                <w:color w:val="000000"/>
                <w:spacing w:val="-6"/>
                <w:kern w:val="21"/>
                <w:sz w:val="24"/>
                <w:szCs w:val="24"/>
              </w:rPr>
              <w:t>本项目</w:t>
            </w:r>
          </w:p>
          <w:p w14:paraId="3B610C7E">
            <w:pPr>
              <w:pStyle w:val="31"/>
              <w:spacing w:beforeLines="0" w:afterLines="0" w:line="240" w:lineRule="auto"/>
              <w:ind w:left="0" w:leftChars="0" w:firstLine="0" w:firstLineChars="0"/>
              <w:rPr>
                <w:rFonts w:ascii="Times New Roman"/>
                <w:color w:val="000000"/>
                <w:sz w:val="24"/>
                <w:szCs w:val="24"/>
              </w:rPr>
            </w:pPr>
            <w:r>
              <w:rPr>
                <w:rFonts w:ascii="Times New Roman"/>
                <w:color w:val="000000"/>
                <w:spacing w:val="-6"/>
                <w:kern w:val="21"/>
                <w:sz w:val="24"/>
                <w:szCs w:val="24"/>
              </w:rPr>
              <w:t>排放量（固体废物产生量）④</w:t>
            </w:r>
          </w:p>
        </w:tc>
        <w:tc>
          <w:tcPr>
            <w:tcW w:w="1761" w:type="dxa"/>
            <w:tcMar>
              <w:top w:w="0" w:type="dxa"/>
              <w:left w:w="28" w:type="dxa"/>
              <w:bottom w:w="0" w:type="dxa"/>
              <w:right w:w="28" w:type="dxa"/>
            </w:tcMar>
            <w:vAlign w:val="center"/>
          </w:tcPr>
          <w:p w14:paraId="15290675">
            <w:pPr>
              <w:pStyle w:val="31"/>
              <w:spacing w:beforeLines="0" w:afterLines="0" w:line="240" w:lineRule="auto"/>
              <w:ind w:left="0" w:leftChars="0" w:firstLine="0" w:firstLineChars="0"/>
              <w:rPr>
                <w:rFonts w:ascii="Times New Roman"/>
                <w:color w:val="000000"/>
                <w:spacing w:val="-16"/>
                <w:kern w:val="21"/>
                <w:sz w:val="24"/>
                <w:szCs w:val="24"/>
              </w:rPr>
            </w:pPr>
            <w:r>
              <w:rPr>
                <w:rFonts w:ascii="Times New Roman"/>
                <w:color w:val="000000"/>
                <w:spacing w:val="-16"/>
                <w:kern w:val="21"/>
                <w:sz w:val="24"/>
                <w:szCs w:val="24"/>
              </w:rPr>
              <w:t>以新带老削减量</w:t>
            </w:r>
          </w:p>
          <w:p w14:paraId="61E97152">
            <w:pPr>
              <w:pStyle w:val="31"/>
              <w:spacing w:beforeLines="0" w:afterLines="0" w:line="240" w:lineRule="auto"/>
              <w:ind w:left="0" w:leftChars="0" w:firstLine="0" w:firstLineChars="0"/>
              <w:rPr>
                <w:rFonts w:ascii="Times New Roman"/>
                <w:color w:val="000000"/>
                <w:sz w:val="24"/>
                <w:szCs w:val="24"/>
              </w:rPr>
            </w:pPr>
            <w:r>
              <w:rPr>
                <w:rFonts w:ascii="Times New Roman"/>
                <w:color w:val="000000"/>
                <w:spacing w:val="-16"/>
                <w:kern w:val="21"/>
                <w:sz w:val="24"/>
                <w:szCs w:val="24"/>
              </w:rPr>
              <w:t>（新建项目不填）⑤</w:t>
            </w:r>
          </w:p>
        </w:tc>
        <w:tc>
          <w:tcPr>
            <w:tcW w:w="1829" w:type="dxa"/>
            <w:tcMar>
              <w:top w:w="0" w:type="dxa"/>
              <w:left w:w="28" w:type="dxa"/>
              <w:bottom w:w="0" w:type="dxa"/>
              <w:right w:w="28" w:type="dxa"/>
            </w:tcMar>
            <w:vAlign w:val="center"/>
          </w:tcPr>
          <w:p w14:paraId="53AD472E">
            <w:pPr>
              <w:pStyle w:val="31"/>
              <w:spacing w:beforeLines="0" w:afterLines="0" w:line="240" w:lineRule="auto"/>
              <w:ind w:left="0" w:leftChars="0" w:firstLine="0" w:firstLineChars="0"/>
              <w:rPr>
                <w:rFonts w:ascii="Times New Roman"/>
                <w:color w:val="000000"/>
                <w:spacing w:val="-16"/>
                <w:kern w:val="21"/>
                <w:sz w:val="24"/>
                <w:szCs w:val="24"/>
              </w:rPr>
            </w:pPr>
            <w:r>
              <w:rPr>
                <w:rFonts w:ascii="Times New Roman"/>
                <w:color w:val="000000"/>
                <w:spacing w:val="-16"/>
                <w:kern w:val="21"/>
                <w:sz w:val="24"/>
                <w:szCs w:val="24"/>
              </w:rPr>
              <w:t>本项目建成后</w:t>
            </w:r>
          </w:p>
          <w:p w14:paraId="39909B3C">
            <w:pPr>
              <w:pStyle w:val="31"/>
              <w:spacing w:beforeLines="0" w:afterLines="0" w:line="240" w:lineRule="auto"/>
              <w:ind w:left="0" w:leftChars="0" w:firstLine="0" w:firstLineChars="0"/>
              <w:rPr>
                <w:rFonts w:ascii="Times New Roman"/>
                <w:color w:val="000000"/>
                <w:sz w:val="24"/>
                <w:szCs w:val="24"/>
              </w:rPr>
            </w:pPr>
            <w:r>
              <w:rPr>
                <w:rFonts w:ascii="Times New Roman"/>
                <w:color w:val="000000"/>
                <w:spacing w:val="-16"/>
                <w:kern w:val="21"/>
                <w:sz w:val="24"/>
                <w:szCs w:val="24"/>
              </w:rPr>
              <w:t>全厂排放量（固体废物产生量）⑥</w:t>
            </w:r>
          </w:p>
        </w:tc>
        <w:tc>
          <w:tcPr>
            <w:tcW w:w="1305" w:type="dxa"/>
            <w:tcMar>
              <w:top w:w="0" w:type="dxa"/>
              <w:left w:w="28" w:type="dxa"/>
              <w:bottom w:w="0" w:type="dxa"/>
              <w:right w:w="28" w:type="dxa"/>
            </w:tcMar>
            <w:vAlign w:val="center"/>
          </w:tcPr>
          <w:p w14:paraId="7BA0195F">
            <w:pPr>
              <w:pStyle w:val="31"/>
              <w:spacing w:beforeLines="0" w:afterLines="0" w:line="240" w:lineRule="auto"/>
              <w:ind w:left="0" w:leftChars="0" w:firstLine="0" w:firstLineChars="0"/>
              <w:rPr>
                <w:rFonts w:ascii="Times New Roman"/>
                <w:color w:val="000000"/>
                <w:spacing w:val="-6"/>
                <w:kern w:val="21"/>
                <w:sz w:val="24"/>
                <w:szCs w:val="24"/>
              </w:rPr>
            </w:pPr>
            <w:r>
              <w:rPr>
                <w:rFonts w:ascii="Times New Roman"/>
                <w:color w:val="000000"/>
                <w:spacing w:val="-6"/>
                <w:kern w:val="21"/>
                <w:sz w:val="24"/>
                <w:szCs w:val="24"/>
              </w:rPr>
              <w:t>变化量</w:t>
            </w:r>
          </w:p>
          <w:p w14:paraId="47FA43C7">
            <w:pPr>
              <w:pStyle w:val="31"/>
              <w:spacing w:beforeLines="0" w:afterLines="0" w:line="240" w:lineRule="auto"/>
              <w:ind w:left="0" w:leftChars="0" w:firstLine="0" w:firstLineChars="0"/>
              <w:rPr>
                <w:rFonts w:ascii="Times New Roman"/>
                <w:color w:val="000000"/>
                <w:sz w:val="24"/>
                <w:szCs w:val="24"/>
              </w:rPr>
            </w:pPr>
            <w:r>
              <w:rPr>
                <w:rFonts w:ascii="Times New Roman"/>
                <w:color w:val="000000"/>
                <w:spacing w:val="-6"/>
                <w:kern w:val="21"/>
                <w:sz w:val="24"/>
                <w:szCs w:val="24"/>
              </w:rPr>
              <w:t>⑦</w:t>
            </w:r>
          </w:p>
        </w:tc>
      </w:tr>
      <w:tr w14:paraId="3F138B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412" w:type="dxa"/>
            <w:vMerge w:val="restart"/>
            <w:vAlign w:val="center"/>
          </w:tcPr>
          <w:p w14:paraId="1315C0C5">
            <w:pPr>
              <w:pStyle w:val="31"/>
              <w:spacing w:beforeLines="0" w:afterLines="0" w:line="240" w:lineRule="auto"/>
              <w:ind w:left="0" w:leftChars="0" w:firstLine="0" w:firstLineChars="0"/>
              <w:rPr>
                <w:rFonts w:ascii="Times New Roman"/>
                <w:color w:val="000000"/>
                <w:kern w:val="21"/>
                <w:sz w:val="24"/>
                <w:szCs w:val="24"/>
              </w:rPr>
            </w:pPr>
            <w:r>
              <w:rPr>
                <w:rFonts w:ascii="Times New Roman"/>
                <w:color w:val="000000"/>
                <w:kern w:val="21"/>
                <w:sz w:val="24"/>
                <w:szCs w:val="24"/>
              </w:rPr>
              <w:t>废气</w:t>
            </w:r>
          </w:p>
        </w:tc>
        <w:tc>
          <w:tcPr>
            <w:tcW w:w="1710" w:type="dxa"/>
            <w:vAlign w:val="center"/>
          </w:tcPr>
          <w:p w14:paraId="4490F05A">
            <w:pPr>
              <w:pStyle w:val="32"/>
              <w:rPr>
                <w:color w:val="000000"/>
                <w:sz w:val="24"/>
                <w:szCs w:val="24"/>
              </w:rPr>
            </w:pPr>
            <w:r>
              <w:rPr>
                <w:rFonts w:hint="eastAsia"/>
                <w:color w:val="000000"/>
                <w:sz w:val="24"/>
                <w:szCs w:val="24"/>
              </w:rPr>
              <w:t>SO</w:t>
            </w:r>
            <w:r>
              <w:rPr>
                <w:rFonts w:hint="eastAsia"/>
                <w:color w:val="000000"/>
                <w:sz w:val="24"/>
                <w:szCs w:val="24"/>
                <w:vertAlign w:val="subscript"/>
              </w:rPr>
              <w:t>2</w:t>
            </w:r>
          </w:p>
        </w:tc>
        <w:tc>
          <w:tcPr>
            <w:tcW w:w="1584" w:type="dxa"/>
            <w:vAlign w:val="center"/>
          </w:tcPr>
          <w:p w14:paraId="07617BAC">
            <w:pPr>
              <w:jc w:val="center"/>
              <w:rPr>
                <w:rFonts w:hint="eastAsia" w:eastAsia="宋体"/>
                <w:color w:val="000000"/>
                <w:kern w:val="0"/>
                <w:sz w:val="24"/>
                <w:lang w:val="en-US" w:eastAsia="zh-CN"/>
              </w:rPr>
            </w:pPr>
            <w:r>
              <w:rPr>
                <w:rFonts w:hint="eastAsia"/>
                <w:color w:val="000000"/>
                <w:kern w:val="0"/>
                <w:sz w:val="24"/>
                <w:lang w:val="en-US" w:eastAsia="zh-CN"/>
              </w:rPr>
              <w:t>/</w:t>
            </w:r>
          </w:p>
        </w:tc>
        <w:tc>
          <w:tcPr>
            <w:tcW w:w="1276" w:type="dxa"/>
            <w:vAlign w:val="center"/>
          </w:tcPr>
          <w:p w14:paraId="41D23A32">
            <w:pPr>
              <w:jc w:val="center"/>
              <w:rPr>
                <w:color w:val="000000"/>
                <w:kern w:val="0"/>
                <w:sz w:val="24"/>
              </w:rPr>
            </w:pPr>
            <w:r>
              <w:rPr>
                <w:rFonts w:hint="eastAsia"/>
                <w:color w:val="000000"/>
                <w:kern w:val="0"/>
                <w:sz w:val="24"/>
                <w:lang w:val="en-US" w:eastAsia="zh-CN"/>
              </w:rPr>
              <w:t>/</w:t>
            </w:r>
          </w:p>
        </w:tc>
        <w:tc>
          <w:tcPr>
            <w:tcW w:w="1701" w:type="dxa"/>
            <w:vAlign w:val="center"/>
          </w:tcPr>
          <w:p w14:paraId="390F594B">
            <w:pPr>
              <w:jc w:val="center"/>
              <w:rPr>
                <w:color w:val="000000"/>
                <w:kern w:val="0"/>
                <w:sz w:val="24"/>
              </w:rPr>
            </w:pPr>
            <w:r>
              <w:rPr>
                <w:rFonts w:hint="eastAsia"/>
                <w:color w:val="000000"/>
                <w:kern w:val="0"/>
                <w:sz w:val="24"/>
                <w:lang w:val="en-US" w:eastAsia="zh-CN"/>
              </w:rPr>
              <w:t>/</w:t>
            </w:r>
          </w:p>
        </w:tc>
        <w:tc>
          <w:tcPr>
            <w:tcW w:w="1559" w:type="dxa"/>
            <w:vAlign w:val="center"/>
          </w:tcPr>
          <w:p w14:paraId="1CE176E1">
            <w:pPr>
              <w:jc w:val="center"/>
              <w:rPr>
                <w:color w:val="auto"/>
                <w:sz w:val="24"/>
              </w:rPr>
            </w:pPr>
            <w:r>
              <w:rPr>
                <w:rFonts w:hint="eastAsia"/>
                <w:color w:val="auto"/>
                <w:sz w:val="24"/>
                <w:lang w:val="en-US" w:eastAsia="zh-CN"/>
              </w:rPr>
              <w:t>0.19</w:t>
            </w:r>
            <w:r>
              <w:rPr>
                <w:rFonts w:hint="eastAsia"/>
                <w:color w:val="auto"/>
                <w:sz w:val="24"/>
              </w:rPr>
              <w:t>t/a</w:t>
            </w:r>
          </w:p>
        </w:tc>
        <w:tc>
          <w:tcPr>
            <w:tcW w:w="1761" w:type="dxa"/>
            <w:vAlign w:val="center"/>
          </w:tcPr>
          <w:p w14:paraId="109A470B">
            <w:pPr>
              <w:pStyle w:val="32"/>
              <w:rPr>
                <w:color w:val="auto"/>
                <w:sz w:val="24"/>
                <w:szCs w:val="24"/>
              </w:rPr>
            </w:pPr>
            <w:r>
              <w:rPr>
                <w:rFonts w:hint="eastAsia"/>
                <w:color w:val="auto"/>
                <w:sz w:val="24"/>
                <w:szCs w:val="24"/>
              </w:rPr>
              <w:t>/</w:t>
            </w:r>
          </w:p>
        </w:tc>
        <w:tc>
          <w:tcPr>
            <w:tcW w:w="1829" w:type="dxa"/>
            <w:vAlign w:val="center"/>
          </w:tcPr>
          <w:p w14:paraId="09A43868">
            <w:pPr>
              <w:jc w:val="center"/>
              <w:rPr>
                <w:color w:val="auto"/>
                <w:sz w:val="24"/>
              </w:rPr>
            </w:pPr>
            <w:r>
              <w:rPr>
                <w:rFonts w:hint="eastAsia"/>
                <w:color w:val="auto"/>
                <w:sz w:val="24"/>
                <w:lang w:val="en-US" w:eastAsia="zh-CN"/>
              </w:rPr>
              <w:t>0.19</w:t>
            </w:r>
            <w:r>
              <w:rPr>
                <w:rFonts w:hint="eastAsia"/>
                <w:color w:val="auto"/>
                <w:sz w:val="24"/>
              </w:rPr>
              <w:t>t/a</w:t>
            </w:r>
          </w:p>
        </w:tc>
        <w:tc>
          <w:tcPr>
            <w:tcW w:w="1305" w:type="dxa"/>
            <w:vAlign w:val="center"/>
          </w:tcPr>
          <w:p w14:paraId="7C14A53A">
            <w:pPr>
              <w:jc w:val="center"/>
              <w:rPr>
                <w:color w:val="auto"/>
                <w:sz w:val="24"/>
              </w:rPr>
            </w:pPr>
            <w:r>
              <w:rPr>
                <w:rFonts w:hint="eastAsia"/>
                <w:color w:val="auto"/>
                <w:sz w:val="24"/>
                <w:lang w:val="en-US" w:eastAsia="zh-CN"/>
              </w:rPr>
              <w:t>+0.19</w:t>
            </w:r>
            <w:r>
              <w:rPr>
                <w:rFonts w:hint="eastAsia"/>
                <w:color w:val="auto"/>
                <w:sz w:val="24"/>
              </w:rPr>
              <w:t>t/a</w:t>
            </w:r>
          </w:p>
        </w:tc>
      </w:tr>
      <w:tr w14:paraId="0238F2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12" w:type="dxa"/>
            <w:vMerge w:val="continue"/>
            <w:vAlign w:val="center"/>
          </w:tcPr>
          <w:p w14:paraId="6BE6CFF9">
            <w:pPr>
              <w:pStyle w:val="31"/>
              <w:spacing w:beforeLines="0" w:afterLines="0" w:line="240" w:lineRule="auto"/>
              <w:ind w:left="0" w:leftChars="0" w:firstLine="0" w:firstLineChars="0"/>
              <w:rPr>
                <w:rFonts w:ascii="Times New Roman"/>
                <w:color w:val="000000"/>
                <w:kern w:val="21"/>
                <w:sz w:val="24"/>
                <w:szCs w:val="24"/>
              </w:rPr>
            </w:pPr>
          </w:p>
        </w:tc>
        <w:tc>
          <w:tcPr>
            <w:tcW w:w="1710" w:type="dxa"/>
            <w:vAlign w:val="center"/>
          </w:tcPr>
          <w:p w14:paraId="10C56C82">
            <w:pPr>
              <w:pStyle w:val="32"/>
              <w:rPr>
                <w:color w:val="000000"/>
                <w:sz w:val="24"/>
                <w:szCs w:val="24"/>
              </w:rPr>
            </w:pPr>
            <w:r>
              <w:rPr>
                <w:rFonts w:hint="eastAsia"/>
                <w:color w:val="000000"/>
                <w:sz w:val="24"/>
                <w:szCs w:val="24"/>
              </w:rPr>
              <w:t>NOx</w:t>
            </w:r>
          </w:p>
        </w:tc>
        <w:tc>
          <w:tcPr>
            <w:tcW w:w="1584" w:type="dxa"/>
            <w:vAlign w:val="center"/>
          </w:tcPr>
          <w:p w14:paraId="00E0842F">
            <w:pPr>
              <w:jc w:val="center"/>
              <w:rPr>
                <w:color w:val="000000"/>
                <w:kern w:val="0"/>
                <w:sz w:val="24"/>
              </w:rPr>
            </w:pPr>
            <w:r>
              <w:rPr>
                <w:rFonts w:hint="eastAsia"/>
                <w:color w:val="000000"/>
                <w:kern w:val="0"/>
                <w:sz w:val="24"/>
                <w:lang w:val="en-US" w:eastAsia="zh-CN"/>
              </w:rPr>
              <w:t>/</w:t>
            </w:r>
          </w:p>
        </w:tc>
        <w:tc>
          <w:tcPr>
            <w:tcW w:w="1276" w:type="dxa"/>
            <w:vAlign w:val="center"/>
          </w:tcPr>
          <w:p w14:paraId="403BA118">
            <w:pPr>
              <w:jc w:val="center"/>
              <w:rPr>
                <w:color w:val="000000"/>
                <w:kern w:val="0"/>
                <w:sz w:val="24"/>
              </w:rPr>
            </w:pPr>
            <w:r>
              <w:rPr>
                <w:rFonts w:hint="eastAsia"/>
                <w:color w:val="000000"/>
                <w:kern w:val="0"/>
                <w:sz w:val="24"/>
                <w:lang w:val="en-US" w:eastAsia="zh-CN"/>
              </w:rPr>
              <w:t>/</w:t>
            </w:r>
          </w:p>
        </w:tc>
        <w:tc>
          <w:tcPr>
            <w:tcW w:w="1701" w:type="dxa"/>
            <w:vAlign w:val="center"/>
          </w:tcPr>
          <w:p w14:paraId="4A9FDB07">
            <w:pPr>
              <w:jc w:val="center"/>
              <w:rPr>
                <w:color w:val="000000"/>
                <w:kern w:val="0"/>
                <w:sz w:val="24"/>
              </w:rPr>
            </w:pPr>
            <w:r>
              <w:rPr>
                <w:rFonts w:hint="eastAsia"/>
                <w:color w:val="000000"/>
                <w:kern w:val="0"/>
                <w:sz w:val="24"/>
                <w:lang w:val="en-US" w:eastAsia="zh-CN"/>
              </w:rPr>
              <w:t>/</w:t>
            </w:r>
          </w:p>
        </w:tc>
        <w:tc>
          <w:tcPr>
            <w:tcW w:w="1559" w:type="dxa"/>
            <w:vAlign w:val="center"/>
          </w:tcPr>
          <w:p w14:paraId="71A28185">
            <w:pPr>
              <w:jc w:val="center"/>
              <w:rPr>
                <w:color w:val="auto"/>
                <w:sz w:val="24"/>
              </w:rPr>
            </w:pPr>
            <w:r>
              <w:rPr>
                <w:rFonts w:hint="eastAsia"/>
                <w:color w:val="auto"/>
                <w:sz w:val="24"/>
                <w:lang w:val="en-US" w:eastAsia="zh-CN"/>
              </w:rPr>
              <w:t>0.227</w:t>
            </w:r>
            <w:r>
              <w:rPr>
                <w:rFonts w:hint="eastAsia"/>
                <w:color w:val="auto"/>
                <w:sz w:val="24"/>
              </w:rPr>
              <w:t>t/a</w:t>
            </w:r>
          </w:p>
        </w:tc>
        <w:tc>
          <w:tcPr>
            <w:tcW w:w="1761" w:type="dxa"/>
            <w:vAlign w:val="center"/>
          </w:tcPr>
          <w:p w14:paraId="024FAD54">
            <w:pPr>
              <w:jc w:val="center"/>
              <w:rPr>
                <w:color w:val="auto"/>
                <w:sz w:val="24"/>
              </w:rPr>
            </w:pPr>
            <w:r>
              <w:rPr>
                <w:rFonts w:hint="eastAsia"/>
                <w:color w:val="auto"/>
                <w:sz w:val="24"/>
              </w:rPr>
              <w:t>/</w:t>
            </w:r>
          </w:p>
        </w:tc>
        <w:tc>
          <w:tcPr>
            <w:tcW w:w="1829" w:type="dxa"/>
            <w:vAlign w:val="center"/>
          </w:tcPr>
          <w:p w14:paraId="45B9131B">
            <w:pPr>
              <w:jc w:val="center"/>
              <w:rPr>
                <w:color w:val="auto"/>
                <w:sz w:val="24"/>
              </w:rPr>
            </w:pPr>
            <w:r>
              <w:rPr>
                <w:rFonts w:hint="eastAsia"/>
                <w:color w:val="auto"/>
                <w:sz w:val="24"/>
                <w:lang w:val="en-US" w:eastAsia="zh-CN"/>
              </w:rPr>
              <w:t>0.227</w:t>
            </w:r>
            <w:r>
              <w:rPr>
                <w:rFonts w:hint="eastAsia"/>
                <w:color w:val="auto"/>
                <w:sz w:val="24"/>
              </w:rPr>
              <w:t>t/a</w:t>
            </w:r>
          </w:p>
        </w:tc>
        <w:tc>
          <w:tcPr>
            <w:tcW w:w="1305" w:type="dxa"/>
            <w:vAlign w:val="center"/>
          </w:tcPr>
          <w:p w14:paraId="681ED75D">
            <w:pPr>
              <w:jc w:val="center"/>
              <w:rPr>
                <w:color w:val="auto"/>
                <w:sz w:val="24"/>
              </w:rPr>
            </w:pPr>
            <w:r>
              <w:rPr>
                <w:rFonts w:hint="eastAsia"/>
                <w:color w:val="auto"/>
                <w:sz w:val="24"/>
                <w:lang w:val="en-US" w:eastAsia="zh-CN"/>
              </w:rPr>
              <w:t>+0.227</w:t>
            </w:r>
            <w:r>
              <w:rPr>
                <w:rFonts w:hint="eastAsia"/>
                <w:color w:val="auto"/>
                <w:sz w:val="24"/>
              </w:rPr>
              <w:t>t/a</w:t>
            </w:r>
          </w:p>
        </w:tc>
      </w:tr>
      <w:tr w14:paraId="3DE4A1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12" w:type="dxa"/>
            <w:vMerge w:val="continue"/>
            <w:vAlign w:val="center"/>
          </w:tcPr>
          <w:p w14:paraId="5DBB67DF">
            <w:pPr>
              <w:pStyle w:val="31"/>
              <w:spacing w:beforeLines="0" w:afterLines="0" w:line="240" w:lineRule="auto"/>
              <w:ind w:left="0" w:leftChars="0" w:firstLine="0" w:firstLineChars="0"/>
              <w:rPr>
                <w:rFonts w:ascii="Times New Roman"/>
                <w:color w:val="000000"/>
                <w:kern w:val="21"/>
                <w:sz w:val="24"/>
                <w:szCs w:val="24"/>
              </w:rPr>
            </w:pPr>
          </w:p>
        </w:tc>
        <w:tc>
          <w:tcPr>
            <w:tcW w:w="1710" w:type="dxa"/>
            <w:vAlign w:val="center"/>
          </w:tcPr>
          <w:p w14:paraId="798CB445">
            <w:pPr>
              <w:pStyle w:val="32"/>
              <w:rPr>
                <w:color w:val="000000"/>
                <w:sz w:val="24"/>
                <w:szCs w:val="24"/>
              </w:rPr>
            </w:pPr>
            <w:r>
              <w:rPr>
                <w:rFonts w:hint="eastAsia"/>
                <w:color w:val="000000"/>
                <w:sz w:val="24"/>
                <w:szCs w:val="24"/>
              </w:rPr>
              <w:t>颗粒物</w:t>
            </w:r>
          </w:p>
        </w:tc>
        <w:tc>
          <w:tcPr>
            <w:tcW w:w="1584" w:type="dxa"/>
            <w:vAlign w:val="center"/>
          </w:tcPr>
          <w:p w14:paraId="25ECBF3E">
            <w:pPr>
              <w:jc w:val="center"/>
              <w:rPr>
                <w:color w:val="000000"/>
                <w:kern w:val="0"/>
                <w:sz w:val="24"/>
              </w:rPr>
            </w:pPr>
            <w:r>
              <w:rPr>
                <w:rFonts w:hint="eastAsia"/>
                <w:color w:val="000000"/>
                <w:kern w:val="0"/>
                <w:sz w:val="24"/>
                <w:lang w:val="en-US" w:eastAsia="zh-CN"/>
              </w:rPr>
              <w:t>/</w:t>
            </w:r>
          </w:p>
        </w:tc>
        <w:tc>
          <w:tcPr>
            <w:tcW w:w="1276" w:type="dxa"/>
            <w:vAlign w:val="center"/>
          </w:tcPr>
          <w:p w14:paraId="067170E3">
            <w:pPr>
              <w:jc w:val="center"/>
              <w:rPr>
                <w:color w:val="000000"/>
                <w:kern w:val="0"/>
                <w:sz w:val="24"/>
              </w:rPr>
            </w:pPr>
            <w:r>
              <w:rPr>
                <w:rFonts w:hint="eastAsia"/>
                <w:color w:val="000000"/>
                <w:kern w:val="0"/>
                <w:sz w:val="24"/>
                <w:lang w:val="en-US" w:eastAsia="zh-CN"/>
              </w:rPr>
              <w:t>/</w:t>
            </w:r>
          </w:p>
        </w:tc>
        <w:tc>
          <w:tcPr>
            <w:tcW w:w="1701" w:type="dxa"/>
            <w:vAlign w:val="center"/>
          </w:tcPr>
          <w:p w14:paraId="49047341">
            <w:pPr>
              <w:jc w:val="center"/>
              <w:rPr>
                <w:color w:val="000000"/>
                <w:kern w:val="0"/>
                <w:sz w:val="24"/>
              </w:rPr>
            </w:pPr>
            <w:r>
              <w:rPr>
                <w:rFonts w:hint="eastAsia"/>
                <w:color w:val="000000"/>
                <w:kern w:val="0"/>
                <w:sz w:val="24"/>
                <w:lang w:val="en-US" w:eastAsia="zh-CN"/>
              </w:rPr>
              <w:t>/</w:t>
            </w:r>
          </w:p>
        </w:tc>
        <w:tc>
          <w:tcPr>
            <w:tcW w:w="1559" w:type="dxa"/>
            <w:vAlign w:val="center"/>
          </w:tcPr>
          <w:p w14:paraId="4AC666B2">
            <w:pPr>
              <w:jc w:val="center"/>
              <w:rPr>
                <w:color w:val="auto"/>
                <w:sz w:val="24"/>
              </w:rPr>
            </w:pPr>
            <w:r>
              <w:rPr>
                <w:rFonts w:hint="eastAsia"/>
                <w:color w:val="auto"/>
                <w:sz w:val="24"/>
                <w:lang w:val="en-US" w:eastAsia="zh-CN"/>
              </w:rPr>
              <w:t>0.61</w:t>
            </w:r>
            <w:r>
              <w:rPr>
                <w:rFonts w:hint="eastAsia"/>
                <w:color w:val="auto"/>
                <w:sz w:val="24"/>
              </w:rPr>
              <w:t>t/a</w:t>
            </w:r>
          </w:p>
        </w:tc>
        <w:tc>
          <w:tcPr>
            <w:tcW w:w="1761" w:type="dxa"/>
            <w:vAlign w:val="center"/>
          </w:tcPr>
          <w:p w14:paraId="385E8B96">
            <w:pPr>
              <w:jc w:val="center"/>
              <w:rPr>
                <w:color w:val="auto"/>
                <w:sz w:val="24"/>
              </w:rPr>
            </w:pPr>
            <w:r>
              <w:rPr>
                <w:rFonts w:hint="eastAsia"/>
                <w:color w:val="auto"/>
                <w:sz w:val="24"/>
              </w:rPr>
              <w:t>/</w:t>
            </w:r>
          </w:p>
        </w:tc>
        <w:tc>
          <w:tcPr>
            <w:tcW w:w="1829" w:type="dxa"/>
            <w:vAlign w:val="center"/>
          </w:tcPr>
          <w:p w14:paraId="1E1DD9ED">
            <w:pPr>
              <w:jc w:val="center"/>
              <w:rPr>
                <w:color w:val="auto"/>
                <w:sz w:val="24"/>
              </w:rPr>
            </w:pPr>
            <w:r>
              <w:rPr>
                <w:rFonts w:hint="eastAsia"/>
                <w:color w:val="auto"/>
                <w:sz w:val="24"/>
                <w:lang w:val="en-US" w:eastAsia="zh-CN"/>
              </w:rPr>
              <w:t>0.61</w:t>
            </w:r>
            <w:r>
              <w:rPr>
                <w:rFonts w:hint="eastAsia"/>
                <w:color w:val="auto"/>
                <w:sz w:val="24"/>
              </w:rPr>
              <w:t>t/a</w:t>
            </w:r>
          </w:p>
        </w:tc>
        <w:tc>
          <w:tcPr>
            <w:tcW w:w="1305" w:type="dxa"/>
            <w:vAlign w:val="center"/>
          </w:tcPr>
          <w:p w14:paraId="7A3E2A2B">
            <w:pPr>
              <w:jc w:val="center"/>
              <w:rPr>
                <w:color w:val="auto"/>
                <w:sz w:val="24"/>
              </w:rPr>
            </w:pPr>
            <w:r>
              <w:rPr>
                <w:rFonts w:hint="eastAsia"/>
                <w:color w:val="auto"/>
                <w:sz w:val="24"/>
                <w:lang w:val="en-US" w:eastAsia="zh-CN"/>
              </w:rPr>
              <w:t>+0.61</w:t>
            </w:r>
            <w:r>
              <w:rPr>
                <w:rFonts w:hint="eastAsia"/>
                <w:color w:val="auto"/>
                <w:sz w:val="24"/>
              </w:rPr>
              <w:t>t/a</w:t>
            </w:r>
          </w:p>
        </w:tc>
      </w:tr>
      <w:tr w14:paraId="10CFCC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12" w:type="dxa"/>
            <w:vMerge w:val="restart"/>
            <w:vAlign w:val="center"/>
          </w:tcPr>
          <w:p w14:paraId="0727562F">
            <w:pPr>
              <w:pStyle w:val="31"/>
              <w:spacing w:beforeLines="0" w:afterLines="0" w:line="240" w:lineRule="auto"/>
              <w:ind w:left="0" w:leftChars="0" w:firstLine="0" w:firstLineChars="0"/>
              <w:rPr>
                <w:rFonts w:ascii="Times New Roman"/>
                <w:color w:val="000000"/>
                <w:kern w:val="21"/>
                <w:sz w:val="24"/>
                <w:szCs w:val="24"/>
              </w:rPr>
            </w:pPr>
            <w:r>
              <w:rPr>
                <w:rFonts w:ascii="Times New Roman"/>
                <w:color w:val="000000"/>
                <w:kern w:val="21"/>
                <w:sz w:val="24"/>
                <w:szCs w:val="24"/>
              </w:rPr>
              <w:t>废水</w:t>
            </w:r>
          </w:p>
        </w:tc>
        <w:tc>
          <w:tcPr>
            <w:tcW w:w="1710" w:type="dxa"/>
            <w:vAlign w:val="center"/>
          </w:tcPr>
          <w:p w14:paraId="0B21F270">
            <w:pPr>
              <w:pStyle w:val="32"/>
              <w:rPr>
                <w:color w:val="000000"/>
                <w:sz w:val="24"/>
                <w:szCs w:val="24"/>
              </w:rPr>
            </w:pPr>
            <w:r>
              <w:rPr>
                <w:color w:val="000000"/>
                <w:sz w:val="24"/>
                <w:szCs w:val="24"/>
              </w:rPr>
              <w:t>废水量</w:t>
            </w:r>
          </w:p>
        </w:tc>
        <w:tc>
          <w:tcPr>
            <w:tcW w:w="1584" w:type="dxa"/>
            <w:vAlign w:val="center"/>
          </w:tcPr>
          <w:p w14:paraId="305E705B">
            <w:pPr>
              <w:jc w:val="center"/>
              <w:rPr>
                <w:color w:val="000000"/>
                <w:kern w:val="0"/>
                <w:sz w:val="24"/>
              </w:rPr>
            </w:pPr>
            <w:r>
              <w:rPr>
                <w:rFonts w:hint="eastAsia"/>
                <w:color w:val="000000"/>
                <w:kern w:val="0"/>
                <w:sz w:val="24"/>
                <w:lang w:val="en-US" w:eastAsia="zh-CN"/>
              </w:rPr>
              <w:t>/</w:t>
            </w:r>
          </w:p>
        </w:tc>
        <w:tc>
          <w:tcPr>
            <w:tcW w:w="1276" w:type="dxa"/>
            <w:vAlign w:val="center"/>
          </w:tcPr>
          <w:p w14:paraId="32091958">
            <w:pPr>
              <w:jc w:val="center"/>
              <w:rPr>
                <w:color w:val="000000"/>
                <w:kern w:val="0"/>
                <w:sz w:val="24"/>
              </w:rPr>
            </w:pPr>
            <w:r>
              <w:rPr>
                <w:rFonts w:hint="eastAsia"/>
                <w:color w:val="000000"/>
                <w:kern w:val="0"/>
                <w:sz w:val="24"/>
                <w:lang w:val="en-US" w:eastAsia="zh-CN"/>
              </w:rPr>
              <w:t>/</w:t>
            </w:r>
          </w:p>
        </w:tc>
        <w:tc>
          <w:tcPr>
            <w:tcW w:w="1701" w:type="dxa"/>
            <w:vAlign w:val="center"/>
          </w:tcPr>
          <w:p w14:paraId="221E06FC">
            <w:pPr>
              <w:jc w:val="center"/>
              <w:rPr>
                <w:color w:val="000000"/>
                <w:kern w:val="0"/>
                <w:sz w:val="24"/>
              </w:rPr>
            </w:pPr>
            <w:r>
              <w:rPr>
                <w:rFonts w:hint="eastAsia"/>
                <w:color w:val="000000"/>
                <w:kern w:val="0"/>
                <w:sz w:val="24"/>
                <w:lang w:val="en-US" w:eastAsia="zh-CN"/>
              </w:rPr>
              <w:t>/</w:t>
            </w:r>
          </w:p>
        </w:tc>
        <w:tc>
          <w:tcPr>
            <w:tcW w:w="1559" w:type="dxa"/>
            <w:vAlign w:val="center"/>
          </w:tcPr>
          <w:p w14:paraId="74FEA5FE">
            <w:pPr>
              <w:jc w:val="center"/>
              <w:rPr>
                <w:color w:val="000000"/>
                <w:sz w:val="24"/>
              </w:rPr>
            </w:pPr>
            <w:r>
              <w:rPr>
                <w:rFonts w:hint="eastAsia"/>
                <w:color w:val="000000"/>
                <w:sz w:val="24"/>
              </w:rPr>
              <w:t>/</w:t>
            </w:r>
          </w:p>
        </w:tc>
        <w:tc>
          <w:tcPr>
            <w:tcW w:w="1761" w:type="dxa"/>
            <w:vAlign w:val="center"/>
          </w:tcPr>
          <w:p w14:paraId="6833072B">
            <w:pPr>
              <w:jc w:val="center"/>
              <w:rPr>
                <w:color w:val="000000"/>
                <w:sz w:val="24"/>
              </w:rPr>
            </w:pPr>
            <w:r>
              <w:rPr>
                <w:rFonts w:hint="eastAsia"/>
                <w:color w:val="000000"/>
                <w:sz w:val="24"/>
              </w:rPr>
              <w:t>/</w:t>
            </w:r>
          </w:p>
        </w:tc>
        <w:tc>
          <w:tcPr>
            <w:tcW w:w="1829" w:type="dxa"/>
            <w:vAlign w:val="center"/>
          </w:tcPr>
          <w:p w14:paraId="08A6ED3E">
            <w:pPr>
              <w:jc w:val="center"/>
              <w:rPr>
                <w:color w:val="000000"/>
                <w:sz w:val="24"/>
              </w:rPr>
            </w:pPr>
            <w:r>
              <w:rPr>
                <w:rFonts w:hint="eastAsia"/>
                <w:color w:val="000000"/>
                <w:sz w:val="24"/>
              </w:rPr>
              <w:t>/</w:t>
            </w:r>
          </w:p>
        </w:tc>
        <w:tc>
          <w:tcPr>
            <w:tcW w:w="1305" w:type="dxa"/>
            <w:vAlign w:val="center"/>
          </w:tcPr>
          <w:p w14:paraId="06E8173A">
            <w:pPr>
              <w:jc w:val="center"/>
              <w:rPr>
                <w:color w:val="000000"/>
                <w:sz w:val="24"/>
              </w:rPr>
            </w:pPr>
            <w:r>
              <w:rPr>
                <w:rFonts w:hint="eastAsia"/>
                <w:color w:val="000000"/>
                <w:sz w:val="24"/>
              </w:rPr>
              <w:t>/</w:t>
            </w:r>
          </w:p>
        </w:tc>
      </w:tr>
      <w:tr w14:paraId="2870AE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12" w:type="dxa"/>
            <w:vMerge w:val="continue"/>
            <w:vAlign w:val="center"/>
          </w:tcPr>
          <w:p w14:paraId="0EDCD98D">
            <w:pPr>
              <w:widowControl/>
              <w:jc w:val="left"/>
              <w:rPr>
                <w:color w:val="000000"/>
                <w:kern w:val="21"/>
                <w:sz w:val="24"/>
              </w:rPr>
            </w:pPr>
          </w:p>
        </w:tc>
        <w:tc>
          <w:tcPr>
            <w:tcW w:w="1710" w:type="dxa"/>
            <w:vAlign w:val="center"/>
          </w:tcPr>
          <w:p w14:paraId="49929F35">
            <w:pPr>
              <w:widowControl/>
              <w:jc w:val="center"/>
              <w:textAlignment w:val="center"/>
              <w:rPr>
                <w:color w:val="000000"/>
                <w:sz w:val="24"/>
              </w:rPr>
            </w:pPr>
            <w:r>
              <w:rPr>
                <w:color w:val="000000"/>
                <w:kern w:val="0"/>
                <w:sz w:val="24"/>
              </w:rPr>
              <w:t>COD</w:t>
            </w:r>
          </w:p>
        </w:tc>
        <w:tc>
          <w:tcPr>
            <w:tcW w:w="1584" w:type="dxa"/>
            <w:vAlign w:val="center"/>
          </w:tcPr>
          <w:p w14:paraId="18F29BCF">
            <w:pPr>
              <w:jc w:val="center"/>
              <w:rPr>
                <w:color w:val="000000"/>
                <w:kern w:val="0"/>
                <w:sz w:val="24"/>
              </w:rPr>
            </w:pPr>
            <w:r>
              <w:rPr>
                <w:rFonts w:hint="eastAsia"/>
                <w:color w:val="000000"/>
                <w:kern w:val="0"/>
                <w:sz w:val="24"/>
                <w:lang w:val="en-US" w:eastAsia="zh-CN"/>
              </w:rPr>
              <w:t>/</w:t>
            </w:r>
          </w:p>
        </w:tc>
        <w:tc>
          <w:tcPr>
            <w:tcW w:w="1276" w:type="dxa"/>
            <w:vAlign w:val="center"/>
          </w:tcPr>
          <w:p w14:paraId="2E5008BA">
            <w:pPr>
              <w:jc w:val="center"/>
              <w:rPr>
                <w:color w:val="000000"/>
                <w:kern w:val="0"/>
                <w:sz w:val="24"/>
              </w:rPr>
            </w:pPr>
            <w:r>
              <w:rPr>
                <w:rFonts w:hint="eastAsia"/>
                <w:color w:val="000000"/>
                <w:kern w:val="0"/>
                <w:sz w:val="24"/>
                <w:lang w:val="en-US" w:eastAsia="zh-CN"/>
              </w:rPr>
              <w:t>/</w:t>
            </w:r>
          </w:p>
        </w:tc>
        <w:tc>
          <w:tcPr>
            <w:tcW w:w="1701" w:type="dxa"/>
            <w:vAlign w:val="center"/>
          </w:tcPr>
          <w:p w14:paraId="4F6B87B5">
            <w:pPr>
              <w:jc w:val="center"/>
              <w:rPr>
                <w:color w:val="000000"/>
                <w:kern w:val="0"/>
                <w:sz w:val="24"/>
              </w:rPr>
            </w:pPr>
            <w:r>
              <w:rPr>
                <w:rFonts w:hint="eastAsia"/>
                <w:color w:val="000000"/>
                <w:kern w:val="0"/>
                <w:sz w:val="24"/>
                <w:lang w:val="en-US" w:eastAsia="zh-CN"/>
              </w:rPr>
              <w:t>/</w:t>
            </w:r>
          </w:p>
        </w:tc>
        <w:tc>
          <w:tcPr>
            <w:tcW w:w="1559" w:type="dxa"/>
            <w:vAlign w:val="center"/>
          </w:tcPr>
          <w:p w14:paraId="6B42172C">
            <w:pPr>
              <w:jc w:val="center"/>
              <w:rPr>
                <w:color w:val="000000"/>
                <w:sz w:val="24"/>
              </w:rPr>
            </w:pPr>
            <w:r>
              <w:rPr>
                <w:rFonts w:hint="eastAsia"/>
                <w:color w:val="000000"/>
                <w:sz w:val="24"/>
              </w:rPr>
              <w:t>/</w:t>
            </w:r>
          </w:p>
        </w:tc>
        <w:tc>
          <w:tcPr>
            <w:tcW w:w="1761" w:type="dxa"/>
            <w:vAlign w:val="center"/>
          </w:tcPr>
          <w:p w14:paraId="617FECD1">
            <w:pPr>
              <w:jc w:val="center"/>
              <w:rPr>
                <w:color w:val="000000"/>
                <w:sz w:val="24"/>
              </w:rPr>
            </w:pPr>
            <w:r>
              <w:rPr>
                <w:rFonts w:hint="eastAsia"/>
                <w:color w:val="000000"/>
                <w:sz w:val="24"/>
              </w:rPr>
              <w:t>/</w:t>
            </w:r>
          </w:p>
        </w:tc>
        <w:tc>
          <w:tcPr>
            <w:tcW w:w="1829" w:type="dxa"/>
            <w:vAlign w:val="center"/>
          </w:tcPr>
          <w:p w14:paraId="03ACF542">
            <w:pPr>
              <w:jc w:val="center"/>
              <w:rPr>
                <w:color w:val="000000"/>
                <w:sz w:val="24"/>
              </w:rPr>
            </w:pPr>
            <w:r>
              <w:rPr>
                <w:rFonts w:hint="eastAsia"/>
                <w:color w:val="000000"/>
                <w:sz w:val="24"/>
              </w:rPr>
              <w:t>/</w:t>
            </w:r>
          </w:p>
        </w:tc>
        <w:tc>
          <w:tcPr>
            <w:tcW w:w="1305" w:type="dxa"/>
            <w:vAlign w:val="center"/>
          </w:tcPr>
          <w:p w14:paraId="1D498499">
            <w:pPr>
              <w:jc w:val="center"/>
              <w:rPr>
                <w:color w:val="000000"/>
                <w:sz w:val="24"/>
              </w:rPr>
            </w:pPr>
            <w:r>
              <w:rPr>
                <w:rFonts w:hint="eastAsia"/>
                <w:color w:val="000000"/>
                <w:sz w:val="24"/>
              </w:rPr>
              <w:t>/</w:t>
            </w:r>
          </w:p>
        </w:tc>
      </w:tr>
      <w:tr w14:paraId="779A0D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12" w:type="dxa"/>
            <w:vMerge w:val="continue"/>
            <w:vAlign w:val="center"/>
          </w:tcPr>
          <w:p w14:paraId="05D346EE">
            <w:pPr>
              <w:widowControl/>
              <w:jc w:val="left"/>
              <w:rPr>
                <w:color w:val="000000"/>
                <w:kern w:val="21"/>
                <w:sz w:val="24"/>
              </w:rPr>
            </w:pPr>
          </w:p>
        </w:tc>
        <w:tc>
          <w:tcPr>
            <w:tcW w:w="1710" w:type="dxa"/>
            <w:vAlign w:val="center"/>
          </w:tcPr>
          <w:p w14:paraId="1554D023">
            <w:pPr>
              <w:widowControl/>
              <w:jc w:val="center"/>
              <w:textAlignment w:val="center"/>
              <w:rPr>
                <w:color w:val="000000"/>
                <w:sz w:val="24"/>
              </w:rPr>
            </w:pPr>
            <w:r>
              <w:rPr>
                <w:color w:val="000000"/>
                <w:kern w:val="0"/>
                <w:sz w:val="24"/>
              </w:rPr>
              <w:t>BOD</w:t>
            </w:r>
            <w:r>
              <w:rPr>
                <w:rStyle w:val="42"/>
                <w:rFonts w:ascii="Times New Roman" w:hAnsi="Times New Roman" w:cs="Times New Roman"/>
                <w:color w:val="000000"/>
                <w:sz w:val="24"/>
                <w:szCs w:val="24"/>
                <w:vertAlign w:val="subscript"/>
              </w:rPr>
              <w:t>5</w:t>
            </w:r>
          </w:p>
        </w:tc>
        <w:tc>
          <w:tcPr>
            <w:tcW w:w="1584" w:type="dxa"/>
            <w:vAlign w:val="center"/>
          </w:tcPr>
          <w:p w14:paraId="71C1809D">
            <w:pPr>
              <w:jc w:val="center"/>
              <w:rPr>
                <w:color w:val="000000"/>
                <w:kern w:val="0"/>
                <w:sz w:val="24"/>
              </w:rPr>
            </w:pPr>
            <w:r>
              <w:rPr>
                <w:rFonts w:hint="eastAsia"/>
                <w:color w:val="000000"/>
                <w:kern w:val="0"/>
                <w:sz w:val="24"/>
                <w:lang w:val="en-US" w:eastAsia="zh-CN"/>
              </w:rPr>
              <w:t>/</w:t>
            </w:r>
          </w:p>
        </w:tc>
        <w:tc>
          <w:tcPr>
            <w:tcW w:w="1276" w:type="dxa"/>
            <w:vAlign w:val="center"/>
          </w:tcPr>
          <w:p w14:paraId="27700631">
            <w:pPr>
              <w:jc w:val="center"/>
              <w:rPr>
                <w:color w:val="000000"/>
                <w:kern w:val="0"/>
                <w:sz w:val="24"/>
              </w:rPr>
            </w:pPr>
            <w:r>
              <w:rPr>
                <w:rFonts w:hint="eastAsia"/>
                <w:color w:val="000000"/>
                <w:kern w:val="0"/>
                <w:sz w:val="24"/>
                <w:lang w:val="en-US" w:eastAsia="zh-CN"/>
              </w:rPr>
              <w:t>/</w:t>
            </w:r>
          </w:p>
        </w:tc>
        <w:tc>
          <w:tcPr>
            <w:tcW w:w="1701" w:type="dxa"/>
            <w:vAlign w:val="center"/>
          </w:tcPr>
          <w:p w14:paraId="0FAA42B9">
            <w:pPr>
              <w:jc w:val="center"/>
              <w:rPr>
                <w:color w:val="000000"/>
                <w:kern w:val="0"/>
                <w:sz w:val="24"/>
              </w:rPr>
            </w:pPr>
            <w:r>
              <w:rPr>
                <w:rFonts w:hint="eastAsia"/>
                <w:color w:val="000000"/>
                <w:kern w:val="0"/>
                <w:sz w:val="24"/>
                <w:lang w:val="en-US" w:eastAsia="zh-CN"/>
              </w:rPr>
              <w:t>/</w:t>
            </w:r>
          </w:p>
        </w:tc>
        <w:tc>
          <w:tcPr>
            <w:tcW w:w="1559" w:type="dxa"/>
            <w:vAlign w:val="center"/>
          </w:tcPr>
          <w:p w14:paraId="11CE5A2C">
            <w:pPr>
              <w:jc w:val="center"/>
              <w:rPr>
                <w:color w:val="000000"/>
                <w:sz w:val="24"/>
              </w:rPr>
            </w:pPr>
            <w:r>
              <w:rPr>
                <w:rFonts w:hint="eastAsia"/>
                <w:color w:val="000000"/>
                <w:sz w:val="24"/>
              </w:rPr>
              <w:t>/</w:t>
            </w:r>
          </w:p>
        </w:tc>
        <w:tc>
          <w:tcPr>
            <w:tcW w:w="1761" w:type="dxa"/>
            <w:vAlign w:val="center"/>
          </w:tcPr>
          <w:p w14:paraId="34660ED8">
            <w:pPr>
              <w:jc w:val="center"/>
              <w:rPr>
                <w:color w:val="000000"/>
                <w:sz w:val="24"/>
              </w:rPr>
            </w:pPr>
            <w:r>
              <w:rPr>
                <w:rFonts w:hint="eastAsia"/>
                <w:color w:val="000000"/>
                <w:sz w:val="24"/>
              </w:rPr>
              <w:t>/</w:t>
            </w:r>
          </w:p>
        </w:tc>
        <w:tc>
          <w:tcPr>
            <w:tcW w:w="1829" w:type="dxa"/>
            <w:vAlign w:val="center"/>
          </w:tcPr>
          <w:p w14:paraId="4A544B89">
            <w:pPr>
              <w:jc w:val="center"/>
              <w:rPr>
                <w:color w:val="000000"/>
                <w:sz w:val="24"/>
              </w:rPr>
            </w:pPr>
            <w:r>
              <w:rPr>
                <w:rFonts w:hint="eastAsia"/>
                <w:color w:val="000000"/>
                <w:sz w:val="24"/>
              </w:rPr>
              <w:t>/</w:t>
            </w:r>
          </w:p>
        </w:tc>
        <w:tc>
          <w:tcPr>
            <w:tcW w:w="1305" w:type="dxa"/>
            <w:vAlign w:val="center"/>
          </w:tcPr>
          <w:p w14:paraId="1EE2A329">
            <w:pPr>
              <w:jc w:val="center"/>
              <w:rPr>
                <w:color w:val="000000"/>
                <w:sz w:val="24"/>
              </w:rPr>
            </w:pPr>
            <w:r>
              <w:rPr>
                <w:rFonts w:hint="eastAsia"/>
                <w:color w:val="000000"/>
                <w:sz w:val="24"/>
              </w:rPr>
              <w:t>/</w:t>
            </w:r>
          </w:p>
        </w:tc>
      </w:tr>
      <w:tr w14:paraId="2B6FBD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12" w:type="dxa"/>
            <w:vMerge w:val="continue"/>
            <w:vAlign w:val="center"/>
          </w:tcPr>
          <w:p w14:paraId="6C15E3A3">
            <w:pPr>
              <w:widowControl/>
              <w:jc w:val="left"/>
              <w:rPr>
                <w:color w:val="000000"/>
                <w:kern w:val="21"/>
                <w:sz w:val="24"/>
              </w:rPr>
            </w:pPr>
          </w:p>
        </w:tc>
        <w:tc>
          <w:tcPr>
            <w:tcW w:w="1710" w:type="dxa"/>
            <w:vAlign w:val="center"/>
          </w:tcPr>
          <w:p w14:paraId="1ECAE59E">
            <w:pPr>
              <w:widowControl/>
              <w:jc w:val="center"/>
              <w:textAlignment w:val="center"/>
              <w:rPr>
                <w:color w:val="000000"/>
                <w:sz w:val="24"/>
              </w:rPr>
            </w:pPr>
            <w:r>
              <w:rPr>
                <w:color w:val="000000"/>
                <w:kern w:val="0"/>
                <w:sz w:val="24"/>
              </w:rPr>
              <w:t>氨氮</w:t>
            </w:r>
          </w:p>
        </w:tc>
        <w:tc>
          <w:tcPr>
            <w:tcW w:w="1584" w:type="dxa"/>
            <w:vAlign w:val="center"/>
          </w:tcPr>
          <w:p w14:paraId="68D7AC8C">
            <w:pPr>
              <w:jc w:val="center"/>
              <w:rPr>
                <w:color w:val="000000"/>
                <w:kern w:val="0"/>
                <w:sz w:val="24"/>
              </w:rPr>
            </w:pPr>
            <w:r>
              <w:rPr>
                <w:rFonts w:hint="eastAsia"/>
                <w:color w:val="000000"/>
                <w:kern w:val="0"/>
                <w:sz w:val="24"/>
                <w:lang w:val="en-US" w:eastAsia="zh-CN"/>
              </w:rPr>
              <w:t>/</w:t>
            </w:r>
          </w:p>
        </w:tc>
        <w:tc>
          <w:tcPr>
            <w:tcW w:w="1276" w:type="dxa"/>
            <w:vAlign w:val="center"/>
          </w:tcPr>
          <w:p w14:paraId="35036202">
            <w:pPr>
              <w:jc w:val="center"/>
              <w:rPr>
                <w:color w:val="000000"/>
                <w:kern w:val="0"/>
                <w:sz w:val="24"/>
              </w:rPr>
            </w:pPr>
            <w:r>
              <w:rPr>
                <w:rFonts w:hint="eastAsia"/>
                <w:color w:val="000000"/>
                <w:kern w:val="0"/>
                <w:sz w:val="24"/>
                <w:lang w:val="en-US" w:eastAsia="zh-CN"/>
              </w:rPr>
              <w:t>/</w:t>
            </w:r>
          </w:p>
        </w:tc>
        <w:tc>
          <w:tcPr>
            <w:tcW w:w="1701" w:type="dxa"/>
            <w:vAlign w:val="center"/>
          </w:tcPr>
          <w:p w14:paraId="5DD3B6D3">
            <w:pPr>
              <w:jc w:val="center"/>
              <w:rPr>
                <w:color w:val="000000"/>
                <w:kern w:val="0"/>
                <w:sz w:val="24"/>
              </w:rPr>
            </w:pPr>
            <w:r>
              <w:rPr>
                <w:rFonts w:hint="eastAsia"/>
                <w:color w:val="000000"/>
                <w:kern w:val="0"/>
                <w:sz w:val="24"/>
                <w:lang w:val="en-US" w:eastAsia="zh-CN"/>
              </w:rPr>
              <w:t>/</w:t>
            </w:r>
          </w:p>
        </w:tc>
        <w:tc>
          <w:tcPr>
            <w:tcW w:w="1559" w:type="dxa"/>
            <w:vAlign w:val="center"/>
          </w:tcPr>
          <w:p w14:paraId="1E199D2A">
            <w:pPr>
              <w:jc w:val="center"/>
              <w:rPr>
                <w:color w:val="000000"/>
                <w:sz w:val="24"/>
              </w:rPr>
            </w:pPr>
            <w:r>
              <w:rPr>
                <w:rFonts w:hint="eastAsia"/>
                <w:color w:val="000000"/>
                <w:sz w:val="24"/>
              </w:rPr>
              <w:t>/</w:t>
            </w:r>
          </w:p>
        </w:tc>
        <w:tc>
          <w:tcPr>
            <w:tcW w:w="1761" w:type="dxa"/>
            <w:vAlign w:val="center"/>
          </w:tcPr>
          <w:p w14:paraId="57AF05EF">
            <w:pPr>
              <w:jc w:val="center"/>
              <w:rPr>
                <w:color w:val="000000"/>
                <w:sz w:val="24"/>
              </w:rPr>
            </w:pPr>
            <w:r>
              <w:rPr>
                <w:rFonts w:hint="eastAsia"/>
                <w:color w:val="000000"/>
                <w:sz w:val="24"/>
              </w:rPr>
              <w:t>/</w:t>
            </w:r>
          </w:p>
        </w:tc>
        <w:tc>
          <w:tcPr>
            <w:tcW w:w="1829" w:type="dxa"/>
            <w:vAlign w:val="center"/>
          </w:tcPr>
          <w:p w14:paraId="70838C12">
            <w:pPr>
              <w:jc w:val="center"/>
              <w:rPr>
                <w:color w:val="000000"/>
                <w:sz w:val="24"/>
              </w:rPr>
            </w:pPr>
            <w:r>
              <w:rPr>
                <w:rFonts w:hint="eastAsia"/>
                <w:color w:val="000000"/>
                <w:sz w:val="24"/>
              </w:rPr>
              <w:t>/</w:t>
            </w:r>
          </w:p>
        </w:tc>
        <w:tc>
          <w:tcPr>
            <w:tcW w:w="1305" w:type="dxa"/>
            <w:vAlign w:val="center"/>
          </w:tcPr>
          <w:p w14:paraId="01A17E1D">
            <w:pPr>
              <w:jc w:val="center"/>
              <w:rPr>
                <w:color w:val="000000"/>
                <w:sz w:val="24"/>
              </w:rPr>
            </w:pPr>
            <w:r>
              <w:rPr>
                <w:rFonts w:hint="eastAsia"/>
                <w:color w:val="000000"/>
                <w:sz w:val="24"/>
              </w:rPr>
              <w:t>/</w:t>
            </w:r>
          </w:p>
        </w:tc>
      </w:tr>
      <w:tr w14:paraId="7FF750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412" w:type="dxa"/>
            <w:vMerge w:val="continue"/>
            <w:vAlign w:val="center"/>
          </w:tcPr>
          <w:p w14:paraId="78C4F232">
            <w:pPr>
              <w:widowControl/>
              <w:jc w:val="left"/>
              <w:rPr>
                <w:color w:val="000000"/>
                <w:kern w:val="21"/>
                <w:sz w:val="24"/>
              </w:rPr>
            </w:pPr>
          </w:p>
        </w:tc>
        <w:tc>
          <w:tcPr>
            <w:tcW w:w="1710" w:type="dxa"/>
            <w:vAlign w:val="center"/>
          </w:tcPr>
          <w:p w14:paraId="368C5DB1">
            <w:pPr>
              <w:widowControl/>
              <w:jc w:val="center"/>
              <w:textAlignment w:val="center"/>
              <w:rPr>
                <w:color w:val="000000"/>
                <w:sz w:val="24"/>
              </w:rPr>
            </w:pPr>
            <w:r>
              <w:rPr>
                <w:color w:val="000000"/>
                <w:kern w:val="0"/>
                <w:sz w:val="24"/>
              </w:rPr>
              <w:t>SS</w:t>
            </w:r>
          </w:p>
        </w:tc>
        <w:tc>
          <w:tcPr>
            <w:tcW w:w="1584" w:type="dxa"/>
            <w:vAlign w:val="center"/>
          </w:tcPr>
          <w:p w14:paraId="41F3125D">
            <w:pPr>
              <w:jc w:val="center"/>
              <w:rPr>
                <w:color w:val="000000"/>
                <w:kern w:val="0"/>
                <w:sz w:val="24"/>
              </w:rPr>
            </w:pPr>
            <w:r>
              <w:rPr>
                <w:rFonts w:hint="eastAsia"/>
                <w:color w:val="000000"/>
                <w:kern w:val="0"/>
                <w:sz w:val="24"/>
                <w:lang w:val="en-US" w:eastAsia="zh-CN"/>
              </w:rPr>
              <w:t>/</w:t>
            </w:r>
          </w:p>
        </w:tc>
        <w:tc>
          <w:tcPr>
            <w:tcW w:w="1276" w:type="dxa"/>
            <w:vAlign w:val="center"/>
          </w:tcPr>
          <w:p w14:paraId="25144311">
            <w:pPr>
              <w:jc w:val="center"/>
              <w:rPr>
                <w:color w:val="000000"/>
                <w:kern w:val="0"/>
                <w:sz w:val="24"/>
              </w:rPr>
            </w:pPr>
            <w:r>
              <w:rPr>
                <w:rFonts w:hint="eastAsia"/>
                <w:color w:val="000000"/>
                <w:kern w:val="0"/>
                <w:sz w:val="24"/>
                <w:lang w:val="en-US" w:eastAsia="zh-CN"/>
              </w:rPr>
              <w:t>/</w:t>
            </w:r>
          </w:p>
        </w:tc>
        <w:tc>
          <w:tcPr>
            <w:tcW w:w="1701" w:type="dxa"/>
            <w:vAlign w:val="center"/>
          </w:tcPr>
          <w:p w14:paraId="155DAF61">
            <w:pPr>
              <w:jc w:val="center"/>
              <w:rPr>
                <w:color w:val="000000"/>
                <w:kern w:val="0"/>
                <w:sz w:val="24"/>
              </w:rPr>
            </w:pPr>
            <w:r>
              <w:rPr>
                <w:rFonts w:hint="eastAsia"/>
                <w:color w:val="000000"/>
                <w:kern w:val="0"/>
                <w:sz w:val="24"/>
                <w:lang w:val="en-US" w:eastAsia="zh-CN"/>
              </w:rPr>
              <w:t>/</w:t>
            </w:r>
          </w:p>
        </w:tc>
        <w:tc>
          <w:tcPr>
            <w:tcW w:w="1559" w:type="dxa"/>
            <w:vAlign w:val="center"/>
          </w:tcPr>
          <w:p w14:paraId="461DEBAA">
            <w:pPr>
              <w:jc w:val="center"/>
              <w:rPr>
                <w:color w:val="000000"/>
                <w:sz w:val="24"/>
              </w:rPr>
            </w:pPr>
            <w:r>
              <w:rPr>
                <w:rFonts w:hint="eastAsia"/>
                <w:color w:val="000000"/>
                <w:sz w:val="24"/>
              </w:rPr>
              <w:t>/</w:t>
            </w:r>
          </w:p>
        </w:tc>
        <w:tc>
          <w:tcPr>
            <w:tcW w:w="1761" w:type="dxa"/>
            <w:vAlign w:val="center"/>
          </w:tcPr>
          <w:p w14:paraId="04E6A0EB">
            <w:pPr>
              <w:jc w:val="center"/>
              <w:rPr>
                <w:color w:val="000000"/>
                <w:sz w:val="24"/>
              </w:rPr>
            </w:pPr>
            <w:r>
              <w:rPr>
                <w:rFonts w:hint="eastAsia"/>
                <w:color w:val="000000"/>
                <w:sz w:val="24"/>
              </w:rPr>
              <w:t>/</w:t>
            </w:r>
          </w:p>
        </w:tc>
        <w:tc>
          <w:tcPr>
            <w:tcW w:w="1829" w:type="dxa"/>
            <w:vAlign w:val="center"/>
          </w:tcPr>
          <w:p w14:paraId="1EB807C7">
            <w:pPr>
              <w:jc w:val="center"/>
              <w:rPr>
                <w:color w:val="000000"/>
                <w:sz w:val="24"/>
              </w:rPr>
            </w:pPr>
            <w:r>
              <w:rPr>
                <w:rFonts w:hint="eastAsia"/>
                <w:color w:val="000000"/>
                <w:sz w:val="24"/>
              </w:rPr>
              <w:t>/</w:t>
            </w:r>
          </w:p>
        </w:tc>
        <w:tc>
          <w:tcPr>
            <w:tcW w:w="1305" w:type="dxa"/>
            <w:vAlign w:val="center"/>
          </w:tcPr>
          <w:p w14:paraId="150F1DCF">
            <w:pPr>
              <w:jc w:val="center"/>
              <w:rPr>
                <w:color w:val="000000"/>
                <w:sz w:val="24"/>
              </w:rPr>
            </w:pPr>
            <w:r>
              <w:rPr>
                <w:rFonts w:hint="eastAsia"/>
                <w:color w:val="000000"/>
                <w:sz w:val="24"/>
              </w:rPr>
              <w:t>/</w:t>
            </w:r>
          </w:p>
        </w:tc>
      </w:tr>
      <w:tr w14:paraId="0A193D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1412" w:type="dxa"/>
            <w:vMerge w:val="restart"/>
            <w:vAlign w:val="center"/>
          </w:tcPr>
          <w:p w14:paraId="4DE12186">
            <w:pPr>
              <w:pStyle w:val="31"/>
              <w:spacing w:beforeLines="0" w:afterLines="0" w:line="240" w:lineRule="auto"/>
              <w:ind w:left="0" w:leftChars="0" w:firstLine="0" w:firstLineChars="0"/>
              <w:rPr>
                <w:rFonts w:ascii="Times New Roman"/>
                <w:color w:val="000000"/>
                <w:kern w:val="21"/>
                <w:sz w:val="24"/>
                <w:szCs w:val="24"/>
              </w:rPr>
            </w:pPr>
            <w:r>
              <w:rPr>
                <w:rFonts w:ascii="Times New Roman"/>
                <w:color w:val="000000"/>
                <w:kern w:val="21"/>
                <w:sz w:val="24"/>
                <w:szCs w:val="24"/>
              </w:rPr>
              <w:t>一般工业</w:t>
            </w:r>
          </w:p>
          <w:p w14:paraId="50CFFACE">
            <w:pPr>
              <w:pStyle w:val="31"/>
              <w:spacing w:beforeLines="0" w:afterLines="0" w:line="240" w:lineRule="auto"/>
              <w:ind w:left="0" w:leftChars="0" w:firstLine="0" w:firstLineChars="0"/>
              <w:rPr>
                <w:rFonts w:ascii="Times New Roman"/>
                <w:color w:val="000000"/>
                <w:kern w:val="21"/>
                <w:sz w:val="24"/>
                <w:szCs w:val="24"/>
              </w:rPr>
            </w:pPr>
            <w:r>
              <w:rPr>
                <w:rFonts w:ascii="Times New Roman"/>
                <w:color w:val="000000"/>
                <w:kern w:val="21"/>
                <w:sz w:val="24"/>
                <w:szCs w:val="24"/>
              </w:rPr>
              <w:t>固体废物</w:t>
            </w:r>
          </w:p>
        </w:tc>
        <w:tc>
          <w:tcPr>
            <w:tcW w:w="1710" w:type="dxa"/>
            <w:vAlign w:val="center"/>
          </w:tcPr>
          <w:p w14:paraId="55D5849B">
            <w:pPr>
              <w:autoSpaceDE w:val="0"/>
              <w:autoSpaceDN w:val="0"/>
              <w:jc w:val="center"/>
              <w:rPr>
                <w:color w:val="000000"/>
                <w:sz w:val="24"/>
              </w:rPr>
            </w:pPr>
            <w:r>
              <w:rPr>
                <w:rFonts w:hint="eastAsia"/>
                <w:color w:val="000000"/>
                <w:sz w:val="24"/>
              </w:rPr>
              <w:t>粮食杂质</w:t>
            </w:r>
          </w:p>
        </w:tc>
        <w:tc>
          <w:tcPr>
            <w:tcW w:w="1584" w:type="dxa"/>
            <w:vAlign w:val="center"/>
          </w:tcPr>
          <w:p w14:paraId="7B4D0AFE">
            <w:pPr>
              <w:jc w:val="center"/>
              <w:rPr>
                <w:rFonts w:hint="default" w:eastAsia="宋体"/>
                <w:color w:val="000000"/>
                <w:kern w:val="0"/>
                <w:sz w:val="24"/>
                <w:lang w:val="en-US" w:eastAsia="zh-CN"/>
              </w:rPr>
            </w:pPr>
            <w:r>
              <w:rPr>
                <w:rFonts w:hint="eastAsia"/>
                <w:color w:val="000000"/>
                <w:kern w:val="0"/>
                <w:sz w:val="24"/>
                <w:lang w:val="en-US" w:eastAsia="zh-CN"/>
              </w:rPr>
              <w:t>/</w:t>
            </w:r>
          </w:p>
        </w:tc>
        <w:tc>
          <w:tcPr>
            <w:tcW w:w="1276" w:type="dxa"/>
            <w:vAlign w:val="center"/>
          </w:tcPr>
          <w:p w14:paraId="55ABA690">
            <w:pPr>
              <w:jc w:val="center"/>
              <w:rPr>
                <w:color w:val="000000"/>
                <w:kern w:val="0"/>
                <w:sz w:val="24"/>
              </w:rPr>
            </w:pPr>
            <w:r>
              <w:rPr>
                <w:rFonts w:hint="eastAsia"/>
                <w:color w:val="000000"/>
                <w:kern w:val="0"/>
                <w:sz w:val="24"/>
                <w:lang w:val="en-US" w:eastAsia="zh-CN"/>
              </w:rPr>
              <w:t>/</w:t>
            </w:r>
          </w:p>
        </w:tc>
        <w:tc>
          <w:tcPr>
            <w:tcW w:w="1701" w:type="dxa"/>
            <w:vAlign w:val="center"/>
          </w:tcPr>
          <w:p w14:paraId="3521B88E">
            <w:pPr>
              <w:jc w:val="center"/>
              <w:rPr>
                <w:color w:val="000000"/>
                <w:kern w:val="0"/>
                <w:sz w:val="24"/>
              </w:rPr>
            </w:pPr>
            <w:r>
              <w:rPr>
                <w:rFonts w:hint="eastAsia"/>
                <w:color w:val="000000"/>
                <w:kern w:val="0"/>
                <w:sz w:val="24"/>
                <w:lang w:val="en-US" w:eastAsia="zh-CN"/>
              </w:rPr>
              <w:t>/</w:t>
            </w:r>
          </w:p>
        </w:tc>
        <w:tc>
          <w:tcPr>
            <w:tcW w:w="1559" w:type="dxa"/>
            <w:vAlign w:val="center"/>
          </w:tcPr>
          <w:p w14:paraId="69B1FC0C">
            <w:pPr>
              <w:jc w:val="center"/>
              <w:rPr>
                <w:color w:val="000000"/>
                <w:sz w:val="24"/>
              </w:rPr>
            </w:pPr>
            <w:r>
              <w:rPr>
                <w:rFonts w:hint="eastAsia"/>
                <w:color w:val="000000"/>
                <w:sz w:val="24"/>
              </w:rPr>
              <w:t>300t/a</w:t>
            </w:r>
          </w:p>
        </w:tc>
        <w:tc>
          <w:tcPr>
            <w:tcW w:w="1761" w:type="dxa"/>
            <w:vAlign w:val="center"/>
          </w:tcPr>
          <w:p w14:paraId="6C1F37BE">
            <w:pPr>
              <w:jc w:val="center"/>
              <w:rPr>
                <w:color w:val="000000"/>
                <w:sz w:val="24"/>
              </w:rPr>
            </w:pPr>
            <w:r>
              <w:rPr>
                <w:rFonts w:hint="eastAsia"/>
                <w:color w:val="000000"/>
                <w:sz w:val="24"/>
              </w:rPr>
              <w:t>/</w:t>
            </w:r>
          </w:p>
        </w:tc>
        <w:tc>
          <w:tcPr>
            <w:tcW w:w="1829" w:type="dxa"/>
            <w:vAlign w:val="center"/>
          </w:tcPr>
          <w:p w14:paraId="04AA56A2">
            <w:pPr>
              <w:jc w:val="center"/>
              <w:rPr>
                <w:color w:val="000000"/>
                <w:sz w:val="24"/>
              </w:rPr>
            </w:pPr>
            <w:r>
              <w:rPr>
                <w:rFonts w:hint="eastAsia"/>
                <w:color w:val="000000"/>
                <w:sz w:val="24"/>
              </w:rPr>
              <w:t>300t/a</w:t>
            </w:r>
          </w:p>
        </w:tc>
        <w:tc>
          <w:tcPr>
            <w:tcW w:w="1305" w:type="dxa"/>
            <w:vAlign w:val="center"/>
          </w:tcPr>
          <w:p w14:paraId="15CA39D4">
            <w:pPr>
              <w:jc w:val="center"/>
              <w:rPr>
                <w:color w:val="000000"/>
                <w:sz w:val="24"/>
              </w:rPr>
            </w:pPr>
            <w:r>
              <w:rPr>
                <w:rFonts w:hint="eastAsia"/>
                <w:color w:val="000000"/>
                <w:sz w:val="24"/>
              </w:rPr>
              <w:t>+300t/a</w:t>
            </w:r>
          </w:p>
        </w:tc>
      </w:tr>
      <w:tr w14:paraId="68154D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412" w:type="dxa"/>
            <w:vMerge w:val="continue"/>
            <w:vAlign w:val="center"/>
          </w:tcPr>
          <w:p w14:paraId="055D10A5">
            <w:pPr>
              <w:pStyle w:val="31"/>
              <w:spacing w:beforeLines="0" w:afterLines="0" w:line="240" w:lineRule="auto"/>
              <w:ind w:left="0" w:leftChars="0" w:firstLine="0" w:firstLineChars="0"/>
              <w:rPr>
                <w:rFonts w:ascii="Times New Roman"/>
                <w:color w:val="000000"/>
                <w:kern w:val="21"/>
                <w:sz w:val="24"/>
                <w:szCs w:val="24"/>
              </w:rPr>
            </w:pPr>
          </w:p>
        </w:tc>
        <w:tc>
          <w:tcPr>
            <w:tcW w:w="1710" w:type="dxa"/>
            <w:vAlign w:val="center"/>
          </w:tcPr>
          <w:p w14:paraId="5E54394B">
            <w:pPr>
              <w:autoSpaceDE w:val="0"/>
              <w:autoSpaceDN w:val="0"/>
              <w:jc w:val="center"/>
              <w:rPr>
                <w:color w:val="000000"/>
                <w:sz w:val="24"/>
              </w:rPr>
            </w:pPr>
            <w:r>
              <w:rPr>
                <w:rFonts w:hint="eastAsia"/>
                <w:color w:val="000000"/>
                <w:sz w:val="24"/>
              </w:rPr>
              <w:t>收集灰</w:t>
            </w:r>
          </w:p>
        </w:tc>
        <w:tc>
          <w:tcPr>
            <w:tcW w:w="1584" w:type="dxa"/>
            <w:vAlign w:val="center"/>
          </w:tcPr>
          <w:p w14:paraId="6026EAA7">
            <w:pPr>
              <w:jc w:val="center"/>
              <w:rPr>
                <w:color w:val="000000"/>
                <w:kern w:val="0"/>
                <w:sz w:val="24"/>
              </w:rPr>
            </w:pPr>
            <w:r>
              <w:rPr>
                <w:rFonts w:hint="eastAsia"/>
                <w:color w:val="000000"/>
                <w:kern w:val="0"/>
                <w:sz w:val="24"/>
                <w:lang w:val="en-US" w:eastAsia="zh-CN"/>
              </w:rPr>
              <w:t>/</w:t>
            </w:r>
          </w:p>
        </w:tc>
        <w:tc>
          <w:tcPr>
            <w:tcW w:w="1276" w:type="dxa"/>
            <w:vAlign w:val="center"/>
          </w:tcPr>
          <w:p w14:paraId="500504E6">
            <w:pPr>
              <w:jc w:val="center"/>
              <w:rPr>
                <w:color w:val="000000"/>
                <w:kern w:val="0"/>
                <w:sz w:val="24"/>
              </w:rPr>
            </w:pPr>
            <w:r>
              <w:rPr>
                <w:rFonts w:hint="eastAsia"/>
                <w:color w:val="000000"/>
                <w:kern w:val="0"/>
                <w:sz w:val="24"/>
                <w:lang w:val="en-US" w:eastAsia="zh-CN"/>
              </w:rPr>
              <w:t>/</w:t>
            </w:r>
          </w:p>
        </w:tc>
        <w:tc>
          <w:tcPr>
            <w:tcW w:w="1701" w:type="dxa"/>
            <w:vAlign w:val="center"/>
          </w:tcPr>
          <w:p w14:paraId="6B99CB89">
            <w:pPr>
              <w:jc w:val="center"/>
              <w:rPr>
                <w:color w:val="000000"/>
                <w:kern w:val="0"/>
                <w:sz w:val="24"/>
              </w:rPr>
            </w:pPr>
            <w:r>
              <w:rPr>
                <w:rFonts w:hint="eastAsia"/>
                <w:color w:val="000000"/>
                <w:kern w:val="0"/>
                <w:sz w:val="24"/>
                <w:lang w:val="en-US" w:eastAsia="zh-CN"/>
              </w:rPr>
              <w:t>/</w:t>
            </w:r>
          </w:p>
        </w:tc>
        <w:tc>
          <w:tcPr>
            <w:tcW w:w="1559" w:type="dxa"/>
            <w:vAlign w:val="center"/>
          </w:tcPr>
          <w:p w14:paraId="06223AC3">
            <w:pPr>
              <w:jc w:val="center"/>
              <w:rPr>
                <w:color w:val="000000"/>
                <w:sz w:val="24"/>
              </w:rPr>
            </w:pPr>
            <w:r>
              <w:rPr>
                <w:rFonts w:hint="eastAsia"/>
                <w:color w:val="000000"/>
                <w:sz w:val="24"/>
              </w:rPr>
              <w:t>49.713t/a</w:t>
            </w:r>
          </w:p>
        </w:tc>
        <w:tc>
          <w:tcPr>
            <w:tcW w:w="1761" w:type="dxa"/>
            <w:vAlign w:val="center"/>
          </w:tcPr>
          <w:p w14:paraId="6A350535">
            <w:pPr>
              <w:jc w:val="center"/>
              <w:rPr>
                <w:color w:val="000000"/>
                <w:sz w:val="24"/>
              </w:rPr>
            </w:pPr>
            <w:r>
              <w:rPr>
                <w:rFonts w:hint="eastAsia"/>
                <w:color w:val="000000"/>
                <w:sz w:val="24"/>
              </w:rPr>
              <w:t>/</w:t>
            </w:r>
          </w:p>
        </w:tc>
        <w:tc>
          <w:tcPr>
            <w:tcW w:w="1829" w:type="dxa"/>
            <w:vAlign w:val="center"/>
          </w:tcPr>
          <w:p w14:paraId="0F15AF34">
            <w:pPr>
              <w:jc w:val="center"/>
              <w:rPr>
                <w:color w:val="000000"/>
                <w:sz w:val="24"/>
              </w:rPr>
            </w:pPr>
            <w:r>
              <w:rPr>
                <w:rFonts w:hint="eastAsia"/>
                <w:color w:val="000000"/>
                <w:sz w:val="24"/>
              </w:rPr>
              <w:t>49.713t/a</w:t>
            </w:r>
          </w:p>
        </w:tc>
        <w:tc>
          <w:tcPr>
            <w:tcW w:w="1305" w:type="dxa"/>
            <w:vAlign w:val="center"/>
          </w:tcPr>
          <w:p w14:paraId="4DEF1569">
            <w:pPr>
              <w:jc w:val="center"/>
              <w:rPr>
                <w:color w:val="000000"/>
                <w:sz w:val="24"/>
              </w:rPr>
            </w:pPr>
            <w:r>
              <w:rPr>
                <w:rFonts w:hint="eastAsia"/>
                <w:color w:val="000000"/>
                <w:sz w:val="24"/>
              </w:rPr>
              <w:t>+49.713t/a</w:t>
            </w:r>
          </w:p>
        </w:tc>
      </w:tr>
      <w:tr w14:paraId="7AC3C3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412" w:type="dxa"/>
            <w:vMerge w:val="continue"/>
            <w:vAlign w:val="center"/>
          </w:tcPr>
          <w:p w14:paraId="3452430E">
            <w:pPr>
              <w:pStyle w:val="31"/>
              <w:spacing w:beforeLines="0" w:afterLines="0" w:line="240" w:lineRule="auto"/>
              <w:ind w:left="0" w:leftChars="0" w:firstLine="0" w:firstLineChars="0"/>
              <w:rPr>
                <w:rFonts w:ascii="Times New Roman"/>
                <w:color w:val="000000"/>
                <w:kern w:val="21"/>
                <w:sz w:val="24"/>
                <w:szCs w:val="24"/>
              </w:rPr>
            </w:pPr>
          </w:p>
        </w:tc>
        <w:tc>
          <w:tcPr>
            <w:tcW w:w="1710" w:type="dxa"/>
            <w:vAlign w:val="center"/>
          </w:tcPr>
          <w:p w14:paraId="4653B8ED">
            <w:pPr>
              <w:autoSpaceDE w:val="0"/>
              <w:autoSpaceDN w:val="0"/>
              <w:jc w:val="center"/>
              <w:rPr>
                <w:color w:val="000000"/>
                <w:sz w:val="24"/>
              </w:rPr>
            </w:pPr>
            <w:r>
              <w:rPr>
                <w:rFonts w:hint="eastAsia"/>
                <w:color w:val="000000"/>
                <w:sz w:val="24"/>
              </w:rPr>
              <w:t>灰渣</w:t>
            </w:r>
          </w:p>
        </w:tc>
        <w:tc>
          <w:tcPr>
            <w:tcW w:w="1584" w:type="dxa"/>
            <w:vAlign w:val="center"/>
          </w:tcPr>
          <w:p w14:paraId="0D8586D7">
            <w:pPr>
              <w:jc w:val="center"/>
              <w:rPr>
                <w:color w:val="000000"/>
                <w:kern w:val="0"/>
                <w:sz w:val="24"/>
              </w:rPr>
            </w:pPr>
            <w:r>
              <w:rPr>
                <w:rFonts w:hint="eastAsia"/>
                <w:color w:val="000000"/>
                <w:kern w:val="0"/>
                <w:sz w:val="24"/>
                <w:lang w:val="en-US" w:eastAsia="zh-CN"/>
              </w:rPr>
              <w:t>/</w:t>
            </w:r>
          </w:p>
        </w:tc>
        <w:tc>
          <w:tcPr>
            <w:tcW w:w="1276" w:type="dxa"/>
            <w:vAlign w:val="center"/>
          </w:tcPr>
          <w:p w14:paraId="4DBDD32A">
            <w:pPr>
              <w:jc w:val="center"/>
              <w:rPr>
                <w:color w:val="000000"/>
                <w:kern w:val="0"/>
                <w:sz w:val="24"/>
              </w:rPr>
            </w:pPr>
            <w:r>
              <w:rPr>
                <w:rFonts w:hint="eastAsia"/>
                <w:color w:val="000000"/>
                <w:kern w:val="0"/>
                <w:sz w:val="24"/>
                <w:lang w:val="en-US" w:eastAsia="zh-CN"/>
              </w:rPr>
              <w:t>/</w:t>
            </w:r>
          </w:p>
        </w:tc>
        <w:tc>
          <w:tcPr>
            <w:tcW w:w="1701" w:type="dxa"/>
            <w:vAlign w:val="center"/>
          </w:tcPr>
          <w:p w14:paraId="29B47A49">
            <w:pPr>
              <w:jc w:val="center"/>
              <w:rPr>
                <w:color w:val="000000"/>
                <w:kern w:val="0"/>
                <w:sz w:val="24"/>
              </w:rPr>
            </w:pPr>
            <w:r>
              <w:rPr>
                <w:rFonts w:hint="eastAsia"/>
                <w:color w:val="000000"/>
                <w:kern w:val="0"/>
                <w:sz w:val="24"/>
                <w:lang w:val="en-US" w:eastAsia="zh-CN"/>
              </w:rPr>
              <w:t>/</w:t>
            </w:r>
          </w:p>
        </w:tc>
        <w:tc>
          <w:tcPr>
            <w:tcW w:w="1559" w:type="dxa"/>
            <w:vAlign w:val="center"/>
          </w:tcPr>
          <w:p w14:paraId="4E05F8F2">
            <w:pPr>
              <w:jc w:val="center"/>
              <w:rPr>
                <w:color w:val="000000"/>
                <w:sz w:val="24"/>
              </w:rPr>
            </w:pPr>
            <w:r>
              <w:rPr>
                <w:rFonts w:hint="eastAsia"/>
                <w:color w:val="000000"/>
                <w:sz w:val="24"/>
              </w:rPr>
              <w:t>1.1t/a</w:t>
            </w:r>
          </w:p>
        </w:tc>
        <w:tc>
          <w:tcPr>
            <w:tcW w:w="1761" w:type="dxa"/>
            <w:vAlign w:val="center"/>
          </w:tcPr>
          <w:p w14:paraId="63B54743">
            <w:pPr>
              <w:jc w:val="center"/>
              <w:rPr>
                <w:color w:val="000000"/>
                <w:sz w:val="24"/>
              </w:rPr>
            </w:pPr>
            <w:r>
              <w:rPr>
                <w:rFonts w:hint="eastAsia"/>
                <w:color w:val="000000"/>
                <w:sz w:val="24"/>
              </w:rPr>
              <w:t>/</w:t>
            </w:r>
          </w:p>
        </w:tc>
        <w:tc>
          <w:tcPr>
            <w:tcW w:w="1829" w:type="dxa"/>
            <w:vAlign w:val="center"/>
          </w:tcPr>
          <w:p w14:paraId="2B6FFC4E">
            <w:pPr>
              <w:jc w:val="center"/>
              <w:rPr>
                <w:color w:val="000000"/>
                <w:sz w:val="24"/>
              </w:rPr>
            </w:pPr>
            <w:r>
              <w:rPr>
                <w:rFonts w:hint="eastAsia"/>
                <w:color w:val="000000"/>
                <w:sz w:val="24"/>
              </w:rPr>
              <w:t>1.1t/a</w:t>
            </w:r>
          </w:p>
        </w:tc>
        <w:tc>
          <w:tcPr>
            <w:tcW w:w="1305" w:type="dxa"/>
            <w:vAlign w:val="center"/>
          </w:tcPr>
          <w:p w14:paraId="6946763D">
            <w:pPr>
              <w:jc w:val="center"/>
              <w:rPr>
                <w:color w:val="000000"/>
                <w:sz w:val="24"/>
              </w:rPr>
            </w:pPr>
            <w:r>
              <w:rPr>
                <w:rFonts w:hint="eastAsia"/>
                <w:color w:val="000000"/>
                <w:sz w:val="24"/>
              </w:rPr>
              <w:t>+1.1t/a</w:t>
            </w:r>
          </w:p>
        </w:tc>
      </w:tr>
    </w:tbl>
    <w:p w14:paraId="1457EBC7">
      <w:pPr>
        <w:pStyle w:val="31"/>
        <w:spacing w:before="249" w:beforeLines="80" w:after="31"/>
        <w:ind w:left="840" w:hanging="420"/>
        <w:jc w:val="left"/>
        <w:rPr>
          <w:color w:val="000000"/>
        </w:rPr>
      </w:pPr>
      <w:r>
        <w:rPr>
          <w:rFonts w:ascii="Times New Roman"/>
          <w:snapToGrid w:val="0"/>
          <w:color w:val="000000"/>
          <w:kern w:val="21"/>
          <w:szCs w:val="21"/>
        </w:rPr>
        <w:t>注：</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6 \* GB3 \* MERGEFORMAT </w:instrText>
      </w:r>
      <w:r>
        <w:rPr>
          <w:rFonts w:ascii="Times New Roman"/>
          <w:snapToGrid w:val="0"/>
          <w:color w:val="000000"/>
          <w:spacing w:val="-16"/>
          <w:kern w:val="21"/>
          <w:szCs w:val="21"/>
        </w:rPr>
        <w:fldChar w:fldCharType="separate"/>
      </w:r>
      <w:r>
        <w:rPr>
          <w:rFonts w:ascii="Times New Roman"/>
          <w:color w:val="000000"/>
          <w:szCs w:val="21"/>
        </w:rPr>
        <w:t>⑥</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1 \* GB3 \* MERGEFORMAT </w:instrText>
      </w:r>
      <w:r>
        <w:rPr>
          <w:rFonts w:ascii="Times New Roman"/>
          <w:snapToGrid w:val="0"/>
          <w:color w:val="000000"/>
          <w:spacing w:val="-6"/>
          <w:kern w:val="21"/>
          <w:szCs w:val="21"/>
        </w:rPr>
        <w:fldChar w:fldCharType="separate"/>
      </w:r>
      <w:r>
        <w:rPr>
          <w:rFonts w:ascii="Times New Roman"/>
          <w:color w:val="000000"/>
          <w:szCs w:val="21"/>
        </w:rPr>
        <w:t>①</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3 \* GB3 \* MERGEFORMAT </w:instrText>
      </w:r>
      <w:r>
        <w:rPr>
          <w:rFonts w:ascii="Times New Roman"/>
          <w:snapToGrid w:val="0"/>
          <w:color w:val="000000"/>
          <w:spacing w:val="-6"/>
          <w:kern w:val="21"/>
          <w:szCs w:val="21"/>
        </w:rPr>
        <w:fldChar w:fldCharType="separate"/>
      </w:r>
      <w:r>
        <w:rPr>
          <w:rFonts w:ascii="Times New Roman"/>
          <w:color w:val="000000"/>
          <w:szCs w:val="21"/>
        </w:rPr>
        <w:t>③</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4 \* GB3 \* MERGEFORMAT </w:instrText>
      </w:r>
      <w:r>
        <w:rPr>
          <w:rFonts w:ascii="Times New Roman"/>
          <w:snapToGrid w:val="0"/>
          <w:color w:val="000000"/>
          <w:spacing w:val="-6"/>
          <w:kern w:val="21"/>
          <w:szCs w:val="21"/>
        </w:rPr>
        <w:fldChar w:fldCharType="separate"/>
      </w:r>
      <w:r>
        <w:rPr>
          <w:rFonts w:ascii="Times New Roman"/>
          <w:color w:val="000000"/>
          <w:szCs w:val="21"/>
        </w:rPr>
        <w:t>④</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5 \* GB3 \* MERGEFORMAT </w:instrText>
      </w:r>
      <w:r>
        <w:rPr>
          <w:rFonts w:ascii="Times New Roman"/>
          <w:snapToGrid w:val="0"/>
          <w:color w:val="000000"/>
          <w:spacing w:val="-16"/>
          <w:kern w:val="21"/>
          <w:szCs w:val="21"/>
        </w:rPr>
        <w:fldChar w:fldCharType="separate"/>
      </w:r>
      <w:r>
        <w:rPr>
          <w:rFonts w:ascii="Times New Roman"/>
          <w:color w:val="000000"/>
          <w:szCs w:val="21"/>
        </w:rPr>
        <w:t>⑤</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7 \* GB3 \* MERGEFORMAT </w:instrText>
      </w:r>
      <w:r>
        <w:rPr>
          <w:rFonts w:ascii="Times New Roman"/>
          <w:snapToGrid w:val="0"/>
          <w:color w:val="000000"/>
          <w:spacing w:val="-6"/>
          <w:kern w:val="21"/>
          <w:szCs w:val="21"/>
        </w:rPr>
        <w:fldChar w:fldCharType="separate"/>
      </w:r>
      <w:r>
        <w:rPr>
          <w:rFonts w:ascii="Times New Roman"/>
          <w:color w:val="000000"/>
          <w:szCs w:val="21"/>
        </w:rPr>
        <w:t>⑦</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6 \* GB3 \* MERGEFORMAT </w:instrText>
      </w:r>
      <w:r>
        <w:rPr>
          <w:rFonts w:ascii="Times New Roman"/>
          <w:snapToGrid w:val="0"/>
          <w:color w:val="000000"/>
          <w:spacing w:val="-16"/>
          <w:kern w:val="21"/>
          <w:szCs w:val="21"/>
        </w:rPr>
        <w:fldChar w:fldCharType="separate"/>
      </w:r>
      <w:r>
        <w:rPr>
          <w:rFonts w:ascii="Times New Roman"/>
          <w:color w:val="000000"/>
          <w:szCs w:val="21"/>
        </w:rPr>
        <w:t>⑥</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1 \* GB3 \* MERGEFORMAT </w:instrText>
      </w:r>
      <w:r>
        <w:rPr>
          <w:rFonts w:ascii="Times New Roman"/>
          <w:snapToGrid w:val="0"/>
          <w:color w:val="000000"/>
          <w:spacing w:val="-6"/>
          <w:kern w:val="21"/>
          <w:szCs w:val="21"/>
        </w:rPr>
        <w:fldChar w:fldCharType="separate"/>
      </w:r>
      <w:r>
        <w:rPr>
          <w:rFonts w:ascii="Times New Roman"/>
          <w:color w:val="000000"/>
          <w:szCs w:val="21"/>
        </w:rPr>
        <w:t>①</w:t>
      </w:r>
      <w:r>
        <w:rPr>
          <w:rFonts w:ascii="Times New Roman"/>
          <w:snapToGrid w:val="0"/>
          <w:color w:val="000000"/>
          <w:spacing w:val="-6"/>
          <w:kern w:val="21"/>
          <w:szCs w:val="21"/>
        </w:rPr>
        <w:fldChar w:fldCharType="end"/>
      </w:r>
      <w:r>
        <w:rPr>
          <w:color w:val="000000"/>
        </w:rPr>
        <w:tab/>
      </w:r>
    </w:p>
    <w:p w14:paraId="2F860400"/>
    <w:sectPr>
      <w:footerReference r:id="rId4" w:type="default"/>
      <w:pgSz w:w="16838" w:h="11906" w:orient="landscape"/>
      <w:pgMar w:top="1800" w:right="1440" w:bottom="180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entury">
    <w:altName w:val="Times New Roman"/>
    <w:panose1 w:val="02040604050505020304"/>
    <w:charset w:val="00"/>
    <w:family w:val="roman"/>
    <w:pitch w:val="default"/>
    <w:sig w:usb0="00000000" w:usb1="00000000" w:usb2="00000000" w:usb3="00000000" w:csb0="2000009F" w:csb1="DFD7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2B963">
    <w:pPr>
      <w:pStyle w:val="1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3716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3716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ABDE79">
                          <w:pPr>
                            <w:pStyle w:val="1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0.8pt;mso-position-horizontal:center;mso-position-horizontal-relative:margin;z-index:251661312;mso-width-relative:page;mso-height-relative:page;" filled="f" stroked="f" coordsize="21600,21600" o:gfxdata="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xE+/r0gAAAAQBAAAPAAAAAAAAAAEAIAAAACIAAABkcnMvZG93bnJldi54bWxQSwEC&#10;FAAUAAAACACHTuJAqgU8EjMCAABWBAAADgAAAAAAAAABACAAAAAhAQAAZHJzL2Uyb0RvYy54bWxQ&#10;SwUGAAAAAAYABgBZAQAAxgUAAAAA&#10;">
              <v:fill on="f" focussize="0,0"/>
              <v:stroke on="f" weight="0.5pt"/>
              <v:imagedata o:title=""/>
              <o:lock v:ext="edit" aspectratio="f"/>
              <v:textbox inset="0mm,0mm,0mm,0mm" style="mso-fit-shape-to-text:t;">
                <w:txbxContent>
                  <w:p w14:paraId="68ABDE79">
                    <w:pPr>
                      <w:pStyle w:val="1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DF3A4">
    <w:pPr>
      <w:pStyle w:val="15"/>
      <w:ind w:right="360"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F22CAF">
                          <w:pPr>
                            <w:pStyle w:val="15"/>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1CF22CAF">
                    <w:pPr>
                      <w:pStyle w:val="15"/>
                    </w:pPr>
                    <w:r>
                      <w:fldChar w:fldCharType="begin"/>
                    </w:r>
                    <w:r>
                      <w:instrText xml:space="preserve"> PAGE  \* MERGEFORMAT </w:instrText>
                    </w:r>
                    <w:r>
                      <w:fldChar w:fldCharType="separate"/>
                    </w:r>
                    <w:r>
                      <w:t>52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B9A5F2"/>
    <w:multiLevelType w:val="multilevel"/>
    <w:tmpl w:val="A2B9A5F2"/>
    <w:lvl w:ilvl="0" w:tentative="0">
      <w:start w:val="1"/>
      <w:numFmt w:val="decimal"/>
      <w:suff w:val="nothing"/>
      <w:lvlText w:val="%1"/>
      <w:lvlJc w:val="left"/>
      <w:pPr>
        <w:ind w:left="0" w:firstLine="0"/>
      </w:pPr>
      <w:rPr>
        <w:rFonts w:hint="eastAsia"/>
        <w:b/>
        <w:i w:val="0"/>
        <w:iCs w:val="0"/>
        <w:caps w:val="0"/>
        <w:smallCaps w:val="0"/>
        <w:strike w:val="0"/>
        <w:dstrike w:val="0"/>
        <w:color w:val="000000"/>
        <w:spacing w:val="0"/>
        <w:position w:val="0"/>
        <w:u w:val="none"/>
      </w:rPr>
    </w:lvl>
    <w:lvl w:ilvl="1" w:tentative="0">
      <w:start w:val="1"/>
      <w:numFmt w:val="decimal"/>
      <w:isLgl/>
      <w:suff w:val="space"/>
      <w:lvlText w:val="%1.%2"/>
      <w:lvlJc w:val="left"/>
      <w:pPr>
        <w:ind w:left="0" w:firstLine="0"/>
      </w:pPr>
      <w:rPr>
        <w:rFonts w:hint="eastAsia"/>
      </w:rPr>
    </w:lvl>
    <w:lvl w:ilvl="2" w:tentative="0">
      <w:start w:val="1"/>
      <w:numFmt w:val="decimal"/>
      <w:pStyle w:val="3"/>
      <w:isLgl/>
      <w:suff w:val="space"/>
      <w:lvlText w:val="%1.%2.%3"/>
      <w:lvlJc w:val="left"/>
      <w:pPr>
        <w:ind w:left="0" w:firstLine="0"/>
      </w:pPr>
      <w:rPr>
        <w:rFonts w:hint="eastAsia" w:cs="Times New Roman"/>
        <w:b/>
        <w:i w:val="0"/>
        <w:iCs w:val="0"/>
        <w:caps w:val="0"/>
        <w:smallCaps w:val="0"/>
        <w:strike w:val="0"/>
        <w:dstrike w:val="0"/>
        <w:color w:val="000000"/>
        <w:spacing w:val="0"/>
        <w:position w:val="0"/>
        <w:u w:val="none"/>
      </w:rPr>
    </w:lvl>
    <w:lvl w:ilvl="3" w:tentative="0">
      <w:start w:val="1"/>
      <w:numFmt w:val="decimal"/>
      <w:isLgl/>
      <w:suff w:val="space"/>
      <w:lvlText w:val="%1.%2.%3.%4"/>
      <w:lvlJc w:val="left"/>
      <w:pPr>
        <w:ind w:left="0" w:firstLine="0"/>
      </w:pPr>
      <w:rPr>
        <w:rFonts w:hint="eastAsia" w:cs="Times New Roman"/>
        <w:b/>
        <w:i w:val="0"/>
        <w:iCs w:val="0"/>
        <w:caps w:val="0"/>
        <w:smallCaps w:val="0"/>
        <w:strike w:val="0"/>
        <w:dstrike w:val="0"/>
        <w:color w:val="000000"/>
        <w:spacing w:val="0"/>
        <w:position w:val="0"/>
        <w:u w:val="none"/>
      </w:rPr>
    </w:lvl>
    <w:lvl w:ilvl="4" w:tentative="0">
      <w:start w:val="1"/>
      <w:numFmt w:val="decimal"/>
      <w:isLgl/>
      <w:lvlText w:val="%1.%2.%3.%4.%5"/>
      <w:lvlJc w:val="left"/>
      <w:pPr>
        <w:tabs>
          <w:tab w:val="left" w:pos="1440"/>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AF591BE3"/>
    <w:multiLevelType w:val="singleLevel"/>
    <w:tmpl w:val="AF591BE3"/>
    <w:lvl w:ilvl="0" w:tentative="0">
      <w:start w:val="1"/>
      <w:numFmt w:val="bullet"/>
      <w:pStyle w:val="14"/>
      <w:lvlText w:val=""/>
      <w:lvlJc w:val="left"/>
      <w:pPr>
        <w:tabs>
          <w:tab w:val="left" w:pos="2040"/>
        </w:tabs>
        <w:ind w:left="2040" w:hanging="360"/>
      </w:pPr>
      <w:rPr>
        <w:rFonts w:hint="default" w:ascii="Wingdings" w:hAnsi="Wingdings"/>
      </w:rPr>
    </w:lvl>
  </w:abstractNum>
  <w:abstractNum w:abstractNumId="2">
    <w:nsid w:val="0460DB17"/>
    <w:multiLevelType w:val="singleLevel"/>
    <w:tmpl w:val="0460DB17"/>
    <w:lvl w:ilvl="0" w:tentative="0">
      <w:start w:val="1"/>
      <w:numFmt w:val="decimal"/>
      <w:suff w:val="nothing"/>
      <w:lvlText w:val="（%1）"/>
      <w:lvlJc w:val="left"/>
    </w:lvl>
  </w:abstractNum>
  <w:abstractNum w:abstractNumId="3">
    <w:nsid w:val="252D86B3"/>
    <w:multiLevelType w:val="singleLevel"/>
    <w:tmpl w:val="252D86B3"/>
    <w:lvl w:ilvl="0" w:tentative="0">
      <w:start w:val="1"/>
      <w:numFmt w:val="chineseCounting"/>
      <w:suff w:val="nothing"/>
      <w:lvlText w:val="%1、"/>
      <w:lvlJc w:val="left"/>
      <w:rPr>
        <w:rFonts w:hint="eastAsia"/>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C844B57"/>
    <w:rsid w:val="001C05B8"/>
    <w:rsid w:val="00245594"/>
    <w:rsid w:val="002A1455"/>
    <w:rsid w:val="003A3F0F"/>
    <w:rsid w:val="00431526"/>
    <w:rsid w:val="00700C0A"/>
    <w:rsid w:val="007405C9"/>
    <w:rsid w:val="007B245D"/>
    <w:rsid w:val="007D4681"/>
    <w:rsid w:val="008F5FDA"/>
    <w:rsid w:val="00A47C11"/>
    <w:rsid w:val="00AF1819"/>
    <w:rsid w:val="00B304A0"/>
    <w:rsid w:val="00BA189E"/>
    <w:rsid w:val="00C061E6"/>
    <w:rsid w:val="00C614B2"/>
    <w:rsid w:val="00CB3B1A"/>
    <w:rsid w:val="00E46289"/>
    <w:rsid w:val="00EF5FDB"/>
    <w:rsid w:val="00F56D3A"/>
    <w:rsid w:val="021653B1"/>
    <w:rsid w:val="022E2C35"/>
    <w:rsid w:val="04732647"/>
    <w:rsid w:val="052878D5"/>
    <w:rsid w:val="0639074C"/>
    <w:rsid w:val="065546FA"/>
    <w:rsid w:val="06C94435"/>
    <w:rsid w:val="07047ECE"/>
    <w:rsid w:val="07C84A57"/>
    <w:rsid w:val="080737D2"/>
    <w:rsid w:val="092807F1"/>
    <w:rsid w:val="09B30424"/>
    <w:rsid w:val="0AE75B3C"/>
    <w:rsid w:val="0AFD0EBC"/>
    <w:rsid w:val="0B21525C"/>
    <w:rsid w:val="0B8E5FB8"/>
    <w:rsid w:val="0BA73BE2"/>
    <w:rsid w:val="0C031D35"/>
    <w:rsid w:val="0D075AA7"/>
    <w:rsid w:val="0D647C47"/>
    <w:rsid w:val="0E256EFC"/>
    <w:rsid w:val="0F5347C7"/>
    <w:rsid w:val="113D711C"/>
    <w:rsid w:val="11447845"/>
    <w:rsid w:val="11D32976"/>
    <w:rsid w:val="127137C2"/>
    <w:rsid w:val="12F86B39"/>
    <w:rsid w:val="12FE3A23"/>
    <w:rsid w:val="13806B2E"/>
    <w:rsid w:val="13A7230D"/>
    <w:rsid w:val="13BE2817"/>
    <w:rsid w:val="13FB1BD9"/>
    <w:rsid w:val="1439089B"/>
    <w:rsid w:val="14FC0436"/>
    <w:rsid w:val="15775B59"/>
    <w:rsid w:val="15EC04AB"/>
    <w:rsid w:val="164F0B7E"/>
    <w:rsid w:val="175C51BC"/>
    <w:rsid w:val="17D26C83"/>
    <w:rsid w:val="17F81389"/>
    <w:rsid w:val="19445F08"/>
    <w:rsid w:val="1C774562"/>
    <w:rsid w:val="1D0A3A1B"/>
    <w:rsid w:val="1D641BF0"/>
    <w:rsid w:val="1DD106B2"/>
    <w:rsid w:val="1DD43CFE"/>
    <w:rsid w:val="1E197963"/>
    <w:rsid w:val="1EAA4A5F"/>
    <w:rsid w:val="203647FC"/>
    <w:rsid w:val="219A0DBB"/>
    <w:rsid w:val="21AC7B98"/>
    <w:rsid w:val="21B7196D"/>
    <w:rsid w:val="238D1AFB"/>
    <w:rsid w:val="23E34C9B"/>
    <w:rsid w:val="23EF3975"/>
    <w:rsid w:val="240B5FA0"/>
    <w:rsid w:val="24480FA2"/>
    <w:rsid w:val="25021151"/>
    <w:rsid w:val="26D81C86"/>
    <w:rsid w:val="27764078"/>
    <w:rsid w:val="27A961FC"/>
    <w:rsid w:val="27B97CFB"/>
    <w:rsid w:val="28957C2E"/>
    <w:rsid w:val="28B409B4"/>
    <w:rsid w:val="293D309F"/>
    <w:rsid w:val="2A092F82"/>
    <w:rsid w:val="2A731D21"/>
    <w:rsid w:val="2B2A2FF5"/>
    <w:rsid w:val="2B7733E2"/>
    <w:rsid w:val="2C3971FB"/>
    <w:rsid w:val="2C844B57"/>
    <w:rsid w:val="2D4C1B03"/>
    <w:rsid w:val="2D8717BE"/>
    <w:rsid w:val="2D984D48"/>
    <w:rsid w:val="2DA23D5C"/>
    <w:rsid w:val="2DAE4BCF"/>
    <w:rsid w:val="2E993217"/>
    <w:rsid w:val="2F133481"/>
    <w:rsid w:val="2FBC2844"/>
    <w:rsid w:val="2FE853E7"/>
    <w:rsid w:val="31F92D57"/>
    <w:rsid w:val="335F6616"/>
    <w:rsid w:val="33997124"/>
    <w:rsid w:val="35026F4B"/>
    <w:rsid w:val="352E5F92"/>
    <w:rsid w:val="35DA3A24"/>
    <w:rsid w:val="36F77940"/>
    <w:rsid w:val="371F2036"/>
    <w:rsid w:val="38080D1C"/>
    <w:rsid w:val="38D134D5"/>
    <w:rsid w:val="39602CFB"/>
    <w:rsid w:val="39C3314D"/>
    <w:rsid w:val="3A63223A"/>
    <w:rsid w:val="3B180FBF"/>
    <w:rsid w:val="3C1E0B0E"/>
    <w:rsid w:val="3C4807D0"/>
    <w:rsid w:val="3C7633A8"/>
    <w:rsid w:val="3D6E1622"/>
    <w:rsid w:val="3E067AAC"/>
    <w:rsid w:val="3E416D36"/>
    <w:rsid w:val="3EDE4585"/>
    <w:rsid w:val="3FA27361"/>
    <w:rsid w:val="3FDD2A8F"/>
    <w:rsid w:val="406120A5"/>
    <w:rsid w:val="40E25795"/>
    <w:rsid w:val="419E72D6"/>
    <w:rsid w:val="425E14F6"/>
    <w:rsid w:val="44634584"/>
    <w:rsid w:val="453B44DF"/>
    <w:rsid w:val="45A462EB"/>
    <w:rsid w:val="47B01EC0"/>
    <w:rsid w:val="47E0136E"/>
    <w:rsid w:val="487A531F"/>
    <w:rsid w:val="48AE321A"/>
    <w:rsid w:val="490C7F41"/>
    <w:rsid w:val="49583186"/>
    <w:rsid w:val="4B10699D"/>
    <w:rsid w:val="4B9225E4"/>
    <w:rsid w:val="4BC950F7"/>
    <w:rsid w:val="4C017B05"/>
    <w:rsid w:val="4C2A2BEC"/>
    <w:rsid w:val="4CA33462"/>
    <w:rsid w:val="4DC808DA"/>
    <w:rsid w:val="4DC876B8"/>
    <w:rsid w:val="4DDA6DAB"/>
    <w:rsid w:val="4E726054"/>
    <w:rsid w:val="4F7D3946"/>
    <w:rsid w:val="4FEC4864"/>
    <w:rsid w:val="4FF742E8"/>
    <w:rsid w:val="50153B7F"/>
    <w:rsid w:val="502A1CE1"/>
    <w:rsid w:val="511449A6"/>
    <w:rsid w:val="519D5C5C"/>
    <w:rsid w:val="535B7AFB"/>
    <w:rsid w:val="53605111"/>
    <w:rsid w:val="53D22A0C"/>
    <w:rsid w:val="54471F32"/>
    <w:rsid w:val="56392ADE"/>
    <w:rsid w:val="56707D61"/>
    <w:rsid w:val="57C4440B"/>
    <w:rsid w:val="58035468"/>
    <w:rsid w:val="587A07F0"/>
    <w:rsid w:val="5A4E2167"/>
    <w:rsid w:val="5A9A7C44"/>
    <w:rsid w:val="5B1C2265"/>
    <w:rsid w:val="5B2D3E15"/>
    <w:rsid w:val="5C8207EE"/>
    <w:rsid w:val="5C86208C"/>
    <w:rsid w:val="5DF43025"/>
    <w:rsid w:val="5E135BA1"/>
    <w:rsid w:val="5EB82887"/>
    <w:rsid w:val="5F296CFF"/>
    <w:rsid w:val="6072751D"/>
    <w:rsid w:val="60DB671F"/>
    <w:rsid w:val="61C97E28"/>
    <w:rsid w:val="62951F87"/>
    <w:rsid w:val="62BF00A6"/>
    <w:rsid w:val="62C03E1E"/>
    <w:rsid w:val="634E218F"/>
    <w:rsid w:val="639C4BBF"/>
    <w:rsid w:val="63AD43A2"/>
    <w:rsid w:val="645E38EF"/>
    <w:rsid w:val="662326FA"/>
    <w:rsid w:val="68CC52CB"/>
    <w:rsid w:val="68D47A7B"/>
    <w:rsid w:val="68F476CB"/>
    <w:rsid w:val="6A8B07B3"/>
    <w:rsid w:val="6AF705F9"/>
    <w:rsid w:val="6B351645"/>
    <w:rsid w:val="6B79100E"/>
    <w:rsid w:val="6B992EFE"/>
    <w:rsid w:val="6BE40B7D"/>
    <w:rsid w:val="6C12412D"/>
    <w:rsid w:val="6C494E84"/>
    <w:rsid w:val="6C954275"/>
    <w:rsid w:val="6D2A6A64"/>
    <w:rsid w:val="6E31529A"/>
    <w:rsid w:val="6EB5235D"/>
    <w:rsid w:val="6ECD58F9"/>
    <w:rsid w:val="6F925F92"/>
    <w:rsid w:val="70211F45"/>
    <w:rsid w:val="7055204A"/>
    <w:rsid w:val="71D00147"/>
    <w:rsid w:val="7372081D"/>
    <w:rsid w:val="73F41B79"/>
    <w:rsid w:val="74827185"/>
    <w:rsid w:val="74AE0984"/>
    <w:rsid w:val="75846F2D"/>
    <w:rsid w:val="7682521B"/>
    <w:rsid w:val="772B3B04"/>
    <w:rsid w:val="77391A6B"/>
    <w:rsid w:val="786C7F30"/>
    <w:rsid w:val="7C442F72"/>
    <w:rsid w:val="7C5C650E"/>
    <w:rsid w:val="7C6D4277"/>
    <w:rsid w:val="7C7A6994"/>
    <w:rsid w:val="7D43322A"/>
    <w:rsid w:val="7DC4436B"/>
    <w:rsid w:val="7DEB5D9B"/>
    <w:rsid w:val="7E4F632A"/>
    <w:rsid w:val="7F0F1615"/>
    <w:rsid w:val="7FC05006"/>
    <w:rsid w:val="7FC44A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99" w:semiHidden="0" w:name="caption"/>
    <w:lsdException w:qFormat="1" w:uiPriority="99"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3"/>
    <w:basedOn w:val="1"/>
    <w:next w:val="1"/>
    <w:qFormat/>
    <w:uiPriority w:val="0"/>
    <w:pPr>
      <w:keepNext/>
      <w:keepLines/>
      <w:numPr>
        <w:ilvl w:val="2"/>
        <w:numId w:val="1"/>
      </w:numPr>
      <w:tabs>
        <w:tab w:val="left" w:pos="0"/>
        <w:tab w:val="left" w:pos="2410"/>
      </w:tabs>
      <w:jc w:val="left"/>
      <w:outlineLvl w:val="2"/>
    </w:pPr>
    <w:rPr>
      <w:rFonts w:cs="Calibri"/>
      <w:b/>
      <w:bCs/>
      <w:sz w:val="28"/>
      <w:szCs w:val="3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4">
    <w:name w:val="List 3"/>
    <w:basedOn w:val="1"/>
    <w:next w:val="1"/>
    <w:qFormat/>
    <w:uiPriority w:val="0"/>
    <w:pPr>
      <w:autoSpaceDE w:val="0"/>
      <w:autoSpaceDN w:val="0"/>
      <w:adjustRightInd w:val="0"/>
      <w:spacing w:line="288" w:lineRule="auto"/>
      <w:ind w:left="1260" w:hanging="420"/>
      <w:jc w:val="left"/>
      <w:textAlignment w:val="baseline"/>
    </w:pPr>
    <w:rPr>
      <w:kern w:val="0"/>
      <w:sz w:val="24"/>
      <w:szCs w:val="20"/>
    </w:rPr>
  </w:style>
  <w:style w:type="paragraph" w:styleId="5">
    <w:name w:val="Normal Indent"/>
    <w:basedOn w:val="1"/>
    <w:next w:val="1"/>
    <w:qFormat/>
    <w:uiPriority w:val="0"/>
    <w:pPr>
      <w:ind w:firstLine="200" w:firstLineChars="200"/>
    </w:pPr>
    <w:rPr>
      <w:sz w:val="28"/>
    </w:rPr>
  </w:style>
  <w:style w:type="paragraph" w:styleId="6">
    <w:name w:val="caption"/>
    <w:basedOn w:val="1"/>
    <w:next w:val="1"/>
    <w:qFormat/>
    <w:uiPriority w:val="99"/>
    <w:pPr>
      <w:jc w:val="center"/>
    </w:pPr>
    <w:rPr>
      <w:b/>
      <w:szCs w:val="20"/>
    </w:rPr>
  </w:style>
  <w:style w:type="paragraph" w:styleId="7">
    <w:name w:val="annotation text"/>
    <w:basedOn w:val="1"/>
    <w:link w:val="55"/>
    <w:semiHidden/>
    <w:qFormat/>
    <w:uiPriority w:val="0"/>
    <w:pPr>
      <w:jc w:val="left"/>
    </w:pPr>
    <w:rPr>
      <w:kern w:val="0"/>
      <w:sz w:val="24"/>
      <w:szCs w:val="20"/>
    </w:rPr>
  </w:style>
  <w:style w:type="paragraph" w:styleId="8">
    <w:name w:val="Body Text"/>
    <w:basedOn w:val="1"/>
    <w:next w:val="9"/>
    <w:qFormat/>
    <w:uiPriority w:val="0"/>
    <w:pPr>
      <w:widowControl/>
      <w:snapToGrid w:val="0"/>
      <w:spacing w:before="60" w:after="160" w:line="259" w:lineRule="auto"/>
      <w:ind w:right="113"/>
    </w:pPr>
    <w:rPr>
      <w:kern w:val="0"/>
      <w:sz w:val="18"/>
      <w:szCs w:val="20"/>
    </w:rPr>
  </w:style>
  <w:style w:type="paragraph" w:customStyle="1" w:styleId="9">
    <w:name w:val="xl27"/>
    <w:basedOn w:val="1"/>
    <w:next w:val="1"/>
    <w:qFormat/>
    <w:uiPriority w:val="0"/>
    <w:pPr>
      <w:widowControl/>
      <w:pBdr>
        <w:bottom w:val="single" w:color="auto" w:sz="12" w:space="0"/>
      </w:pBdr>
      <w:spacing w:before="100" w:after="100"/>
      <w:jc w:val="center"/>
    </w:pPr>
    <w:rPr>
      <w:rFonts w:ascii="宋体" w:hAnsi="宋体"/>
      <w:kern w:val="0"/>
    </w:rPr>
  </w:style>
  <w:style w:type="paragraph" w:styleId="10">
    <w:name w:val="Body Text Indent"/>
    <w:basedOn w:val="1"/>
    <w:next w:val="11"/>
    <w:qFormat/>
    <w:uiPriority w:val="0"/>
    <w:pPr>
      <w:spacing w:after="120"/>
      <w:ind w:left="420" w:leftChars="200"/>
    </w:pPr>
    <w:rPr>
      <w:kern w:val="0"/>
      <w:sz w:val="24"/>
      <w:szCs w:val="20"/>
    </w:rPr>
  </w:style>
  <w:style w:type="paragraph" w:styleId="11">
    <w:name w:val="Body Text Indent 2"/>
    <w:basedOn w:val="1"/>
    <w:next w:val="12"/>
    <w:qFormat/>
    <w:uiPriority w:val="0"/>
    <w:pPr>
      <w:ind w:left="435"/>
    </w:pPr>
    <w:rPr>
      <w:sz w:val="24"/>
    </w:rPr>
  </w:style>
  <w:style w:type="paragraph" w:styleId="12">
    <w:name w:val="Body Text First Indent 2"/>
    <w:basedOn w:val="1"/>
    <w:next w:val="1"/>
    <w:qFormat/>
    <w:uiPriority w:val="99"/>
    <w:pPr>
      <w:spacing w:after="120"/>
      <w:ind w:left="420" w:leftChars="200" w:firstLine="420" w:firstLineChars="200"/>
    </w:pPr>
  </w:style>
  <w:style w:type="paragraph" w:styleId="13">
    <w:name w:val="Plain Text"/>
    <w:basedOn w:val="1"/>
    <w:qFormat/>
    <w:uiPriority w:val="0"/>
    <w:rPr>
      <w:rFonts w:ascii="宋体" w:hAnsi="Courier New" w:cs="Century"/>
    </w:rPr>
  </w:style>
  <w:style w:type="paragraph" w:styleId="14">
    <w:name w:val="List Bullet 5"/>
    <w:basedOn w:val="1"/>
    <w:qFormat/>
    <w:uiPriority w:val="0"/>
    <w:pPr>
      <w:numPr>
        <w:ilvl w:val="0"/>
        <w:numId w:val="2"/>
      </w:numPr>
    </w:pPr>
  </w:style>
  <w:style w:type="paragraph" w:styleId="15">
    <w:name w:val="footer"/>
    <w:basedOn w:val="1"/>
    <w:next w:val="1"/>
    <w:qFormat/>
    <w:uiPriority w:val="99"/>
    <w:pPr>
      <w:tabs>
        <w:tab w:val="center" w:pos="4153"/>
        <w:tab w:val="right" w:pos="8306"/>
      </w:tabs>
      <w:snapToGrid w:val="0"/>
      <w:jc w:val="left"/>
    </w:pPr>
    <w:rPr>
      <w:kern w:val="0"/>
      <w:sz w:val="18"/>
      <w:szCs w:val="20"/>
    </w:rPr>
  </w:style>
  <w:style w:type="paragraph" w:styleId="16">
    <w:name w:val="envelope return"/>
    <w:basedOn w:val="1"/>
    <w:qFormat/>
    <w:uiPriority w:val="0"/>
    <w:pPr>
      <w:snapToGrid w:val="0"/>
      <w:spacing w:line="500" w:lineRule="exact"/>
    </w:pPr>
    <w:rPr>
      <w:rFonts w:ascii="Arial" w:hAnsi="Arial" w:eastAsia="仿宋_GB2312" w:cs="Arial"/>
      <w:sz w:val="28"/>
      <w:szCs w:val="20"/>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8">
    <w:name w:val="List"/>
    <w:basedOn w:val="1"/>
    <w:next w:val="8"/>
    <w:qFormat/>
    <w:uiPriority w:val="0"/>
    <w:pPr>
      <w:ind w:left="200" w:hanging="200" w:hangingChars="200"/>
    </w:pPr>
  </w:style>
  <w:style w:type="paragraph" w:styleId="19">
    <w:name w:val="table of figures"/>
    <w:basedOn w:val="1"/>
    <w:next w:val="1"/>
    <w:unhideWhenUsed/>
    <w:qFormat/>
    <w:uiPriority w:val="99"/>
    <w:pPr>
      <w:ind w:left="200" w:leftChars="200" w:hanging="200" w:hangingChars="200"/>
    </w:pPr>
  </w:style>
  <w:style w:type="paragraph" w:styleId="20">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1">
    <w:name w:val="annotation subject"/>
    <w:basedOn w:val="7"/>
    <w:next w:val="7"/>
    <w:link w:val="56"/>
    <w:qFormat/>
    <w:uiPriority w:val="0"/>
    <w:rPr>
      <w:b/>
      <w:bCs/>
      <w:kern w:val="2"/>
      <w:sz w:val="21"/>
      <w:szCs w:val="24"/>
    </w:rPr>
  </w:style>
  <w:style w:type="paragraph" w:styleId="22">
    <w:name w:val="Body Text First Indent"/>
    <w:basedOn w:val="8"/>
    <w:qFormat/>
    <w:uiPriority w:val="99"/>
    <w:pPr>
      <w:spacing w:after="120" w:line="240" w:lineRule="auto"/>
      <w:ind w:right="0" w:firstLine="420" w:firstLineChars="100"/>
    </w:pPr>
    <w:rPr>
      <w:sz w:val="21"/>
    </w:r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qFormat/>
    <w:uiPriority w:val="0"/>
  </w:style>
  <w:style w:type="character" w:styleId="27">
    <w:name w:val="annotation reference"/>
    <w:basedOn w:val="25"/>
    <w:qFormat/>
    <w:uiPriority w:val="0"/>
    <w:rPr>
      <w:sz w:val="21"/>
      <w:szCs w:val="21"/>
    </w:rPr>
  </w:style>
  <w:style w:type="paragraph" w:customStyle="1" w:styleId="28">
    <w:name w:val="Default"/>
    <w:basedOn w:val="29"/>
    <w:next w:val="4"/>
    <w:qFormat/>
    <w:uiPriority w:val="0"/>
    <w:pPr>
      <w:autoSpaceDE w:val="0"/>
      <w:autoSpaceDN w:val="0"/>
    </w:pPr>
    <w:rPr>
      <w:rFonts w:cs="宋体"/>
      <w:color w:val="000000"/>
      <w:sz w:val="24"/>
    </w:rPr>
  </w:style>
  <w:style w:type="paragraph" w:customStyle="1" w:styleId="29">
    <w:name w:val="纯文本1"/>
    <w:basedOn w:val="1"/>
    <w:qFormat/>
    <w:uiPriority w:val="0"/>
    <w:pPr>
      <w:adjustRightInd w:val="0"/>
    </w:pPr>
    <w:rPr>
      <w:rFonts w:ascii="宋体" w:hAnsi="Courier New"/>
      <w:szCs w:val="20"/>
    </w:rPr>
  </w:style>
  <w:style w:type="paragraph" w:customStyle="1" w:styleId="30">
    <w:name w:val="胡正文"/>
    <w:basedOn w:val="1"/>
    <w:qFormat/>
    <w:uiPriority w:val="0"/>
    <w:pPr>
      <w:spacing w:line="360" w:lineRule="auto"/>
      <w:ind w:firstLine="200" w:firstLineChars="200"/>
      <w:jc w:val="left"/>
    </w:pPr>
    <w:rPr>
      <w:rFonts w:ascii="宋体" w:hAnsi="宋体"/>
      <w:sz w:val="24"/>
      <w:szCs w:val="28"/>
    </w:rPr>
  </w:style>
  <w:style w:type="paragraph" w:customStyle="1" w:styleId="31">
    <w:name w:val="表格"/>
    <w:basedOn w:val="19"/>
    <w:qFormat/>
    <w:uiPriority w:val="0"/>
    <w:pPr>
      <w:adjustRightInd w:val="0"/>
      <w:snapToGrid w:val="0"/>
      <w:spacing w:beforeLines="10" w:afterLines="10" w:line="259" w:lineRule="auto"/>
      <w:jc w:val="center"/>
    </w:pPr>
    <w:rPr>
      <w:rFonts w:ascii="宋体"/>
      <w:kern w:val="0"/>
      <w:szCs w:val="20"/>
    </w:rPr>
  </w:style>
  <w:style w:type="paragraph" w:customStyle="1" w:styleId="32">
    <w:name w:val="表格文字"/>
    <w:basedOn w:val="5"/>
    <w:qFormat/>
    <w:uiPriority w:val="0"/>
    <w:pPr>
      <w:ind w:firstLine="0" w:firstLineChars="0"/>
      <w:jc w:val="center"/>
    </w:pPr>
    <w:rPr>
      <w:sz w:val="21"/>
      <w:szCs w:val="21"/>
    </w:rPr>
  </w:style>
  <w:style w:type="paragraph" w:customStyle="1" w:styleId="33">
    <w:name w:val="表1表2"/>
    <w:basedOn w:val="1"/>
    <w:qFormat/>
    <w:uiPriority w:val="0"/>
    <w:pPr>
      <w:autoSpaceDE w:val="0"/>
      <w:autoSpaceDN w:val="0"/>
      <w:adjustRightInd w:val="0"/>
      <w:snapToGrid w:val="0"/>
      <w:jc w:val="center"/>
      <w:textAlignment w:val="center"/>
    </w:pPr>
    <w:rPr>
      <w:kern w:val="0"/>
      <w:szCs w:val="21"/>
    </w:rPr>
  </w:style>
  <w:style w:type="paragraph" w:styleId="34">
    <w:name w:val="No Spacing"/>
    <w:basedOn w:val="1"/>
    <w:qFormat/>
    <w:uiPriority w:val="1"/>
    <w:pPr>
      <w:adjustRightInd w:val="0"/>
      <w:snapToGrid w:val="0"/>
      <w:ind w:firstLine="480"/>
    </w:pPr>
    <w:rPr>
      <w:rFonts w:ascii="Arial" w:hAnsi="Arial" w:eastAsia="仿宋"/>
      <w:w w:val="90"/>
    </w:rPr>
  </w:style>
  <w:style w:type="paragraph" w:customStyle="1" w:styleId="35">
    <w:name w:val="表格字体"/>
    <w:basedOn w:val="32"/>
    <w:next w:val="1"/>
    <w:qFormat/>
    <w:uiPriority w:val="0"/>
    <w:pPr>
      <w:widowControl/>
      <w:adjustRightInd w:val="0"/>
      <w:snapToGrid w:val="0"/>
    </w:pPr>
    <w:rPr>
      <w:rFonts w:hint="eastAsia" w:cs="宋体"/>
    </w:rPr>
  </w:style>
  <w:style w:type="paragraph" w:customStyle="1" w:styleId="36">
    <w:name w:val="正文 首行缩进:  2 字符"/>
    <w:qFormat/>
    <w:uiPriority w:val="0"/>
    <w:pPr>
      <w:widowControl w:val="0"/>
      <w:spacing w:beforeLines="50" w:line="360" w:lineRule="auto"/>
      <w:ind w:firstLine="420" w:firstLineChars="200"/>
      <w:jc w:val="both"/>
    </w:pPr>
    <w:rPr>
      <w:rFonts w:ascii="宋体" w:hAnsi="宋体" w:eastAsia="宋体" w:cs="Times New Roman"/>
      <w:color w:val="000000"/>
      <w:kern w:val="2"/>
      <w:sz w:val="21"/>
      <w:szCs w:val="24"/>
      <w:lang w:val="en-US" w:eastAsia="zh-CN" w:bidi="ar-SA"/>
    </w:rPr>
  </w:style>
  <w:style w:type="paragraph" w:customStyle="1" w:styleId="37">
    <w:name w:val="Table Paragraph"/>
    <w:basedOn w:val="1"/>
    <w:qFormat/>
    <w:uiPriority w:val="1"/>
  </w:style>
  <w:style w:type="paragraph" w:customStyle="1" w:styleId="38">
    <w:name w:val="居中正文"/>
    <w:basedOn w:val="22"/>
    <w:qFormat/>
    <w:uiPriority w:val="0"/>
    <w:pPr>
      <w:adjustRightInd w:val="0"/>
      <w:spacing w:before="120" w:after="0" w:line="360" w:lineRule="auto"/>
      <w:ind w:firstLine="0"/>
      <w:jc w:val="center"/>
      <w:textAlignment w:val="baseline"/>
    </w:pPr>
    <w:rPr>
      <w:rFonts w:ascii="宋体"/>
      <w:kern w:val="28"/>
      <w:sz w:val="24"/>
    </w:rPr>
  </w:style>
  <w:style w:type="character" w:customStyle="1" w:styleId="39">
    <w:name w:val="font71"/>
    <w:qFormat/>
    <w:uiPriority w:val="0"/>
    <w:rPr>
      <w:rFonts w:hint="eastAsia" w:ascii="宋体" w:hAnsi="宋体" w:eastAsia="宋体" w:cs="宋体"/>
      <w:color w:val="000000"/>
      <w:sz w:val="21"/>
      <w:szCs w:val="21"/>
      <w:u w:val="none"/>
    </w:rPr>
  </w:style>
  <w:style w:type="character" w:customStyle="1" w:styleId="40">
    <w:name w:val="16"/>
    <w:qFormat/>
    <w:uiPriority w:val="0"/>
    <w:rPr>
      <w:rFonts w:hint="eastAsia" w:ascii="宋体" w:hAnsi="宋体" w:eastAsia="宋体"/>
      <w:b/>
      <w:bCs/>
      <w:color w:val="333333"/>
      <w:sz w:val="18"/>
      <w:szCs w:val="18"/>
    </w:rPr>
  </w:style>
  <w:style w:type="character" w:customStyle="1" w:styleId="41">
    <w:name w:val="15"/>
    <w:qFormat/>
    <w:uiPriority w:val="0"/>
    <w:rPr>
      <w:rFonts w:hint="default" w:ascii="Times New Roman" w:hAnsi="Times New Roman" w:cs="Times New Roman"/>
    </w:rPr>
  </w:style>
  <w:style w:type="character" w:customStyle="1" w:styleId="42">
    <w:name w:val="17"/>
    <w:qFormat/>
    <w:uiPriority w:val="0"/>
    <w:rPr>
      <w:rFonts w:hint="default" w:ascii="Tahoma" w:hAnsi="Tahoma" w:cs="Tahoma"/>
      <w:color w:val="333333"/>
      <w:sz w:val="22"/>
      <w:szCs w:val="22"/>
    </w:rPr>
  </w:style>
  <w:style w:type="paragraph" w:customStyle="1" w:styleId="43">
    <w:name w:val="正式文本"/>
    <w:basedOn w:val="1"/>
    <w:qFormat/>
    <w:uiPriority w:val="0"/>
    <w:pPr>
      <w:adjustRightInd w:val="0"/>
      <w:snapToGrid w:val="0"/>
      <w:spacing w:line="360" w:lineRule="auto"/>
      <w:ind w:firstLine="420" w:firstLineChars="200"/>
      <w:jc w:val="left"/>
    </w:pPr>
    <w:rPr>
      <w:bCs/>
      <w:szCs w:val="21"/>
    </w:rPr>
  </w:style>
  <w:style w:type="paragraph" w:customStyle="1" w:styleId="44">
    <w:name w:val="正文001"/>
    <w:basedOn w:val="1"/>
    <w:qFormat/>
    <w:uiPriority w:val="0"/>
    <w:pPr>
      <w:adjustRightInd w:val="0"/>
      <w:spacing w:before="60" w:line="420" w:lineRule="exact"/>
      <w:ind w:firstLine="482"/>
    </w:pPr>
    <w:rPr>
      <w:rFonts w:ascii="宋体" w:hAnsi="宋体"/>
      <w:kern w:val="0"/>
    </w:rPr>
  </w:style>
  <w:style w:type="paragraph" w:customStyle="1" w:styleId="45">
    <w:name w:val="表格内容自定"/>
    <w:basedOn w:val="1"/>
    <w:qFormat/>
    <w:uiPriority w:val="0"/>
    <w:pPr>
      <w:spacing w:line="280" w:lineRule="exact"/>
      <w:jc w:val="center"/>
    </w:pPr>
    <w:rPr>
      <w:kern w:val="0"/>
      <w:sz w:val="18"/>
      <w:szCs w:val="18"/>
    </w:rPr>
  </w:style>
  <w:style w:type="paragraph" w:customStyle="1" w:styleId="46">
    <w:name w:val="24磅正文"/>
    <w:basedOn w:val="1"/>
    <w:qFormat/>
    <w:uiPriority w:val="0"/>
    <w:pPr>
      <w:spacing w:line="480" w:lineRule="exact"/>
      <w:ind w:firstLine="480" w:firstLineChars="200"/>
    </w:pPr>
  </w:style>
  <w:style w:type="paragraph" w:customStyle="1" w:styleId="47">
    <w:name w:val="Default1"/>
    <w:autoRedefine/>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48">
    <w:name w:val="A正文"/>
    <w:basedOn w:val="1"/>
    <w:qFormat/>
    <w:uiPriority w:val="0"/>
    <w:pPr>
      <w:overflowPunct w:val="0"/>
    </w:pPr>
  </w:style>
  <w:style w:type="paragraph" w:customStyle="1" w:styleId="49">
    <w:name w:val="Char Char Char Char Char Char1 Char Char Char Char"/>
    <w:basedOn w:val="1"/>
    <w:next w:val="1"/>
    <w:autoRedefine/>
    <w:semiHidden/>
    <w:qFormat/>
    <w:uiPriority w:val="0"/>
    <w:pPr>
      <w:ind w:firstLine="200" w:firstLineChars="200"/>
    </w:pPr>
    <w:rPr>
      <w:rFonts w:ascii="宋体" w:hAnsi="宋体" w:cs="宋体"/>
    </w:rPr>
  </w:style>
  <w:style w:type="paragraph" w:customStyle="1" w:styleId="50">
    <w:name w:val="表标题"/>
    <w:basedOn w:val="1"/>
    <w:autoRedefine/>
    <w:qFormat/>
    <w:uiPriority w:val="0"/>
    <w:pPr>
      <w:keepNext/>
      <w:jc w:val="center"/>
    </w:pPr>
    <w:rPr>
      <w:b/>
    </w:rPr>
  </w:style>
  <w:style w:type="paragraph" w:customStyle="1" w:styleId="51">
    <w:name w:val="1正文段落"/>
    <w:basedOn w:val="1"/>
    <w:qFormat/>
    <w:uiPriority w:val="0"/>
    <w:pPr>
      <w:spacing w:line="360" w:lineRule="auto"/>
      <w:ind w:firstLine="480" w:firstLineChars="200"/>
    </w:pPr>
    <w:rPr>
      <w:rFonts w:ascii="Calibri" w:hAnsi="Calibri"/>
      <w:sz w:val="24"/>
    </w:rPr>
  </w:style>
  <w:style w:type="paragraph" w:customStyle="1" w:styleId="52">
    <w:name w:val="图表表题"/>
    <w:basedOn w:val="1"/>
    <w:autoRedefine/>
    <w:qFormat/>
    <w:uiPriority w:val="0"/>
    <w:pPr>
      <w:autoSpaceDE w:val="0"/>
      <w:autoSpaceDN w:val="0"/>
      <w:adjustRightInd w:val="0"/>
      <w:snapToGrid w:val="0"/>
      <w:jc w:val="center"/>
    </w:pPr>
    <w:rPr>
      <w:rFonts w:hint="eastAsia" w:cs="宋体"/>
      <w:b/>
      <w:bCs/>
    </w:rPr>
  </w:style>
  <w:style w:type="paragraph" w:customStyle="1" w:styleId="53">
    <w:name w:val="表头"/>
    <w:basedOn w:val="5"/>
    <w:next w:val="1"/>
    <w:qFormat/>
    <w:uiPriority w:val="0"/>
    <w:pPr>
      <w:ind w:firstLine="0" w:firstLineChars="0"/>
      <w:jc w:val="center"/>
    </w:pPr>
    <w:rPr>
      <w:b/>
      <w:lang w:eastAsia="en-US"/>
    </w:rPr>
  </w:style>
  <w:style w:type="paragraph" w:customStyle="1" w:styleId="54">
    <w:name w:val="表"/>
    <w:basedOn w:val="18"/>
    <w:autoRedefine/>
    <w:qFormat/>
    <w:uiPriority w:val="0"/>
    <w:pPr>
      <w:keepNext/>
      <w:keepLines/>
      <w:spacing w:before="60" w:after="60" w:line="240" w:lineRule="exact"/>
      <w:ind w:left="0" w:firstLine="0" w:firstLineChars="0"/>
      <w:jc w:val="center"/>
    </w:pPr>
  </w:style>
  <w:style w:type="character" w:customStyle="1" w:styleId="55">
    <w:name w:val="批注文字 字符"/>
    <w:basedOn w:val="25"/>
    <w:link w:val="7"/>
    <w:semiHidden/>
    <w:qFormat/>
    <w:uiPriority w:val="0"/>
    <w:rPr>
      <w:sz w:val="24"/>
    </w:rPr>
  </w:style>
  <w:style w:type="character" w:customStyle="1" w:styleId="56">
    <w:name w:val="批注主题 字符"/>
    <w:basedOn w:val="55"/>
    <w:link w:val="21"/>
    <w:qFormat/>
    <w:uiPriority w:val="0"/>
    <w:rPr>
      <w:b/>
      <w:bCs/>
      <w:kern w:val="2"/>
      <w:sz w:val="21"/>
      <w:szCs w:val="24"/>
    </w:rPr>
  </w:style>
  <w:style w:type="paragraph" w:customStyle="1" w:styleId="57">
    <w:name w:val="Table Text"/>
    <w:basedOn w:val="1"/>
    <w:semiHidden/>
    <w:qFormat/>
    <w:uiPriority w:val="0"/>
    <w:rPr>
      <w:rFonts w:ascii="宋体" w:hAnsi="宋体" w:cs="宋体"/>
      <w:sz w:val="24"/>
      <w:lang w:eastAsia="en-US"/>
    </w:rPr>
  </w:style>
  <w:style w:type="table" w:customStyle="1" w:styleId="5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wmf"/><Relationship Id="rId2" Type="http://schemas.openxmlformats.org/officeDocument/2006/relationships/settings" Target="settings.xml"/><Relationship Id="rId19" Type="http://schemas.openxmlformats.org/officeDocument/2006/relationships/image" Target="media/image14.wmf"/><Relationship Id="rId18" Type="http://schemas.openxmlformats.org/officeDocument/2006/relationships/image" Target="media/image13.wmf"/><Relationship Id="rId17" Type="http://schemas.openxmlformats.org/officeDocument/2006/relationships/image" Target="media/image12.wmf"/><Relationship Id="rId16" Type="http://schemas.openxmlformats.org/officeDocument/2006/relationships/image" Target="media/image11.wmf"/><Relationship Id="rId15" Type="http://schemas.openxmlformats.org/officeDocument/2006/relationships/image" Target="media/image10.wmf"/><Relationship Id="rId14" Type="http://schemas.openxmlformats.org/officeDocument/2006/relationships/image" Target="media/image9.wmf"/><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"/>
    </extobj>
    <extobj name="F360BE8B-6686-4F3D-AEAF-501FE73E4058-2">
      <extobjdata type="F360BE8B-6686-4F3D-AEAF-501FE73E4058" data="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"/>
    </extobj>
    <extobj name="F360BE8B-6686-4F3D-AEAF-501FE73E4058-3">
      <extobjdata type="F360BE8B-6686-4F3D-AEAF-501FE73E4058" data="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"/>
    </extobj>
    <extobj name="F360BE8B-6686-4F3D-AEAF-501FE73E4058-4">
      <extobjdata type="F360BE8B-6686-4F3D-AEAF-501FE73E4058" data="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"/>
    </extobj>
    <extobj name="F360BE8B-6686-4F3D-AEAF-501FE73E4058-5">
      <extobjdata type="F360BE8B-6686-4F3D-AEAF-501FE73E4058" data="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"/>
    </extobj>
    <extobj name="F360BE8B-6686-4F3D-AEAF-501FE73E4058-6">
      <extobjdata type="F360BE8B-6686-4F3D-AEAF-501FE73E4058" data="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53</Pages>
  <Words>8219</Words>
  <Characters>8731</Characters>
  <Lines>2272</Lines>
  <Paragraphs>2239</Paragraphs>
  <TotalTime>8</TotalTime>
  <ScaleCrop>false</ScaleCrop>
  <LinksUpToDate>false</LinksUpToDate>
  <CharactersWithSpaces>8836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2025-09-05T02:49:00Z</dcterms:created>
  <dc:creator>张毅</dc:creator>
  <cp:lastModifiedBy>段梦梦</cp:lastModifiedBy>
  <dcterms:modified xsi:type="dcterms:W3CDTF">2025-09-12T03:12:33Z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0B3EA56787034C00B2833568FF3B133F_11</vt:lpwstr>
  </property>
  <property fmtid="{D5CDD505-2E9C-101B-9397-08002B2CF9AE}" pid="4" name="KSOTemplateDocerSaveRecord">
    <vt:lpwstr>eyJoZGlkIjoiYjk1MjlkOGJiYzlmYjcwMDNmOWU4YTZjMGRhODZiZmMiLCJ1c2VySWQiOiI0MjM3NjA2MjEifQ==</vt:lpwstr>
  </property>
</Properties>
</file>