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157" w:tblpY="898"/>
        <w:tblOverlap w:val="never"/>
        <w:tblW w:w="588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63"/>
        <w:gridCol w:w="2290"/>
        <w:gridCol w:w="6361"/>
      </w:tblGrid>
      <w:tr w14:paraId="65C4F1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723" w:type="pct"/>
            <w:tcBorders>
              <w:top w:val="single" w:color="auto" w:sz="4" w:space="0"/>
              <w:left w:val="single" w:color="auto" w:sz="8" w:space="0"/>
              <w:bottom w:val="single" w:color="auto" w:sz="4" w:space="0"/>
              <w:right w:val="single" w:color="auto" w:sz="8" w:space="0"/>
            </w:tcBorders>
            <w:shd w:val="clear" w:color="auto" w:fill="FFFFFF"/>
            <w:tcMar>
              <w:top w:w="0" w:type="dxa"/>
              <w:left w:w="227" w:type="dxa"/>
              <w:bottom w:w="0" w:type="dxa"/>
              <w:right w:w="227" w:type="dxa"/>
            </w:tcMar>
            <w:vAlign w:val="center"/>
          </w:tcPr>
          <w:p w14:paraId="3F1DA3A7">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评审项</w:t>
            </w:r>
          </w:p>
        </w:tc>
        <w:tc>
          <w:tcPr>
            <w:tcW w:w="1132" w:type="pct"/>
            <w:tcBorders>
              <w:top w:val="single" w:color="auto" w:sz="4" w:space="0"/>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3D6714E4">
            <w:pPr>
              <w:bidi w:val="0"/>
              <w:spacing w:line="240" w:lineRule="auto"/>
              <w:ind w:firstLine="480" w:firstLineChars="20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评分因素</w:t>
            </w:r>
          </w:p>
        </w:tc>
        <w:tc>
          <w:tcPr>
            <w:tcW w:w="3144" w:type="pct"/>
            <w:tcBorders>
              <w:top w:val="single" w:color="auto" w:sz="4" w:space="0"/>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1F6EE900">
            <w:pPr>
              <w:bidi w:val="0"/>
              <w:spacing w:line="240" w:lineRule="auto"/>
              <w:ind w:firstLine="2640" w:firstLineChars="110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评分标准</w:t>
            </w:r>
          </w:p>
        </w:tc>
      </w:tr>
      <w:tr w14:paraId="39F3A3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23" w:type="pct"/>
            <w:vMerge w:val="restart"/>
            <w:tcBorders>
              <w:top w:val="single" w:color="auto" w:sz="4" w:space="0"/>
              <w:left w:val="single" w:color="auto" w:sz="4" w:space="0"/>
              <w:right w:val="single" w:color="auto" w:sz="8" w:space="0"/>
            </w:tcBorders>
            <w:shd w:val="clear" w:color="auto" w:fill="FFFFFF"/>
            <w:tcMar>
              <w:top w:w="0" w:type="dxa"/>
              <w:left w:w="227" w:type="dxa"/>
              <w:bottom w:w="0" w:type="dxa"/>
              <w:right w:w="227" w:type="dxa"/>
            </w:tcMar>
            <w:vAlign w:val="center"/>
          </w:tcPr>
          <w:p w14:paraId="2CE77C42">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技术得分（85分）</w:t>
            </w:r>
          </w:p>
        </w:tc>
        <w:tc>
          <w:tcPr>
            <w:tcW w:w="1132" w:type="pct"/>
            <w:tcBorders>
              <w:top w:val="single" w:color="auto" w:sz="4" w:space="0"/>
              <w:left w:val="nil"/>
              <w:bottom w:val="single" w:color="auto" w:sz="8" w:space="0"/>
              <w:right w:val="single" w:color="auto" w:sz="4" w:space="0"/>
            </w:tcBorders>
            <w:shd w:val="clear" w:color="auto" w:fill="FFFFFF"/>
            <w:tcMar>
              <w:top w:w="0" w:type="dxa"/>
              <w:left w:w="227" w:type="dxa"/>
              <w:bottom w:w="0" w:type="dxa"/>
              <w:right w:w="227" w:type="dxa"/>
            </w:tcMar>
            <w:vAlign w:val="center"/>
          </w:tcPr>
          <w:p w14:paraId="0EC945A3">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项目负责人</w:t>
            </w:r>
          </w:p>
          <w:p w14:paraId="12E71011">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（15分）</w:t>
            </w:r>
          </w:p>
        </w:tc>
        <w:tc>
          <w:tcPr>
            <w:tcW w:w="3144" w:type="pct"/>
            <w:tcBorders>
              <w:top w:val="nil"/>
              <w:left w:val="single" w:color="auto" w:sz="4" w:space="0"/>
              <w:bottom w:val="single" w:color="auto" w:sz="8" w:space="0"/>
              <w:right w:val="single" w:color="auto" w:sz="8" w:space="0"/>
            </w:tcBorders>
            <w:shd w:val="clear" w:color="auto" w:fill="FFFFFF"/>
            <w:tcMar>
              <w:top w:w="0" w:type="dxa"/>
              <w:left w:w="227" w:type="dxa"/>
              <w:bottom w:w="0" w:type="dxa"/>
              <w:right w:w="227" w:type="dxa"/>
            </w:tcMar>
            <w:vAlign w:val="center"/>
          </w:tcPr>
          <w:p w14:paraId="110F7037">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1、项目负责人：具有高级职称得基本分5分，同时具有执业注册证书的加5分。（提供近三个月在本单位缴纳社保的缴费明细证明。）</w:t>
            </w:r>
          </w:p>
          <w:p w14:paraId="2AEB82BB">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2、项目负责人具有2023年1月1日以来工程类项目业绩，每提供一个得2.5分，加满5分为止。须提供招标人出具的证明材料或招标代理合同，及代理项目招标公告截图。</w:t>
            </w:r>
          </w:p>
        </w:tc>
      </w:tr>
      <w:tr w14:paraId="6493FD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3" w:type="pct"/>
            <w:vMerge w:val="continue"/>
            <w:tcBorders>
              <w:left w:val="single" w:color="auto" w:sz="4" w:space="0"/>
              <w:right w:val="single" w:color="auto" w:sz="8" w:space="0"/>
            </w:tcBorders>
            <w:shd w:val="clear" w:color="auto" w:fill="FFFFFF"/>
            <w:tcMar>
              <w:top w:w="0" w:type="dxa"/>
              <w:left w:w="227" w:type="dxa"/>
              <w:bottom w:w="0" w:type="dxa"/>
              <w:right w:w="227" w:type="dxa"/>
            </w:tcMar>
            <w:vAlign w:val="center"/>
          </w:tcPr>
          <w:p w14:paraId="657B5156">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tcBorders>
              <w:top w:val="nil"/>
              <w:left w:val="nil"/>
              <w:bottom w:val="single" w:color="auto" w:sz="4" w:space="0"/>
              <w:right w:val="single" w:color="auto" w:sz="4" w:space="0"/>
            </w:tcBorders>
            <w:shd w:val="clear" w:color="auto" w:fill="FFFFFF"/>
            <w:tcMar>
              <w:top w:w="0" w:type="dxa"/>
              <w:left w:w="227" w:type="dxa"/>
              <w:bottom w:w="0" w:type="dxa"/>
              <w:right w:w="227" w:type="dxa"/>
            </w:tcMar>
            <w:vAlign w:val="center"/>
          </w:tcPr>
          <w:p w14:paraId="7E2416F7">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一般技术人员（2人）</w:t>
            </w:r>
          </w:p>
          <w:p w14:paraId="1100EB3D">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（10分）</w:t>
            </w:r>
          </w:p>
        </w:tc>
        <w:tc>
          <w:tcPr>
            <w:tcW w:w="3144" w:type="pct"/>
            <w:tcBorders>
              <w:top w:val="nil"/>
              <w:left w:val="single" w:color="auto" w:sz="4" w:space="0"/>
              <w:bottom w:val="single" w:color="auto" w:sz="8" w:space="0"/>
              <w:right w:val="single" w:color="auto" w:sz="8" w:space="0"/>
            </w:tcBorders>
            <w:shd w:val="clear" w:color="auto" w:fill="FFFFFF"/>
            <w:tcMar>
              <w:top w:w="0" w:type="dxa"/>
              <w:left w:w="227" w:type="dxa"/>
              <w:bottom w:w="0" w:type="dxa"/>
              <w:right w:w="227" w:type="dxa"/>
            </w:tcMar>
            <w:vAlign w:val="center"/>
          </w:tcPr>
          <w:p w14:paraId="76E1023F">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每配备一名中级及以上职称技术人员加5分，满分10分。</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4"/>
                <w:szCs w:val="24"/>
                <w:shd w:val="clear" w:fill="FFFFFF"/>
                <w:lang w:val="en-US" w:eastAsia="zh-CN" w:bidi="ar"/>
              </w:rPr>
              <w:t>（需提供上述人员证件扫描件及近三个月在本单位缴纳社保的缴费明细证明。）</w:t>
            </w:r>
          </w:p>
        </w:tc>
      </w:tr>
      <w:tr w14:paraId="53A658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3" w:type="pct"/>
            <w:vMerge w:val="continue"/>
            <w:tcBorders>
              <w:left w:val="single" w:color="auto" w:sz="4" w:space="0"/>
              <w:right w:val="single" w:color="auto" w:sz="8" w:space="0"/>
            </w:tcBorders>
            <w:shd w:val="clear" w:color="auto" w:fill="FFFFFF"/>
            <w:tcMar>
              <w:top w:w="0" w:type="dxa"/>
              <w:left w:w="227" w:type="dxa"/>
              <w:bottom w:w="0" w:type="dxa"/>
              <w:right w:w="227" w:type="dxa"/>
            </w:tcMar>
            <w:vAlign w:val="center"/>
          </w:tcPr>
          <w:p w14:paraId="3FC1A7FC">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tcBorders>
              <w:top w:val="single" w:color="auto" w:sz="4" w:space="0"/>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7A47EF2D">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企业业绩</w:t>
            </w:r>
          </w:p>
          <w:p w14:paraId="1CC40CB8">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（20分）</w:t>
            </w:r>
          </w:p>
        </w:tc>
        <w:tc>
          <w:tcPr>
            <w:tcW w:w="3144" w:type="pct"/>
            <w:tcBorders>
              <w:top w:val="nil"/>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305B4AA2">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每提供一项2023年1月1日以来市政工程类项目业绩，加5分，最多加满20分。</w:t>
            </w:r>
            <w:bookmarkStart w:id="0" w:name="OLE_LINK3"/>
            <w:r>
              <w:rPr>
                <w:rFonts w:hint="eastAsia" w:ascii="宋体" w:hAnsi="宋体" w:eastAsia="宋体" w:cs="宋体"/>
                <w:i w:val="0"/>
                <w:iCs w:val="0"/>
                <w:caps w:val="0"/>
                <w:color w:val="333333"/>
                <w:spacing w:val="0"/>
                <w:kern w:val="0"/>
                <w:sz w:val="24"/>
                <w:szCs w:val="24"/>
                <w:shd w:val="clear" w:fill="FFFFFF"/>
                <w:lang w:val="en-US" w:eastAsia="zh-CN" w:bidi="ar"/>
              </w:rPr>
              <w:t>未提供污</w:t>
            </w:r>
            <w:bookmarkStart w:id="1" w:name="_GoBack"/>
            <w:bookmarkEnd w:id="1"/>
            <w:r>
              <w:rPr>
                <w:rFonts w:hint="eastAsia" w:ascii="宋体" w:hAnsi="宋体" w:eastAsia="宋体" w:cs="宋体"/>
                <w:i w:val="0"/>
                <w:iCs w:val="0"/>
                <w:caps w:val="0"/>
                <w:color w:val="333333"/>
                <w:spacing w:val="0"/>
                <w:kern w:val="0"/>
                <w:sz w:val="24"/>
                <w:szCs w:val="24"/>
                <w:shd w:val="clear" w:fill="FFFFFF"/>
                <w:lang w:val="en-US" w:eastAsia="zh-CN" w:bidi="ar"/>
              </w:rPr>
              <w:t>水处理或环保类业绩不得分。须提供招标人出具的证明材料或招标代理合同，及代理项目招标公告截图。</w:t>
            </w:r>
            <w:bookmarkEnd w:id="0"/>
          </w:p>
        </w:tc>
      </w:tr>
      <w:tr w14:paraId="3F27C8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723" w:type="pct"/>
            <w:vMerge w:val="continue"/>
            <w:tcBorders>
              <w:left w:val="single" w:color="auto" w:sz="4" w:space="0"/>
              <w:right w:val="single" w:color="auto" w:sz="8" w:space="0"/>
            </w:tcBorders>
            <w:shd w:val="clear" w:color="auto" w:fill="FFFFFF"/>
            <w:tcMar>
              <w:top w:w="0" w:type="dxa"/>
              <w:left w:w="227" w:type="dxa"/>
              <w:bottom w:w="0" w:type="dxa"/>
              <w:right w:w="227" w:type="dxa"/>
            </w:tcMar>
            <w:vAlign w:val="center"/>
          </w:tcPr>
          <w:p w14:paraId="7DF6CD99">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vMerge w:val="restart"/>
            <w:tcBorders>
              <w:top w:val="nil"/>
              <w:left w:val="nil"/>
              <w:right w:val="single" w:color="auto" w:sz="8" w:space="0"/>
            </w:tcBorders>
            <w:shd w:val="clear" w:color="auto" w:fill="FFFFFF"/>
            <w:tcMar>
              <w:top w:w="0" w:type="dxa"/>
              <w:left w:w="227" w:type="dxa"/>
              <w:bottom w:w="0" w:type="dxa"/>
              <w:right w:w="227" w:type="dxa"/>
            </w:tcMar>
            <w:vAlign w:val="center"/>
          </w:tcPr>
          <w:p w14:paraId="555B42AA">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服务方案</w:t>
            </w:r>
          </w:p>
          <w:p w14:paraId="01204F1C">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（40分）</w:t>
            </w:r>
          </w:p>
        </w:tc>
        <w:tc>
          <w:tcPr>
            <w:tcW w:w="3144" w:type="pct"/>
            <w:tcBorders>
              <w:top w:val="nil"/>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702F3A6E">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1、招标代理工作方案详细,针对性强，操作性强,内容具体,能充分保证招标工作的完成,能提出行之有效的措施。（0-10分）</w:t>
            </w:r>
          </w:p>
        </w:tc>
      </w:tr>
      <w:tr w14:paraId="07E24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trPr>
        <w:tc>
          <w:tcPr>
            <w:tcW w:w="723" w:type="pct"/>
            <w:vMerge w:val="continue"/>
            <w:tcBorders>
              <w:left w:val="single" w:color="auto" w:sz="4" w:space="0"/>
              <w:right w:val="single" w:color="auto" w:sz="8" w:space="0"/>
            </w:tcBorders>
            <w:shd w:val="clear" w:color="auto" w:fill="FFFFFF"/>
            <w:tcMar>
              <w:top w:w="0" w:type="dxa"/>
              <w:left w:w="227" w:type="dxa"/>
              <w:bottom w:w="0" w:type="dxa"/>
              <w:right w:w="227" w:type="dxa"/>
            </w:tcMar>
            <w:vAlign w:val="center"/>
          </w:tcPr>
          <w:p w14:paraId="1EEC33BA">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vMerge w:val="continue"/>
            <w:tcBorders>
              <w:left w:val="nil"/>
              <w:right w:val="single" w:color="auto" w:sz="8" w:space="0"/>
            </w:tcBorders>
            <w:shd w:val="clear" w:color="auto" w:fill="FFFFFF"/>
            <w:tcMar>
              <w:top w:w="0" w:type="dxa"/>
              <w:left w:w="227" w:type="dxa"/>
              <w:bottom w:w="0" w:type="dxa"/>
              <w:right w:w="227" w:type="dxa"/>
            </w:tcMar>
            <w:vAlign w:val="center"/>
          </w:tcPr>
          <w:p w14:paraId="73E37196">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3144" w:type="pct"/>
            <w:tcBorders>
              <w:top w:val="nil"/>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36576E9F">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2、服务质量承诺内容具体,针对性强，切实可行﹐按时完成招标代理服务工作（0-10分）</w:t>
            </w:r>
          </w:p>
        </w:tc>
      </w:tr>
      <w:tr w14:paraId="22A55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trPr>
        <w:tc>
          <w:tcPr>
            <w:tcW w:w="723" w:type="pct"/>
            <w:vMerge w:val="continue"/>
            <w:tcBorders>
              <w:left w:val="single" w:color="auto" w:sz="4" w:space="0"/>
              <w:right w:val="single" w:color="auto" w:sz="8" w:space="0"/>
            </w:tcBorders>
            <w:shd w:val="clear" w:color="auto" w:fill="FFFFFF"/>
            <w:tcMar>
              <w:top w:w="0" w:type="dxa"/>
              <w:left w:w="227" w:type="dxa"/>
              <w:bottom w:w="0" w:type="dxa"/>
              <w:right w:w="227" w:type="dxa"/>
            </w:tcMar>
            <w:vAlign w:val="center"/>
          </w:tcPr>
          <w:p w14:paraId="52E4981F">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vMerge w:val="continue"/>
            <w:tcBorders>
              <w:left w:val="nil"/>
              <w:right w:val="single" w:color="auto" w:sz="8" w:space="0"/>
            </w:tcBorders>
            <w:shd w:val="clear" w:color="auto" w:fill="FFFFFF"/>
            <w:tcMar>
              <w:top w:w="0" w:type="dxa"/>
              <w:left w:w="227" w:type="dxa"/>
              <w:bottom w:w="0" w:type="dxa"/>
              <w:right w:w="227" w:type="dxa"/>
            </w:tcMar>
            <w:vAlign w:val="center"/>
          </w:tcPr>
          <w:p w14:paraId="481E9F11">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3144" w:type="pct"/>
            <w:tcBorders>
              <w:top w:val="nil"/>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2AC9F413">
            <w:pPr>
              <w:bidi w:val="0"/>
              <w:spacing w:line="240" w:lineRule="auto"/>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3.提供的廉政保密措施综合评审（0-10分）</w:t>
            </w:r>
          </w:p>
        </w:tc>
      </w:tr>
      <w:tr w14:paraId="7FFBCD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723" w:type="pct"/>
            <w:vMerge w:val="continue"/>
            <w:tcBorders>
              <w:left w:val="single" w:color="auto" w:sz="4" w:space="0"/>
              <w:bottom w:val="single" w:color="auto" w:sz="4" w:space="0"/>
              <w:right w:val="single" w:color="auto" w:sz="8" w:space="0"/>
            </w:tcBorders>
            <w:shd w:val="clear" w:color="auto" w:fill="FFFFFF"/>
            <w:tcMar>
              <w:top w:w="0" w:type="dxa"/>
              <w:left w:w="227" w:type="dxa"/>
              <w:bottom w:w="0" w:type="dxa"/>
              <w:right w:w="227" w:type="dxa"/>
            </w:tcMar>
            <w:vAlign w:val="center"/>
          </w:tcPr>
          <w:p w14:paraId="5C018BF3">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vMerge w:val="continue"/>
            <w:tcBorders>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04259171">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p>
        </w:tc>
        <w:tc>
          <w:tcPr>
            <w:tcW w:w="3144" w:type="pct"/>
            <w:tcBorders>
              <w:top w:val="nil"/>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7449D45A">
            <w:pPr>
              <w:bidi w:val="0"/>
              <w:spacing w:line="240" w:lineRule="auto"/>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4.提供的招标代理服务进度计划综合评审（0-10）</w:t>
            </w:r>
          </w:p>
        </w:tc>
      </w:tr>
      <w:tr w14:paraId="6BFFBD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723" w:type="pct"/>
            <w:vMerge w:val="restart"/>
            <w:tcBorders>
              <w:top w:val="single" w:color="auto" w:sz="4" w:space="0"/>
              <w:left w:val="single" w:color="auto" w:sz="8" w:space="0"/>
              <w:bottom w:val="single" w:color="auto" w:sz="8" w:space="0"/>
              <w:right w:val="single" w:color="auto" w:sz="8" w:space="0"/>
            </w:tcBorders>
            <w:shd w:val="clear" w:color="auto" w:fill="FFFFFF"/>
            <w:tcMar>
              <w:top w:w="0" w:type="dxa"/>
              <w:left w:w="227" w:type="dxa"/>
              <w:bottom w:w="0" w:type="dxa"/>
              <w:right w:w="227" w:type="dxa"/>
            </w:tcMar>
            <w:vAlign w:val="center"/>
          </w:tcPr>
          <w:p w14:paraId="55C948D5">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商务得分（15分）</w:t>
            </w:r>
          </w:p>
        </w:tc>
        <w:tc>
          <w:tcPr>
            <w:tcW w:w="1132" w:type="pct"/>
            <w:tcBorders>
              <w:top w:val="single" w:color="auto" w:sz="4" w:space="0"/>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372BCFAE">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有效报价</w:t>
            </w:r>
          </w:p>
        </w:tc>
        <w:tc>
          <w:tcPr>
            <w:tcW w:w="3144" w:type="pct"/>
            <w:tcBorders>
              <w:top w:val="single" w:color="auto" w:sz="4" w:space="0"/>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4648B748">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不超过本项目规定的控制价，报0元按无效标处理。</w:t>
            </w:r>
          </w:p>
        </w:tc>
      </w:tr>
      <w:tr w14:paraId="2EE2F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23" w:type="pct"/>
            <w:vMerge w:val="continue"/>
            <w:tcBorders>
              <w:top w:val="nil"/>
              <w:left w:val="single" w:color="auto" w:sz="8" w:space="0"/>
              <w:bottom w:val="single" w:color="auto" w:sz="8" w:space="0"/>
              <w:right w:val="single" w:color="auto" w:sz="8" w:space="0"/>
            </w:tcBorders>
            <w:shd w:val="clear" w:color="auto" w:fill="FFFFFF"/>
            <w:tcMar>
              <w:top w:w="0" w:type="dxa"/>
              <w:left w:w="227" w:type="dxa"/>
              <w:bottom w:w="0" w:type="dxa"/>
              <w:right w:w="227" w:type="dxa"/>
            </w:tcMar>
            <w:vAlign w:val="center"/>
          </w:tcPr>
          <w:p w14:paraId="470890D4">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tcBorders>
              <w:top w:val="nil"/>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37A6AA8A">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评标基准价C计算方法</w:t>
            </w:r>
          </w:p>
        </w:tc>
        <w:tc>
          <w:tcPr>
            <w:tcW w:w="3144" w:type="pct"/>
            <w:tcBorders>
              <w:top w:val="nil"/>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092FCD43">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基准价按以下方式计算：1.有效投标报价的投标人家数M≤5时，取所有有效投标报价的平均值；2.有效投标报价的投标人家数5＜M≤10时，去掉一个最高报价，去掉一个最低报价，取其余有效报价平均值；3.有效投标报价的投标人家数10＜M≤20时，去掉二个最高报价，去掉二个最低报价，取其余有效报价平均值；4.有效投标报价的投标人家数M＞20时，按有效投标报价由高到低顺序去掉报价高的M×10%家（四舍五入取整数）和按由低到高顺序去掉报价低的M×10%家（四舍五入取整数）后，取其余有效报价平均值。评标基准价C值经评标委员会确定后，除C值计算错误外，不因异议投诉等事项而改变。</w:t>
            </w:r>
          </w:p>
        </w:tc>
      </w:tr>
      <w:tr w14:paraId="0F113E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68" w:hRule="atLeast"/>
        </w:trPr>
        <w:tc>
          <w:tcPr>
            <w:tcW w:w="723" w:type="pct"/>
            <w:vMerge w:val="continue"/>
            <w:tcBorders>
              <w:top w:val="nil"/>
              <w:left w:val="single" w:color="auto" w:sz="8" w:space="0"/>
              <w:bottom w:val="single" w:color="auto" w:sz="8" w:space="0"/>
              <w:right w:val="single" w:color="auto" w:sz="8" w:space="0"/>
            </w:tcBorders>
            <w:shd w:val="clear" w:color="auto" w:fill="FFFFFF"/>
            <w:tcMar>
              <w:top w:w="0" w:type="dxa"/>
              <w:left w:w="227" w:type="dxa"/>
              <w:bottom w:w="0" w:type="dxa"/>
              <w:right w:w="227" w:type="dxa"/>
            </w:tcMar>
            <w:vAlign w:val="center"/>
          </w:tcPr>
          <w:p w14:paraId="029BB007">
            <w:pPr>
              <w:spacing w:line="240" w:lineRule="auto"/>
              <w:jc w:val="both"/>
              <w:rPr>
                <w:rFonts w:hint="eastAsia" w:ascii="宋体" w:hAnsi="宋体" w:eastAsia="宋体" w:cs="宋体"/>
                <w:i w:val="0"/>
                <w:iCs w:val="0"/>
                <w:caps w:val="0"/>
                <w:color w:val="333333"/>
                <w:spacing w:val="0"/>
                <w:kern w:val="0"/>
                <w:sz w:val="24"/>
                <w:szCs w:val="24"/>
                <w:shd w:val="clear" w:fill="FFFFFF"/>
                <w:lang w:val="en-US" w:eastAsia="zh-CN" w:bidi="ar"/>
              </w:rPr>
            </w:pPr>
          </w:p>
        </w:tc>
        <w:tc>
          <w:tcPr>
            <w:tcW w:w="1132" w:type="pct"/>
            <w:tcBorders>
              <w:top w:val="nil"/>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37CA2A49">
            <w:pPr>
              <w:bidi w:val="0"/>
              <w:spacing w:line="240" w:lineRule="auto"/>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报价得分</w:t>
            </w:r>
          </w:p>
        </w:tc>
        <w:tc>
          <w:tcPr>
            <w:tcW w:w="3144" w:type="pct"/>
            <w:tcBorders>
              <w:top w:val="nil"/>
              <w:left w:val="nil"/>
              <w:bottom w:val="single" w:color="auto" w:sz="8" w:space="0"/>
              <w:right w:val="single" w:color="auto" w:sz="8" w:space="0"/>
            </w:tcBorders>
            <w:shd w:val="clear" w:color="auto" w:fill="FFFFFF"/>
            <w:tcMar>
              <w:top w:w="0" w:type="dxa"/>
              <w:left w:w="227" w:type="dxa"/>
              <w:bottom w:w="0" w:type="dxa"/>
              <w:right w:w="227" w:type="dxa"/>
            </w:tcMar>
            <w:vAlign w:val="center"/>
          </w:tcPr>
          <w:p w14:paraId="1D263E1F">
            <w:pPr>
              <w:bidi w:val="0"/>
              <w:spacing w:line="240" w:lineRule="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偏差率=(投标人报价–评标基准价)/评标基准价；偏差率保留小数点后4位小数（四舍五入），将计算求得的评标基准价C值为基准价，各投标单位投标报价每高1%扣1分，每低1%扣0.5分。</w:t>
            </w:r>
          </w:p>
        </w:tc>
      </w:tr>
    </w:tbl>
    <w:p w14:paraId="0BE68722">
      <w:pPr>
        <w:pStyle w:val="4"/>
        <w:bidi w:val="0"/>
        <w:jc w:val="center"/>
        <w:rPr>
          <w:rFonts w:hint="eastAsia"/>
          <w:sz w:val="24"/>
          <w:szCs w:val="21"/>
          <w:lang w:eastAsia="zh-CN"/>
        </w:rPr>
      </w:pPr>
      <w:r>
        <w:rPr>
          <w:rFonts w:hint="eastAsia"/>
        </w:rPr>
        <w:t>综合比选办法</w:t>
      </w:r>
      <w:r>
        <w:rPr>
          <w:rFonts w:hint="eastAsia"/>
          <w:sz w:val="24"/>
          <w:szCs w:val="21"/>
          <w:lang w:eastAsia="zh-CN"/>
        </w:rPr>
        <w:t>（</w:t>
      </w:r>
      <w:r>
        <w:rPr>
          <w:rFonts w:hint="eastAsia"/>
          <w:sz w:val="24"/>
          <w:szCs w:val="21"/>
          <w:lang w:val="en-US" w:eastAsia="zh-CN"/>
        </w:rPr>
        <w:t>100分</w:t>
      </w:r>
      <w:r>
        <w:rPr>
          <w:rFonts w:hint="eastAsia"/>
          <w:sz w:val="24"/>
          <w:szCs w:val="21"/>
          <w:lang w:eastAsia="zh-CN"/>
        </w:rPr>
        <w:t>）</w:t>
      </w:r>
    </w:p>
    <w:p w14:paraId="5E504DE6">
      <w:pPr>
        <w:jc w:val="both"/>
        <w:rPr>
          <w:rFonts w:hint="eastAsia" w:ascii="宋体" w:hAnsi="宋体" w:eastAsia="宋体" w:cs="宋体"/>
          <w:i w:val="0"/>
          <w:iCs w:val="0"/>
          <w:caps w:val="0"/>
          <w:color w:val="333333"/>
          <w:spacing w:val="0"/>
          <w:sz w:val="24"/>
          <w:szCs w:val="24"/>
          <w:shd w:val="clear" w:fill="FFFFFF"/>
        </w:rPr>
      </w:pPr>
    </w:p>
    <w:sectPr>
      <w:pgSz w:w="11906" w:h="16838"/>
      <w:pgMar w:top="1440" w:right="197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171B9"/>
    <w:rsid w:val="0BE171B9"/>
    <w:rsid w:val="0EC75A69"/>
    <w:rsid w:val="2B2B6F28"/>
    <w:rsid w:val="3C700412"/>
    <w:rsid w:val="42031997"/>
    <w:rsid w:val="44550E45"/>
    <w:rsid w:val="45482758"/>
    <w:rsid w:val="51C810BD"/>
    <w:rsid w:val="525206D9"/>
    <w:rsid w:val="583059FA"/>
    <w:rsid w:val="58653812"/>
    <w:rsid w:val="5EEC63F2"/>
    <w:rsid w:val="6154067E"/>
    <w:rsid w:val="7A88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859</Words>
  <Characters>909</Characters>
  <Lines>0</Lines>
  <Paragraphs>0</Paragraphs>
  <TotalTime>1</TotalTime>
  <ScaleCrop>false</ScaleCrop>
  <LinksUpToDate>false</LinksUpToDate>
  <CharactersWithSpaces>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2025-10-31T02:49:00Z</dcterms:created>
  <dc:creator>初见</dc:creator>
  <cp:lastModifiedBy>一切不是偶然</cp:lastModifiedBy>
  <cp:lastPrinted>2025-10-31T03:41:00Z</cp:lastPrinted>
  <dcterms:modified xsi:type="dcterms:W3CDTF">2025-10-31T04:37:55Z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1A17D457684D42ABBF120E28049D742D_13</vt:lpwstr>
  </property>
  <property fmtid="{D5CDD505-2E9C-101B-9397-08002B2CF9AE}" pid="4" name="KSOTemplateDocerSaveRecord">
    <vt:lpwstr>eyJoZGlkIjoiZDU5NGJkYWJlMjYzMGUzMDI0OTUyMTBkZGMyNWE2ZjciLCJ1c2VySWQiOiI4OTMyODQwMzYifQ==</vt:lpwstr>
  </property>
</Properties>
</file>